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soixante-neuf</w:t>
      </w:r>
    </w:p>
    <w:p>
      <w:pPr>
        <w:pStyle w:val="ArticleSubtitle"/>
        <w:jc w:val="left"/>
      </w:pPr>
      <w:r>
        <w:rPr>
          <w:rFonts w:ascii="Arial" w:hAnsi="Arial" w:eastAsia="Arial" w:cs="Arial"/>
        </w:rPr>
        <w:t>Défaire les fils prophétiques : comprendre le symbolisme de la « forteresse » dans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دەنیالی باب یازدەی ئايەتی دەھ، پەیامی ناوخۆیی و دەرەکییەکە بە وشەی «قەڵا» یەکدەخاتەوە. ئەو پەیوەندییەی لەگەڵ پێشبینیی شەست و پێنج ساڵەی ئیشایا دروست دەکات، «قەڵا»ی پێشبینیی دەرەکی وەک ڕووسیا ناساندووە، و هەروەها «قەڵا»ی ناوخۆییی پەرستگاکەش کە مەسیح لە هەمان مێژوودا هەڵیدەستێنێت. قەڵای دەرەکی، کە لە ئايەتی سی و یەکدا بە «پیرۆزگای هێز» ناسراوە، پاشایەکی زەوی یان شانشینێکی زەویی نمایندگی دەکات. قەڵای ناوخۆیی، یان پیرۆزگای ناوخۆییی هێز، ئەو پەرستگایەیە کە پەیامنێری پەیمان لە چل و شەش ساڵدا هەڵیدەستێنێت.</w:t>
      </w:r>
    </w:p>
    <w:p>
      <w:pPr>
        <w:pStyle w:val="ArticleBody"/>
        <w:jc w:val="left"/>
      </w:pPr>
      <w:r>
        <w:rPr>
          <w:rFonts w:ascii="Times New Roman" w:hAnsi="Times New Roman" w:eastAsia="Times New Roman" w:cs="Times New Roman"/>
        </w:rPr>
        <w:t>Danzanin Tsarkaka Mafi Tsarki na wancan haikali (kagarar), Allah yana zaune a wurare na samaniya.</w:t>
      </w:r>
    </w:p>
    <w:p>
      <w:pPr>
        <w:pStyle w:val="ArticleBody"/>
        <w:jc w:val="left"/>
      </w:pPr>
      <w:r>
        <w:rPr>
          <w:rFonts w:ascii="Times New Roman" w:hAnsi="Times New Roman" w:eastAsia="Times New Roman" w:cs="Times New Roman"/>
        </w:rPr>
        <w:t>Ty Chibh’uj Daniel e kab’ hebreo tzij ye’ tz’ib’äx chuqa’ junam pa “santuario”. Jun tzij are’ “miqdash”, k’a ri jun chic are’ “qodesh”. “Miqdash” tikirel nuq’alajisaj jun santuario pagano, o ri santuario richin Dios, o k’a jun fortaleza. “Qodesh” xa xe’ n’okisäx richin nuq’alajisaj ri santuario richin Dios pa ri Biblia. Ri “santuario” (miqdash) richin k’ojlib’äl (fortaleza), pa ri versículo oxi’ jun pa Daniel capítulo julajuj, nitzijöx chi rij “ri santuario richin k’ojlib’äl”, y ri tzij hebreo ri xutzijöx richin santuario chiri’ are’ “miqdash”, ri nuq’alajisaj ri Tinamït Roma, ri achi’el retal ri k’ojlib’äl romano pa ri historia richin roma pagana chuqa’ roma papal. Daniel xerokisaj ri ka’i’ hebreo tzij ruk’a’n wachinelil. Pa ri versículos ri e k’o pa ruwi’ ri nimaläj columna richin Adventismo, niqariq ri tzij “santuario”.</w:t>
      </w:r>
    </w:p>
    <w:p>
      <w:pPr>
        <w:pStyle w:val="ArticleScripture"/>
        <w:jc w:val="left"/>
      </w:pPr>
      <w:r>
        <w:rPr>
          <w:rFonts w:ascii="Times New Roman" w:hAnsi="Times New Roman" w:eastAsia="Times New Roman" w:cs="Times New Roman"/>
        </w:rPr>
        <w:t>Puis j’entendis parler un saint; et un autre saint dit à celui-là même qui parlait: Jusques à quand durera la vision touchant le sacrifice perpétuel et la transgression dévastatrice, pour livrer à être foulés aux pieds le sanctuaire et l’armée? Et il me dit: Jusqu’à deux mille trois cents jours; puis le sanctuaire sera purifié. Daniel 8:13, 14.</w:t>
      </w:r>
    </w:p>
    <w:p>
      <w:pPr>
        <w:pStyle w:val="ArticleBody"/>
        <w:jc w:val="left"/>
      </w:pPr>
      <w:r>
        <w:rPr>
          <w:rFonts w:ascii="Times New Roman" w:hAnsi="Times New Roman" w:eastAsia="Times New Roman" w:cs="Times New Roman"/>
        </w:rPr>
        <w:t>L’hébreu traduit par « le sanctuaire », dans les deux versets, est « qodesh », et il n’est employé que pour désigner le sanctuaire de Dieu. Au verset onze, où est identifiée la Rome païenne, et plus précisément le temple du Panthéon dans la ville de Rome, nous trouvons le mot « sanctuaire » ; mais dans ce verset, il s’agit du terme hébreu « miqdash ».</w:t>
      </w:r>
    </w:p>
    <w:p>
      <w:pPr>
        <w:pStyle w:val="ArticleScripture"/>
        <w:jc w:val="left"/>
      </w:pPr>
      <w:r>
        <w:rPr>
          <w:rFonts w:ascii="Times New Roman" w:hAnsi="Times New Roman" w:eastAsia="Times New Roman" w:cs="Times New Roman"/>
        </w:rPr>
        <w:t>Oui, il s’éleva jusqu’au chef de l’armée; et par lui le sacrifice perpétuel fut ôté, et le lieu de son sanctuaire fut renversé. Daniel 8:11.</w:t>
      </w:r>
    </w:p>
    <w:p>
      <w:pPr>
        <w:pStyle w:val="ArticleBody"/>
        <w:jc w:val="left"/>
      </w:pPr>
      <w:r>
        <w:rPr>
          <w:rFonts w:ascii="Times New Roman" w:hAnsi="Times New Roman" w:eastAsia="Times New Roman" w:cs="Times New Roman"/>
        </w:rPr>
        <w:t>«Քաջության սրբարանը» Դանիէլի տասնմէկերորդ գլխի երեսունմէկերորդ համարում եբրայերէն «miqdash» բառն է, եւ այն գործածուած է այն եբրայերէն բառի հետ առնչութեամբ, որը տասնմէկերորդ գլխի եօթերորդ եւ տասներորդ համարներում թարգմանուած է «ամրոց»։ Եօթերորդ համարում հարաւի թագաւորը մտաւ մինչեւ Հռոմի քաղաքը եւ գերեվարեց հիւսիսի թագաւորին, որովհետեւ նա մտաւ նրա ամրոցը, իսկ տասներորդ համարում հիւսիսի թագաւորը միայն բարձրանում է «մինչեւ» «ամրոցը», որովհետեւ կանգ առաւ իր թագաւորութեան եւ Եգիպտոսի սահմանագծի վրայ։ Հաջորդ համարը պէտք է անդրադառնար Ռափիայի սահմանագծին։ Երեսունմէկերորդ համարի «քաջության սրբարանը» «ամրոցի» «miqdash»-ն է։</w:t>
      </w:r>
    </w:p>
    <w:p>
      <w:pPr>
        <w:pStyle w:val="ArticleBody"/>
        <w:jc w:val="left"/>
      </w:pPr>
      <w:r>
        <w:rPr>
          <w:rFonts w:ascii="Times New Roman" w:hAnsi="Times New Roman" w:eastAsia="Times New Roman" w:cs="Times New Roman"/>
        </w:rPr>
        <w:t>Der Kampf an der Grenzlinie bei Raphia versinnbildlicht den Kampf an der Grenzlinie in der Ukraine. Diese prophetische Geschichte wird erkannt, wenn man versteht, dass das „Haupt“ das Königreich oder der König ist; es ist die Festung seiner Stärke; doch die Weissagung behandelt eine innere und eine äußere Wahrheit. Das „Heiligtum der Stärke“ für die äußere Linie wird durch das Heiligtum „miqdash“ dargestellt, und das Heiligtum der Stärke für die innere Linie wird durch das Heiligtum „qodesh“ dargestellt.</w:t>
      </w:r>
    </w:p>
    <w:p>
      <w:pPr>
        <w:pStyle w:val="ArticleBody"/>
        <w:jc w:val="left"/>
      </w:pPr>
      <w:r>
        <w:rPr>
          <w:rFonts w:ascii="Times New Roman" w:hAnsi="Times New Roman" w:eastAsia="Times New Roman" w:cs="Times New Roman"/>
        </w:rPr>
        <w:t xml:space="preserve">1844 </w:t>
      </w:r>
      <w:r>
        <w:rPr>
          <w:rFonts w:ascii="Nirmala UI" w:hAnsi="Nirmala UI" w:eastAsia="Nirmala UI" w:cs="Nirmala UI"/>
        </w:rPr>
        <w:t>ਤੋਂ</w:t>
      </w:r>
      <w:r>
        <w:rPr>
          <w:rFonts w:ascii="Times New Roman" w:hAnsi="Times New Roman" w:eastAsia="Times New Roman" w:cs="Times New Roman"/>
        </w:rPr>
        <w:t xml:space="preserve"> 1863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ਚੁਵਾਲੀਹ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ਚਿੱਥੜੇ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1844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ਰੇਖਾਵਾਂ</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ਹੇਠਲੇ</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ਹੇਠਲਾ</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ਸੁਭਾਵ</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ਸਿੰਹਾਸਨ</w:t>
      </w:r>
      <w:r>
        <w:rPr>
          <w:rFonts w:ascii="Times New Roman" w:hAnsi="Times New Roman" w:eastAsia="Times New Roman" w:cs="Times New Roman"/>
        </w:rPr>
        <w:t xml:space="preserve"> </w:t>
      </w:r>
      <w:r>
        <w:rPr>
          <w:rFonts w:ascii="Nirmala UI" w:hAnsi="Nirmala UI" w:eastAsia="Nirmala UI" w:cs="Nirmala UI"/>
        </w:rPr>
        <w:t>ਕਮਰਾ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Fa mɔ “mmerɛnson” a ɛwɔ Leviticus ti aduonu asia mu no yɛ nokware a etwa to a wɔsɔɔ ano wɔ afe 1856 mu, na wɔhyɛɛ no da sɛ ɛbɛma frankaa bi ahoɔden na wɔawie adwuma no. Efi 1844 kosi 1863 no, na Kristo pɛ sɛ ɔde Ne Nyameyɛ bɛka onipa su ho afebɔɔ nyinaa, nanso onipa tew atua.</w:t>
      </w:r>
    </w:p>
    <w:p>
      <w:pPr>
        <w:pStyle w:val="ArticleBody"/>
        <w:jc w:val="left"/>
      </w:pP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নিম্নতর</w:t>
      </w:r>
      <w:r>
        <w:rPr>
          <w:rFonts w:ascii="Times New Roman" w:hAnsi="Times New Roman" w:eastAsia="Times New Roman" w:cs="Times New Roman"/>
        </w:rPr>
        <w:t xml:space="preserve"> </w:t>
      </w:r>
      <w:r>
        <w:rPr>
          <w:rFonts w:ascii="Nirmala UI" w:hAnsi="Nirmala UI" w:eastAsia="Nirmala UI" w:cs="Nirmala UI"/>
        </w:rPr>
        <w:t>স্বভাবকে</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উচ্চতর</w:t>
      </w:r>
      <w:r>
        <w:rPr>
          <w:rFonts w:ascii="Times New Roman" w:hAnsi="Times New Roman" w:eastAsia="Times New Roman" w:cs="Times New Roman"/>
        </w:rPr>
        <w:t xml:space="preserve"> </w:t>
      </w:r>
      <w:r>
        <w:rPr>
          <w:rFonts w:ascii="Nirmala UI" w:hAnsi="Nirmala UI" w:eastAsia="Nirmala UI" w:cs="Nirmala UI"/>
        </w:rPr>
        <w:t>স্বভাবকে</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প্রতিমূর্তিতে</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মানবজাতির</w:t>
      </w:r>
      <w:r>
        <w:rPr>
          <w:rFonts w:ascii="Times New Roman" w:hAnsi="Times New Roman" w:eastAsia="Times New Roman" w:cs="Times New Roman"/>
        </w:rPr>
        <w:t xml:space="preserve"> </w:t>
      </w:r>
      <w:r>
        <w:rPr>
          <w:rFonts w:ascii="Nirmala UI" w:hAnsi="Nirmala UI" w:eastAsia="Nirmala UI" w:cs="Nirmala UI"/>
        </w:rPr>
        <w:t>মস্তককে</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মস্তকের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মস্তক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রাজধানী।</w:t>
      </w:r>
      <w:r>
        <w:rPr>
          <w:rFonts w:ascii="Times New Roman" w:hAnsi="Times New Roman" w:eastAsia="Times New Roman" w:cs="Times New Roman"/>
        </w:rPr>
        <w:t xml:space="preserve"> </w:t>
      </w:r>
      <w:r>
        <w:rPr>
          <w:rFonts w:ascii="Nirmala UI" w:hAnsi="Nirmala UI" w:eastAsia="Nirmala UI" w:cs="Nirmala UI"/>
        </w:rPr>
        <w:t>মস্তকই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ঈশ্বরত্বের</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ঐক্যবদ্ধ</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মানবত্ব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ঈশ্বরত্ব</w:t>
      </w:r>
      <w:r>
        <w:rPr>
          <w:rFonts w:ascii="Times New Roman" w:hAnsi="Times New Roman" w:eastAsia="Times New Roman" w:cs="Times New Roman"/>
        </w:rPr>
        <w:t xml:space="preserve"> </w:t>
      </w:r>
      <w:r>
        <w:rPr>
          <w:rFonts w:ascii="Nirmala UI" w:hAnsi="Nirmala UI" w:eastAsia="Nirmala UI" w:cs="Nirmala UI"/>
        </w:rPr>
        <w:t>উভয়ের</w:t>
      </w:r>
      <w:r>
        <w:rPr>
          <w:rFonts w:ascii="Times New Roman" w:hAnsi="Times New Roman" w:eastAsia="Times New Roman" w:cs="Times New Roman"/>
        </w:rPr>
        <w:t xml:space="preserve"> </w:t>
      </w:r>
      <w:r>
        <w:rPr>
          <w:rFonts w:ascii="Nirmala UI" w:hAnsi="Nirmala UI" w:eastAsia="Nirmala UI" w:cs="Nirmala UI"/>
        </w:rPr>
        <w:t>মস্তককে</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পরমপবিত্র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উপবিষ্ট</w:t>
      </w:r>
      <w:r>
        <w:rPr>
          <w:rFonts w:ascii="Times New Roman" w:hAnsi="Times New Roman" w:eastAsia="Times New Roman" w:cs="Times New Roman"/>
        </w:rPr>
        <w:t xml:space="preserve"> </w:t>
      </w:r>
      <w:r>
        <w:rPr>
          <w:rFonts w:ascii="Nirmala UI" w:hAnsi="Nirmala UI" w:eastAsia="Nirmala UI" w:cs="Nirmala UI"/>
        </w:rPr>
        <w:t>আছেন।</w:t>
      </w:r>
    </w:p>
    <w:p>
      <w:pPr>
        <w:pStyle w:val="ArticleScripture"/>
        <w:jc w:val="left"/>
      </w:pPr>
      <w:r>
        <w:rPr>
          <w:rFonts w:ascii="Times New Roman" w:hAnsi="Times New Roman" w:eastAsia="Times New Roman" w:cs="Times New Roman"/>
        </w:rPr>
        <w:t>À celui qui vaincra, je lui donnerai de s’asseoir avec moi sur mon trône, comme moi aussi j’ai vaincu et me suis assis avec mon Père sur son trône. Que celui qui a des oreilles entende ce que l’Esprit dit aux Églises. Apocalypse 3:21, 22.</w:t>
      </w:r>
    </w:p>
    <w:p>
      <w:pPr>
        <w:pStyle w:val="ArticleBody"/>
        <w:jc w:val="left"/>
      </w:pPr>
      <w:r>
        <w:rPr>
          <w:rFonts w:ascii="Times New Roman" w:hAnsi="Times New Roman" w:eastAsia="Times New Roman" w:cs="Times New Roman"/>
        </w:rPr>
        <w:t>Christ promet que ceux (les Laodicéens) qui vaincront comme Lui a vaincu (et deviendront des Philadelphiens) siégeront avec Lui dans les lieux célestes.</w:t>
      </w:r>
    </w:p>
    <w:p>
      <w:pPr>
        <w:pStyle w:val="ArticleScripture"/>
        <w:jc w:val="left"/>
      </w:pPr>
      <w:r>
        <w:rPr>
          <w:rFonts w:ascii="Times New Roman" w:hAnsi="Times New Roman" w:eastAsia="Times New Roman" w:cs="Times New Roman"/>
        </w:rPr>
        <w:t>Ezi azuwo n’ime Kraịst, mgbe O mere ka O si n’ọnwụ bilie, wee mee ka Ọ nọdụ n’aka nri nke Ya n’ebe ndị dị n’eluigwe, … O mekwara ka anyị soro bilie ọnụ, meekwa ka anyị soro nọdụ ọnụ n’ebe ndị dị n’eluigwe n’ime Kraịst Jisọs. Ndị Efesọs 1:20; 2:6.</w:t>
      </w:r>
    </w:p>
    <w:p>
      <w:pPr>
        <w:pStyle w:val="ArticleBody"/>
        <w:jc w:val="left"/>
      </w:pP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जुड़ना</w:t>
      </w:r>
      <w:r>
        <w:rPr>
          <w:rFonts w:ascii="Times New Roman" w:hAnsi="Times New Roman" w:eastAsia="Times New Roman" w:cs="Times New Roman"/>
        </w:rPr>
        <w:t xml:space="preserve"> (</w:t>
      </w:r>
      <w:r>
        <w:rPr>
          <w:rFonts w:ascii="Nirmala UI" w:hAnsi="Nirmala UI" w:eastAsia="Nirmala UI" w:cs="Nirmala UI"/>
        </w:rPr>
        <w:t>मनुष्यता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(qodesh)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(miqdash)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बीतेगी।</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विफल</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1844 </w:t>
      </w:r>
      <w:r>
        <w:rPr>
          <w:rFonts w:ascii="Nirmala UI" w:hAnsi="Nirmala UI" w:eastAsia="Nirmala UI" w:cs="Nirmala UI"/>
        </w:rPr>
        <w:t>से</w:t>
      </w:r>
      <w:r>
        <w:rPr>
          <w:rFonts w:ascii="Times New Roman" w:hAnsi="Times New Roman" w:eastAsia="Times New Roman" w:cs="Times New Roman"/>
        </w:rPr>
        <w:t xml:space="preserve"> 1863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 verset dix du chapitre onze de Daniel contient la clé permettant de comprendre le message interne et externe des versets onze à quinze, lesquels sont entrés dans notre histoire prophétique en 2014. Le verset dix identifie 1989, qui est le temps de la fin dans le mouvement de réforme des cent quarante-quatre mille, mais il contient aussi la clé qui permet de reconnaître 2014 comme un jalon dans l’histoire du scellement.</w:t>
      </w:r>
    </w:p>
    <w:p>
      <w:pPr>
        <w:pStyle w:val="ArticleBody"/>
        <w:jc w:val="left"/>
      </w:pPr>
      <w:r>
        <w:rPr>
          <w:rFonts w:ascii="Times New Roman" w:hAnsi="Times New Roman" w:eastAsia="Times New Roman" w:cs="Times New Roman"/>
        </w:rPr>
        <w:t>Le 22 octobre 1844, le Messager de l’alliance vint soudainement au temple qu’Il avait édifié. Cette balise prophétique est la figure du 11 septembre 2001, lorsque le troisième ange arriva de nouveau, et que la septième trompette recommença à retentir. Alors l’histoire de 1840 à 1844 devait elle aussi se répéter, car l’ange qui descendit le 11 août 1840 n’était rien de moins que Jésus-Christ, et son œuvre consistait à illuminer la terre de sa gloire.</w:t>
      </w:r>
    </w:p>
    <w:p>
      <w:pPr>
        <w:pStyle w:val="ArticleBody"/>
        <w:jc w:val="left"/>
      </w:pP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येऊ</w:t>
      </w:r>
      <w:r>
        <w:rPr>
          <w:rFonts w:ascii="Times New Roman" w:hAnsi="Times New Roman" w:eastAsia="Times New Roman" w:cs="Times New Roman"/>
        </w:rPr>
        <w:t xml:space="preserve"> </w:t>
      </w:r>
      <w:r>
        <w:rPr>
          <w:rFonts w:ascii="Nirmala UI" w:hAnsi="Nirmala UI" w:eastAsia="Nirmala UI" w:cs="Nirmala UI"/>
        </w:rPr>
        <w:t>घातलेल्या</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कायद्यापर्यंतच्या</w:t>
      </w:r>
      <w:r>
        <w:rPr>
          <w:rFonts w:ascii="Times New Roman" w:hAnsi="Times New Roman" w:eastAsia="Times New Roman" w:cs="Times New Roman"/>
        </w:rPr>
        <w:t xml:space="preserve"> </w:t>
      </w:r>
      <w:r>
        <w:rPr>
          <w:rFonts w:ascii="Nirmala UI" w:hAnsi="Nirmala UI" w:eastAsia="Nirmala UI" w:cs="Nirmala UI"/>
        </w:rPr>
        <w:t>काळाचे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हाही</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सप्टेंबर</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येऊ</w:t>
      </w:r>
      <w:r>
        <w:rPr>
          <w:rFonts w:ascii="Times New Roman" w:hAnsi="Times New Roman" w:eastAsia="Times New Roman" w:cs="Times New Roman"/>
        </w:rPr>
        <w:t xml:space="preserve"> </w:t>
      </w:r>
      <w:r>
        <w:rPr>
          <w:rFonts w:ascii="Nirmala UI" w:hAnsi="Nirmala UI" w:eastAsia="Nirmala UI" w:cs="Nirmala UI"/>
        </w:rPr>
        <w:t>घातलेल्या</w:t>
      </w:r>
      <w:r>
        <w:rPr>
          <w:rFonts w:ascii="Times New Roman" w:hAnsi="Times New Roman" w:eastAsia="Times New Roman" w:cs="Times New Roman"/>
        </w:rPr>
        <w:t xml:space="preserve"> </w:t>
      </w:r>
      <w:r>
        <w:rPr>
          <w:rFonts w:ascii="Nirmala UI" w:hAnsi="Nirmala UI" w:eastAsia="Nirmala UI" w:cs="Nirmala UI"/>
        </w:rPr>
        <w:t>रविवारच्या</w:t>
      </w:r>
      <w:r>
        <w:rPr>
          <w:rFonts w:ascii="Times New Roman" w:hAnsi="Times New Roman" w:eastAsia="Times New Roman" w:cs="Times New Roman"/>
        </w:rPr>
        <w:t xml:space="preserve"> </w:t>
      </w:r>
      <w:r>
        <w:rPr>
          <w:rFonts w:ascii="Nirmala UI" w:hAnsi="Nirmala UI" w:eastAsia="Nirmala UI" w:cs="Nirmala UI"/>
        </w:rPr>
        <w:t>कायद्यापर्यंतचा</w:t>
      </w:r>
      <w:r>
        <w:rPr>
          <w:rFonts w:ascii="Times New Roman" w:hAnsi="Times New Roman" w:eastAsia="Times New Roman" w:cs="Times New Roman"/>
        </w:rPr>
        <w:t xml:space="preserve"> </w:t>
      </w:r>
      <w:r>
        <w:rPr>
          <w:rFonts w:ascii="Nirmala UI" w:hAnsi="Nirmala UI" w:eastAsia="Nirmala UI" w:cs="Nirmala UI"/>
        </w:rPr>
        <w:t>कालावधी</w:t>
      </w:r>
      <w:r>
        <w:rPr>
          <w:rFonts w:ascii="Times New Roman" w:hAnsi="Times New Roman" w:eastAsia="Times New Roman" w:cs="Times New Roman"/>
        </w:rPr>
        <w:t xml:space="preserve"> </w:t>
      </w:r>
      <w:r>
        <w:rPr>
          <w:rFonts w:ascii="Nirmala UI" w:hAnsi="Nirmala UI" w:eastAsia="Nirmala UI" w:cs="Nirmala UI"/>
        </w:rPr>
        <w:t>दर्शवितो</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क्रूसाच्या</w:t>
      </w:r>
      <w:r>
        <w:rPr>
          <w:rFonts w:ascii="Times New Roman" w:hAnsi="Times New Roman" w:eastAsia="Times New Roman" w:cs="Times New Roman"/>
        </w:rPr>
        <w:t xml:space="preserve"> </w:t>
      </w:r>
      <w:r>
        <w:rPr>
          <w:rFonts w:ascii="Nirmala UI" w:hAnsi="Nirmala UI" w:eastAsia="Nirmala UI" w:cs="Nirmala UI"/>
        </w:rPr>
        <w:t>इतिहासाशी</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साडेतीन</w:t>
      </w:r>
      <w:r>
        <w:rPr>
          <w:rFonts w:ascii="Times New Roman" w:hAnsi="Times New Roman" w:eastAsia="Times New Roman" w:cs="Times New Roman"/>
        </w:rPr>
        <w:t xml:space="preserve"> </w:t>
      </w:r>
      <w:r>
        <w:rPr>
          <w:rFonts w:ascii="Nirmala UI" w:hAnsi="Nirmala UI" w:eastAsia="Nirmala UI" w:cs="Nirmala UI"/>
        </w:rPr>
        <w:t>वर्षांच्या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इतिहासांतील</w:t>
      </w:r>
      <w:r>
        <w:rPr>
          <w:rFonts w:ascii="Times New Roman" w:hAnsi="Times New Roman" w:eastAsia="Times New Roman" w:cs="Times New Roman"/>
        </w:rPr>
        <w:t xml:space="preserve"> </w:t>
      </w:r>
      <w:r>
        <w:rPr>
          <w:rFonts w:ascii="Nirmala UI" w:hAnsi="Nirmala UI" w:eastAsia="Nirmala UI" w:cs="Nirmala UI"/>
        </w:rPr>
        <w:t>विभागणीचे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एकमेकांशी</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होणारा</w:t>
      </w:r>
      <w:r>
        <w:rPr>
          <w:rFonts w:ascii="Times New Roman" w:hAnsi="Times New Roman" w:eastAsia="Times New Roman" w:cs="Times New Roman"/>
        </w:rPr>
        <w:t xml:space="preserve"> </w:t>
      </w:r>
      <w:r>
        <w:rPr>
          <w:rFonts w:ascii="Nirmala UI" w:hAnsi="Nirmala UI" w:eastAsia="Nirmala UI" w:cs="Nirmala UI"/>
        </w:rPr>
        <w:t>पूर्वकालीन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१८६३</w:t>
      </w:r>
      <w:r>
        <w:rPr>
          <w:rFonts w:ascii="Times New Roman" w:hAnsi="Times New Roman" w:eastAsia="Times New Roman" w:cs="Times New Roman"/>
        </w:rPr>
        <w:t xml:space="preserve"> </w:t>
      </w:r>
      <w:r>
        <w:rPr>
          <w:rFonts w:ascii="Nirmala UI" w:hAnsi="Nirmala UI" w:eastAsia="Nirmala UI" w:cs="Nirmala UI"/>
        </w:rPr>
        <w:t>पर्यंतचा</w:t>
      </w:r>
      <w:r>
        <w:rPr>
          <w:rFonts w:ascii="Times New Roman" w:hAnsi="Times New Roman" w:eastAsia="Times New Roman" w:cs="Times New Roman"/>
        </w:rPr>
        <w:t xml:space="preserve"> </w:t>
      </w:r>
      <w:r>
        <w:rPr>
          <w:rFonts w:ascii="Nirmala UI" w:hAnsi="Nirmala UI" w:eastAsia="Nirmala UI" w:cs="Nirmala UI"/>
        </w:rPr>
        <w:t>पुढील</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शिक्कामोर्तबाच्या</w:t>
      </w:r>
      <w:r>
        <w:rPr>
          <w:rFonts w:ascii="Times New Roman" w:hAnsi="Times New Roman" w:eastAsia="Times New Roman" w:cs="Times New Roman"/>
        </w:rPr>
        <w:t xml:space="preserve"> </w:t>
      </w:r>
      <w:r>
        <w:rPr>
          <w:rFonts w:ascii="Nirmala UI" w:hAnsi="Nirmala UI" w:eastAsia="Nirmala UI" w:cs="Nirmala UI"/>
        </w:rPr>
        <w:t>कालखंडाचे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 primeira linha, de 1840 a 1844, representa a vitória dos adventistas filadélfios; a outra linha, de 1844 a 1863, representa o fracasso dos adventistas laodiceanos. Ambas as classes são representadas em Daniel capítulo dez, pois Daniel, representando as virgens sábias vitoriosas durante o tempo do selamento dos cento e quarenta e quatro mil, viu a visão; mas os que estavam com ele fugiram da visão.</w:t>
      </w:r>
    </w:p>
    <w:p>
      <w:pPr>
        <w:pStyle w:val="ArticleScripture"/>
        <w:jc w:val="left"/>
      </w:pPr>
      <w:r>
        <w:rPr>
          <w:rFonts w:ascii="Times New Roman" w:hAnsi="Times New Roman" w:eastAsia="Times New Roman" w:cs="Times New Roman"/>
        </w:rPr>
        <w:t>Ja katika siku ya ishirini na nne ya mwezi wa kwanza, nilipokuwa kando ya ule mto mkuu, uitwao Hidekeli; ndipo nikainua macho yangu, nikaona, na tazama, mtu mmoja aliyevikwa nguo za kitani, ambaye viuno vyake vilikuwa vimefungwa kwa dhahabu safi ya Ufhazi; na mwili wake ulikuwa kama yakuti, na uso wake kama mfano wa umeme, na macho yake kama taa za moto, na mikono yake na miguu yake kama rangi ya shaba iliyosuguliwa sana, na sauti ya maneno yake kama sauti ya umati wa watu. Nami, Danieli, peke yangu niliiona njozi hiyo; kwa maana wale watu waliokuwa pamoja nami hawakuiona njozi hiyo; lakini tetemeko kuu liliwaangukia, hata wakakimbia na kujificha. Danieli 10:4–7.</w:t>
      </w:r>
    </w:p>
    <w:p>
      <w:pPr>
        <w:pStyle w:val="ArticleBody"/>
        <w:jc w:val="left"/>
      </w:pPr>
      <w:r>
        <w:rPr>
          <w:rFonts w:ascii="Times New Roman" w:hAnsi="Times New Roman" w:eastAsia="Times New Roman" w:cs="Times New Roman"/>
        </w:rPr>
        <w:t>Dans le chapitre sept de Daniel, après que Daniel eut vu la vision des bêtes de proie, Gabriel vint lui en donner l’explication.</w:t>
      </w:r>
    </w:p>
    <w:p>
      <w:pPr>
        <w:pStyle w:val="ArticleScripture"/>
        <w:jc w:val="left"/>
      </w:pPr>
      <w:r>
        <w:rPr>
          <w:rFonts w:ascii="Times New Roman" w:hAnsi="Times New Roman" w:eastAsia="Times New Roman" w:cs="Times New Roman"/>
        </w:rPr>
        <w:t>Ich, Daniel, war tief bewegt in meinem Geist im Innern meines Leibes, und die Gesichte meines Hauptes ängstigten mich. Ich trat zu einem von denen, die dastanden, und erbat von ihm Gewissheit über dies alles. Da redete er mit mir und ließ mich die Deutung der Dinge erkennen. Daniel 7,15.16.</w:t>
      </w:r>
    </w:p>
    <w:p>
      <w:pPr>
        <w:pStyle w:val="ArticleBody"/>
        <w:jc w:val="left"/>
      </w:pPr>
      <w:r>
        <w:rPr>
          <w:rFonts w:ascii="Times New Roman" w:hAnsi="Times New Roman" w:eastAsia="Times New Roman" w:cs="Times New Roman"/>
        </w:rPr>
        <w:t>Mu sura ya munani ya Daniyeli, nyuma y’uko Daniyeli yari amaze kubona iyerekwa ry’inyamaswa z’aheranda, Gaburiyeli araza kugira ngo asobanure iryo yerekwa.</w:t>
      </w:r>
    </w:p>
    <w:p>
      <w:pPr>
        <w:pStyle w:val="ArticleScripture"/>
        <w:jc w:val="left"/>
      </w:pPr>
      <w:r>
        <w:rPr>
          <w:rFonts w:ascii="Times New Roman" w:hAnsi="Times New Roman" w:eastAsia="Times New Roman" w:cs="Times New Roman"/>
        </w:rPr>
        <w:t>Et il arriva que, lorsque moi, Daniel, j’eus vu la vision et que j’en cherchais l’intelligence, voici, se tint devant moi quelqu’un qui avait l’apparence d’un homme. Et j’entendis une voix d’homme entre les rives de l’Ulaï, qui cria et dit : Gabriel, fais comprendre à cet homme la vision. Daniel 8:15, 16.</w:t>
      </w:r>
    </w:p>
    <w:p>
      <w:pPr>
        <w:pStyle w:val="ArticleBody"/>
        <w:jc w:val="left"/>
      </w:pPr>
      <w:r>
        <w:rPr>
          <w:rFonts w:ascii="Times New Roman" w:hAnsi="Times New Roman" w:eastAsia="Times New Roman" w:cs="Times New Roman"/>
        </w:rPr>
        <w:t>Dans le chapitre neuf de Daniel, après que Daniel eut compris le nombre des années indiqué par Jérémie et présenté dans les écrits de Moïse à la fois comme une malédiction et comme le serment de Dieu, Gabriel vint pour expliquer la vision.</w:t>
      </w:r>
    </w:p>
    <w:p>
      <w:pPr>
        <w:pStyle w:val="ArticleScripture"/>
        <w:jc w:val="left"/>
      </w:pPr>
      <w:r>
        <w:rPr>
          <w:rFonts w:ascii="Times New Roman" w:hAnsi="Times New Roman" w:eastAsia="Times New Roman" w:cs="Times New Roman"/>
        </w:rPr>
        <w:t>Mentre io parlavo, pregavo e confessavo il mio peccato e il peccato del mio popolo Israele, e presentavo la mia supplica davanti al Signore, il mio Dio, per il santo monte del mio Dio, sì, mentre stavo ancora parlando in preghiera, l’uomo Gabriele, che avevo visto nella visione al principio, mandato con rapido volo, mi toccò verso il tempo dell’oblazione della sera. Ed egli mi istruì, parlò con me e disse: «O Daniele, io sono ora venuto per darti intendimento e comprensione». Daniele 9:20–22.</w:t>
      </w:r>
    </w:p>
    <w:p>
      <w:pPr>
        <w:pStyle w:val="ArticleBody"/>
        <w:jc w:val="left"/>
      </w:pPr>
      <w:r>
        <w:rPr>
          <w:rFonts w:ascii="Times New Roman" w:hAnsi="Times New Roman" w:eastAsia="Times New Roman" w:cs="Times New Roman"/>
        </w:rPr>
        <w:t>Разумеется! Чтобы выполнить перевод точно, мне нужно знать, какой язык обозначен как **«ff»**. Пожалуйста, укажите целевой язык.</w:t>
      </w:r>
    </w:p>
    <w:p>
      <w:pPr>
        <w:pStyle w:val="ArticleScripture"/>
        <w:jc w:val="left"/>
      </w:pPr>
      <w:r>
        <w:rPr>
          <w:rFonts w:ascii="Times New Roman" w:hAnsi="Times New Roman" w:eastAsia="Times New Roman" w:cs="Times New Roman"/>
        </w:rPr>
        <w:t>Eia mpɔ nnɛ, mede me ho aba sɛ mede bɛma woate nea ɛbɛto wo man no ase wɔ nna a edi akyiri no mu; efisɛ anisoadehu no da so wɔ nna pii ho. Daniel 10:14.</w:t>
      </w:r>
    </w:p>
    <w:p>
      <w:pPr>
        <w:pStyle w:val="ArticleBody"/>
        <w:jc w:val="left"/>
      </w:pPr>
      <w:r>
        <w:rPr>
          <w:rFonts w:ascii="Times New Roman" w:hAnsi="Times New Roman" w:eastAsia="Times New Roman" w:cs="Times New Roman"/>
        </w:rPr>
        <w:t>Umbono uDaniyeli awubona owabangela ukuhlukaniswa phakathi kwabakholwayo, kwakuwumbono wokubonakala kukaKristu, umbono weminyaka eyizinkulungwane ezimbili namakhulu amathathu, kodwa wawuyisimo sowesifazane salowo mbono. Kwakungukuqonda umbono wokubonakala kukaKristu ngokuzumayo njengoMthunywa weSivumelwano okwaguqula uDaniyeli (nalabo abamelwe nguDaniyeli), baba sesifanekisweni sikaKristu. Lokho “okwehlela abantu bakaNkulunkulu ezinsukwini zokugcina” kumelwa ngumlando wamaMillerite kusukela ngo-1840 kuya ku-1844, futhi futhi ngamaMillerite kusukela ngo-1844 kuya ku-1863. Elinye iqembu libalekela umbono ngokuhlubuka, kanti elinye iqembu lilandela uKristu ngokukholwa lingene eNgcwelengcwele, ukuze lihlaliswe kanye Naye ezindaweni zasezulwini.</w:t>
      </w:r>
    </w:p>
    <w:p>
      <w:pPr>
        <w:pStyle w:val="ArticleBody"/>
        <w:jc w:val="left"/>
      </w:pPr>
      <w:r>
        <w:rPr>
          <w:rFonts w:ascii="Leelawadee UI" w:hAnsi="Leelawadee UI" w:eastAsia="Leelawadee UI" w:cs="Leelawadee UI"/>
        </w:rPr>
        <w:t>ហើយកាលណាកាប្រ៊ីយ៉ែលបកស្រាយនិមិត្តដែលប្រជារាស្ត្ររបស់ព្រះនៅថ្ងៃចុងក្រោយត្រូវបានផ្លាស់ប្ដូរឲ្យមានរូបភាពដូចព្រះគ្រីស្ទ</w:t>
      </w:r>
      <w:r>
        <w:rPr>
          <w:rFonts w:ascii="Times New Roman" w:hAnsi="Times New Roman" w:eastAsia="Times New Roman" w:cs="Times New Roman"/>
        </w:rPr>
        <w:t xml:space="preserve"> </w:t>
      </w:r>
      <w:r>
        <w:rPr>
          <w:rFonts w:ascii="Leelawadee UI" w:hAnsi="Leelawadee UI" w:eastAsia="Leelawadee UI" w:cs="Leelawadee UI"/>
        </w:rPr>
        <w:t>នោះគាត់បានបង្ហាញប្រវត្តិសាស្ត្រខាងក្រៅនៃពិភពលោក។</w:t>
      </w:r>
      <w:r>
        <w:rPr>
          <w:rFonts w:ascii="Times New Roman" w:hAnsi="Times New Roman" w:eastAsia="Times New Roman" w:cs="Times New Roman"/>
        </w:rPr>
        <w:t xml:space="preserve"> </w:t>
      </w:r>
      <w:r>
        <w:rPr>
          <w:rFonts w:ascii="Leelawadee UI" w:hAnsi="Leelawadee UI" w:eastAsia="Leelawadee UI" w:cs="Leelawadee UI"/>
        </w:rPr>
        <w:t>និមិត្តរបស់ដានីយ៉ែលអំពីព្រះគ្រីស្ទ</w:t>
      </w:r>
      <w:r>
        <w:rPr>
          <w:rFonts w:ascii="Times New Roman" w:hAnsi="Times New Roman" w:eastAsia="Times New Roman" w:cs="Times New Roman"/>
        </w:rPr>
        <w:t xml:space="preserve"> </w:t>
      </w:r>
      <w:r>
        <w:rPr>
          <w:rFonts w:ascii="Leelawadee UI" w:hAnsi="Leelawadee UI" w:eastAsia="Leelawadee UI" w:cs="Leelawadee UI"/>
        </w:rPr>
        <w:t>ត្រូវបានកាប្រ៊ីយ៉ែលបកស្រាយថាជាប្រវត្តិសាស្ត្រខាងក្រៅនៃពេលវេលានៃការបោះត្រារប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នៅពេលដែលប្រវត្តិសាស្ត្រនៃថ្ងៃទី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ក្នុងការបកស្រាយរបស់កាប្រ៊ីយ៉ែលត្រូវបានឈានដល់</w:t>
      </w:r>
      <w:r>
        <w:rPr>
          <w:rFonts w:ascii="Times New Roman" w:hAnsi="Times New Roman" w:eastAsia="Times New Roman" w:cs="Times New Roman"/>
        </w:rPr>
        <w:t xml:space="preserve"> </w:t>
      </w:r>
      <w:r>
        <w:rPr>
          <w:rFonts w:ascii="Leelawadee UI" w:hAnsi="Leelawadee UI" w:eastAsia="Leelawadee UI" w:cs="Leelawadee UI"/>
        </w:rPr>
        <w:t>នោះប្រវត្តិសាស្ត្រដែលត្រូវបានសង្កត់ធ្ងន់ថានាំមុខច្បាប់ថ្ងៃអាទិត្យនៃខទីដប់ប្រាំមួយ</w:t>
      </w:r>
      <w:r>
        <w:rPr>
          <w:rFonts w:ascii="Times New Roman" w:hAnsi="Times New Roman" w:eastAsia="Times New Roman" w:cs="Times New Roman"/>
        </w:rPr>
        <w:t xml:space="preserve"> </w:t>
      </w:r>
      <w:r>
        <w:rPr>
          <w:rFonts w:ascii="Leelawadee UI" w:hAnsi="Leelawadee UI" w:eastAsia="Leelawadee UI" w:cs="Leelawadee UI"/>
        </w:rPr>
        <w:t>ត្រូវបានទទួលស្គាល់តែដោយកូនសោនៃការយល់ដឹង</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បន្ទាយមាំមួន</w:t>
      </w:r>
      <w:r>
        <w:rPr>
          <w:rFonts w:ascii="Times New Roman" w:hAnsi="Times New Roman" w:eastAsia="Times New Roman" w:cs="Times New Roman"/>
        </w:rPr>
        <w:t xml:space="preserve">» </w:t>
      </w:r>
      <w:r>
        <w:rPr>
          <w:rFonts w:ascii="Leelawadee UI" w:hAnsi="Leelawadee UI" w:eastAsia="Leelawadee UI" w:cs="Leelawadee UI"/>
        </w:rPr>
        <w:t>នៅក្នុងខទីដប់។</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ឥទ្ធិពលនៃគ្រប់និមិត្តបានចាប់ផ្ដើមលាតត្រដាងឡើង</w:t>
      </w:r>
      <w:r>
        <w:rPr>
          <w:rFonts w:ascii="Times New Roman" w:hAnsi="Times New Roman" w:eastAsia="Times New Roman" w:cs="Times New Roman"/>
        </w:rPr>
        <w:t xml:space="preserve"> </w:t>
      </w:r>
      <w:r>
        <w:rPr>
          <w:rFonts w:ascii="Leelawadee UI" w:hAnsi="Leelawadee UI" w:eastAsia="Leelawadee UI" w:cs="Leelawadee UI"/>
        </w:rPr>
        <w:t>ដូចជាកង់នៅក្នុងកង់។</w:t>
      </w:r>
    </w:p>
    <w:p>
      <w:pPr>
        <w:pStyle w:val="ArticleScripture"/>
        <w:jc w:val="left"/>
      </w:pPr>
      <w:r>
        <w:rPr>
          <w:rFonts w:ascii="Times New Roman" w:hAnsi="Times New Roman" w:eastAsia="Times New Roman" w:cs="Times New Roman"/>
        </w:rPr>
        <w:t>Na u le rito ra Jiova ri sa yaco vei au, ka kaya, Luve ni tamata, a cava na vosa vakaibalebale ko ni sa taukena tiko ena vanua ko Isireli, ni dou kaya, Sa vakabalavutaki na veisiga, ka sa sega ni yaco e dua na raivotu? O koya mo tukuna vei ira, Sa kaya vakaoqo na Turaga na Kalou; Au na vakayalia na vosa vakaibalebale oqo, ka ra na sega tale ni vakayagataka me vosa vakaibalebale e Isireli; ia mo kaya vei ira, Sa voleka mai na veisiga, kei na kena vakayacori na raivotu kecega. Ni na sega tale ni dua na raivotu lasu se dauvakadivinate veivakaisini ena loma ni mataqali i Isireli. Ni sai Au ko Jiova: Au na vosa, ka na yaco na vosa au na cavuta; ena sega tale ni vakabalavutaki: ni ena nomudou gauna, kemudou na vuvale talaidredre, au na cavuta na vosa, ka na vakayacora, sa kaya na Turaga na Kalou. Sa qai yaco tale mai vei au na vosa i Jiova, ka kaya, Luve ni tamata, raica, era kaya na lewe ni vuvale i Isireli, Na raivotu sa raica ko koya sa baleta na veisiga e vuqa sa bera mai, ka sa parofisaitaka ko koya na gauna era se yawa sara. O koya mo kaya vei ira, Sa kaya vakaoqo na Turaga na Kalou; E na sega tale ni vakabalavutaki e dua ga na noqu vosa, ia na vosa au sa cavuta ena vakayacori, sa kaya na Turaga na Kalou. Isikeli 12:21–28.</w:t>
      </w:r>
    </w:p>
    <w:p>
      <w:pPr>
        <w:pStyle w:val="ArticleBody"/>
        <w:jc w:val="left"/>
      </w:pPr>
      <w:r>
        <w:rPr>
          <w:rFonts w:ascii="Times New Roman" w:hAnsi="Times New Roman" w:eastAsia="Times New Roman" w:cs="Times New Roman"/>
        </w:rPr>
        <w:t>Дар байни ҳамаи чархҳои набувватие, ки дар он таърих дар даруни чархҳои дигари набувватӣ мегарданд, як чарх ҳаст, ки Илҳом ба шогирдони набуввати айёми охир маълум кардааст, ки ҳамон чархест, ки бо он сарнавишти абадии онҳо муайян хоҳад шуд. Қоида бар қоида, ҳамон чарх ҳамчунин бояд рӯъёе бошад, ки Дониёл дид ва ӯро ба сурати Масеҳ дигаргун сохт, зеро он ҳамон рӯъёест, ки он чиро, ки бар сари қавми Худо дар айёми охир меояд, муайян месозад.</w:t>
      </w:r>
    </w:p>
    <w:p>
      <w:pPr>
        <w:pStyle w:val="ArticleScripture"/>
        <w:jc w:val="left"/>
      </w:pPr>
      <w:r>
        <w:rPr>
          <w:rFonts w:ascii="Times New Roman" w:hAnsi="Times New Roman" w:eastAsia="Times New Roman" w:cs="Times New Roman"/>
        </w:rPr>
        <w:t>“Rabbi menga dengan jelas telah memperlihatkan kepada saya bahwa patung binatang itu akan dibentuk sebelum masa percobaan berakhir; sebab hal itu akan menjadi ujian besar bagi umat Allah, yang olehnya nasib kekal mereka akan diputuskan. Pendirianmu merupakan campur-aduk ketidakkonsistenan yang sedemikian rupa sehingga hanya sedikit orang yang akan tertipu.</w:t>
      </w:r>
    </w:p>
    <w:p>
      <w:pPr>
        <w:pStyle w:val="ArticleScripture"/>
        <w:jc w:val="left"/>
      </w:pPr>
      <w:r>
        <w:rPr>
          <w:rFonts w:ascii="Times New Roman" w:hAnsi="Times New Roman" w:eastAsia="Times New Roman" w:cs="Times New Roman"/>
        </w:rPr>
        <w:t>« Dans Apocalypse 13, ce sujet est présenté clairement ; [Apocalypse 13:11–17, cité]. »</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འདི་ནི་དཀོན་མཆོག་གི་མི་ཚོས་རྟགས་བཀབ་པའི་སྔོན་ལ་ངེས་པར་འཕྲད་དགོས་པའི་ཚོད་ལྟ་ཡིན།</w:t>
      </w:r>
      <w:r>
        <w:rPr>
          <w:rFonts w:ascii="Times New Roman" w:hAnsi="Times New Roman" w:eastAsia="Times New Roman" w:cs="Times New Roman"/>
        </w:rPr>
        <w:t xml:space="preserve"> </w:t>
      </w:r>
      <w:r>
        <w:rPr>
          <w:rFonts w:ascii="Microsoft Himalaya" w:hAnsi="Microsoft Himalaya" w:eastAsia="Microsoft Himalaya" w:cs="Microsoft Himalaya"/>
        </w:rPr>
        <w:t>སུ་ཞིག་གིས་ཁོང་གི་བཀའ་ཁྲིམས་བསྲུངས་པ་དང་།</w:t>
      </w:r>
      <w:r>
        <w:rPr>
          <w:rFonts w:ascii="Times New Roman" w:hAnsi="Times New Roman" w:eastAsia="Times New Roman" w:cs="Times New Roman"/>
        </w:rPr>
        <w:t xml:space="preserve"> </w:t>
      </w:r>
      <w:r>
        <w:rPr>
          <w:rFonts w:ascii="Microsoft Himalaya" w:hAnsi="Microsoft Himalaya" w:eastAsia="Microsoft Himalaya" w:cs="Microsoft Himalaya"/>
        </w:rPr>
        <w:t>རྫུན་མའི་ངལ་གསོའི་ཉིན་མོ་ཞིག་དང་ལེན་མ་བྱས་པར།</w:t>
      </w:r>
      <w:r>
        <w:rPr>
          <w:rFonts w:ascii="Times New Roman" w:hAnsi="Times New Roman" w:eastAsia="Times New Roman" w:cs="Times New Roman"/>
        </w:rPr>
        <w:t xml:space="preserve"> </w:t>
      </w:r>
      <w:r>
        <w:rPr>
          <w:rFonts w:ascii="Microsoft Himalaya" w:hAnsi="Microsoft Himalaya" w:eastAsia="Microsoft Himalaya" w:cs="Microsoft Himalaya"/>
        </w:rPr>
        <w:t>དེ་བཞིན་དཀོན་མཆོག་ལ་བློ་དཀར་བསྟན་པ་གསལ་བར་བྱས་མཁན་ཚང་མ་ནི།</w:t>
      </w:r>
      <w:r>
        <w:rPr>
          <w:rFonts w:ascii="Times New Roman" w:hAnsi="Times New Roman" w:eastAsia="Times New Roman" w:cs="Times New Roman"/>
        </w:rPr>
        <w:t xml:space="preserve"> </w:t>
      </w:r>
      <w:r>
        <w:rPr>
          <w:rFonts w:ascii="Microsoft Himalaya" w:hAnsi="Microsoft Himalaya" w:eastAsia="Microsoft Himalaya" w:cs="Microsoft Himalaya"/>
        </w:rPr>
        <w:t>གཙོ་བོ་ཡ་ཧོ་ཝ་དཀོན་མཆོག་གི་དར་ཆའི་འོག་ཏུ་གྲལ་སྒྲིག་བྱེད་ཀྱི་རེད།</w:t>
      </w:r>
      <w:r>
        <w:rPr>
          <w:rFonts w:ascii="Times New Roman" w:hAnsi="Times New Roman" w:eastAsia="Times New Roman" w:cs="Times New Roman"/>
        </w:rPr>
        <w:t xml:space="preserve"> </w:t>
      </w:r>
      <w:r>
        <w:rPr>
          <w:rFonts w:ascii="Microsoft Himalaya" w:hAnsi="Microsoft Himalaya" w:eastAsia="Microsoft Himalaya" w:cs="Microsoft Himalaya"/>
        </w:rPr>
        <w:t>ཁོང་ཚོས་ཀྱང་གསོན་པོའི་དཀོན་མཆོག་གི་རྟགས་དེ་ཐོབ་པར་འགྱུར།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གང་དག་གིས་སྐུ་གནས་མཐོན་པོ་ནས་བྱུང་བའི་བདེན་པ་དེ་བཏང་ནས།</w:t>
      </w:r>
      <w:r>
        <w:rPr>
          <w:rFonts w:ascii="Times New Roman" w:hAnsi="Times New Roman" w:eastAsia="Times New Roman" w:cs="Times New Roman"/>
        </w:rPr>
        <w:t xml:space="preserve"> </w:t>
      </w:r>
      <w:r>
        <w:rPr>
          <w:rFonts w:ascii="Microsoft Himalaya" w:hAnsi="Microsoft Himalaya" w:eastAsia="Microsoft Himalaya" w:cs="Microsoft Himalaya"/>
        </w:rPr>
        <w:t>ཉི་མའི་ཉིན་མོའི་ངལ་གསོའི་ཉིན་མོ་དང་ལེན་བྱེད་པ་ཚོས་ནི།</w:t>
      </w:r>
      <w:r>
        <w:rPr>
          <w:rFonts w:ascii="Times New Roman" w:hAnsi="Times New Roman" w:eastAsia="Times New Roman" w:cs="Times New Roman"/>
        </w:rPr>
        <w:t xml:space="preserve"> </w:t>
      </w:r>
      <w:r>
        <w:rPr>
          <w:rFonts w:ascii="Microsoft Himalaya" w:hAnsi="Microsoft Himalaya" w:eastAsia="Microsoft Himalaya" w:cs="Microsoft Himalaya"/>
        </w:rPr>
        <w:t>གཅན་གཟན་གྱི་རྟགས་དེ་འཐོབ་པར་འགྱུར།</w:t>
      </w:r>
      <w:r>
        <w:rPr>
          <w:rFonts w:ascii="Times New Roman" w:hAnsi="Times New Roman" w:eastAsia="Times New Roman" w:cs="Times New Roman"/>
        </w:rPr>
        <w:t>» Manuscript Releases, volume 15, 15.</w:t>
      </w:r>
    </w:p>
    <w:p>
      <w:pPr>
        <w:pStyle w:val="ArticleBody"/>
        <w:jc w:val="left"/>
      </w:pPr>
      <w:r>
        <w:rPr>
          <w:rFonts w:ascii="Leelawadee UI" w:hAnsi="Leelawadee UI" w:eastAsia="Leelawadee UI" w:cs="Leelawadee UI"/>
        </w:rPr>
        <w:t>អន្តិការណ៍ដែលត្រូវបានកំណត់ថាជាអន្តិការណ៍នៃរូបសត្វសាហាវនោះ</w:t>
      </w:r>
      <w:r>
        <w:rPr>
          <w:rFonts w:ascii="Times New Roman" w:hAnsi="Times New Roman" w:eastAsia="Times New Roman" w:cs="Times New Roman"/>
        </w:rPr>
        <w:t xml:space="preserve"> </w:t>
      </w:r>
      <w:r>
        <w:rPr>
          <w:rFonts w:ascii="Leelawadee UI" w:hAnsi="Leelawadee UI" w:eastAsia="Leelawadee UI" w:cs="Leelawadee UI"/>
        </w:rPr>
        <w:t>មានពីរផ្នែក។</w:t>
      </w:r>
      <w:r>
        <w:rPr>
          <w:rFonts w:ascii="Times New Roman" w:hAnsi="Times New Roman" w:eastAsia="Times New Roman" w:cs="Times New Roman"/>
        </w:rPr>
        <w:t xml:space="preserve"> </w:t>
      </w:r>
      <w:r>
        <w:rPr>
          <w:rFonts w:ascii="Leelawadee UI" w:hAnsi="Leelawadee UI" w:eastAsia="Leelawadee UI" w:cs="Leelawadee UI"/>
        </w:rPr>
        <w:t>វាជាអន្តិការណ៍ដែលទាមទារឲ្យសិស្សនៃការព្យាករណ៍ទទួលស្គាល់ការរីកចម្រើននៃរូបសត្វសាហាវ</w:t>
      </w:r>
      <w:r>
        <w:rPr>
          <w:rFonts w:ascii="Times New Roman" w:hAnsi="Times New Roman" w:eastAsia="Times New Roman" w:cs="Times New Roman"/>
        </w:rPr>
        <w:t xml:space="preserve"> </w:t>
      </w:r>
      <w:r>
        <w:rPr>
          <w:rFonts w:ascii="Leelawadee UI" w:hAnsi="Leelawadee UI" w:eastAsia="Leelawadee UI" w:cs="Leelawadee UI"/>
        </w:rPr>
        <w:t>ដែលជាការរួមបញ្ចូលគ្នារវាងសាសនាចក្រ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និងរដ្ឋនៅសហរដ្ឋអាមេរិក</w:t>
      </w:r>
      <w:r>
        <w:rPr>
          <w:rFonts w:ascii="Times New Roman" w:hAnsi="Times New Roman" w:eastAsia="Times New Roman" w:cs="Times New Roman"/>
        </w:rPr>
        <w:t xml:space="preserve"> </w:t>
      </w:r>
      <w:r>
        <w:rPr>
          <w:rFonts w:ascii="Leelawadee UI" w:hAnsi="Leelawadee UI" w:eastAsia="Leelawadee UI" w:cs="Leelawadee UI"/>
        </w:rPr>
        <w:t>មុនច្បាប់ថ្ងៃអាទិត្យមកដល់។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វាក៏ជាអន្តិការណ៍ដែលបង្កើតឲ្យមានទាំងរូបសត្វសាហាវ</w:t>
      </w:r>
      <w:r>
        <w:rPr>
          <w:rFonts w:ascii="Times New Roman" w:hAnsi="Times New Roman" w:eastAsia="Times New Roman" w:cs="Times New Roman"/>
        </w:rPr>
        <w:t xml:space="preserve"> </w:t>
      </w:r>
      <w:r>
        <w:rPr>
          <w:rFonts w:ascii="Leelawadee UI" w:hAnsi="Leelawadee UI" w:eastAsia="Leelawadee UI" w:cs="Leelawadee UI"/>
        </w:rPr>
        <w:t>ឬរូបរបស់ព្រះគ្រីស្ទ</w:t>
      </w:r>
      <w:r>
        <w:rPr>
          <w:rFonts w:ascii="Times New Roman" w:hAnsi="Times New Roman" w:eastAsia="Times New Roman" w:cs="Times New Roman"/>
        </w:rPr>
        <w:t xml:space="preserve"> </w:t>
      </w:r>
      <w:r>
        <w:rPr>
          <w:rFonts w:ascii="Leelawadee UI" w:hAnsi="Leelawadee UI" w:eastAsia="Leelawadee UI" w:cs="Leelawadee UI"/>
        </w:rPr>
        <w:t>នៅក្នុងអ្នកដែលត្រូវបានតំណាងដោយដានីយ៉ែល</w:t>
      </w:r>
      <w:r>
        <w:rPr>
          <w:rFonts w:ascii="Times New Roman" w:hAnsi="Times New Roman" w:eastAsia="Times New Roman" w:cs="Times New Roman"/>
        </w:rPr>
        <w:t xml:space="preserve"> </w:t>
      </w:r>
      <w:r>
        <w:rPr>
          <w:rFonts w:ascii="Leelawadee UI" w:hAnsi="Leelawadee UI" w:eastAsia="Leelawadee UI" w:cs="Leelawadee UI"/>
        </w:rPr>
        <w:t>ឬអ្នកដែលបានរត់គេច។</w:t>
      </w:r>
      <w:r>
        <w:rPr>
          <w:rFonts w:ascii="Times New Roman" w:hAnsi="Times New Roman" w:eastAsia="Times New Roman" w:cs="Times New Roman"/>
        </w:rPr>
        <w:t xml:space="preserve"> </w:t>
      </w:r>
      <w:r>
        <w:rPr>
          <w:rFonts w:ascii="Leelawadee UI" w:hAnsi="Leelawadee UI" w:eastAsia="Leelawadee UI" w:cs="Leelawadee UI"/>
        </w:rPr>
        <w:t>ការបំបែកចេញពីគ្នានោះ</w:t>
      </w:r>
      <w:r>
        <w:rPr>
          <w:rFonts w:ascii="Times New Roman" w:hAnsi="Times New Roman" w:eastAsia="Times New Roman" w:cs="Times New Roman"/>
        </w:rPr>
        <w:t xml:space="preserve"> </w:t>
      </w:r>
      <w:r>
        <w:rPr>
          <w:rFonts w:ascii="Leelawadee UI" w:hAnsi="Leelawadee UI" w:eastAsia="Leelawadee UI" w:cs="Leelawadee UI"/>
        </w:rPr>
        <w:t>ផ្អែកលើថាតើព្រហ្មចារីទាំងនោះ</w:t>
      </w:r>
      <w:r>
        <w:rPr>
          <w:rFonts w:ascii="Times New Roman" w:hAnsi="Times New Roman" w:eastAsia="Times New Roman" w:cs="Times New Roman"/>
        </w:rPr>
        <w:t xml:space="preserve"> «</w:t>
      </w:r>
      <w:r>
        <w:rPr>
          <w:rFonts w:ascii="Leelawadee UI" w:hAnsi="Leelawadee UI" w:eastAsia="Leelawadee UI" w:cs="Leelawadee UI"/>
        </w:rPr>
        <w:t>មើលឃើញនិមិត្តដ៏អស្ចារ្យនេះ</w:t>
      </w:r>
      <w:r>
        <w:rPr>
          <w:rFonts w:ascii="Times New Roman" w:hAnsi="Times New Roman" w:eastAsia="Times New Roman" w:cs="Times New Roman"/>
        </w:rPr>
        <w:t xml:space="preserve">» </w:t>
      </w:r>
      <w:r>
        <w:rPr>
          <w:rFonts w:ascii="Leelawadee UI" w:hAnsi="Leelawadee UI" w:eastAsia="Leelawadee UI" w:cs="Leelawadee UI"/>
        </w:rPr>
        <w:t>ដូចដែលដានីយ៉ែលបានធ្វើដែរ</w:t>
      </w:r>
      <w:r>
        <w:rPr>
          <w:rFonts w:ascii="Times New Roman" w:hAnsi="Times New Roman" w:eastAsia="Times New Roman" w:cs="Times New Roman"/>
        </w:rPr>
        <w:t xml:space="preserve"> </w:t>
      </w:r>
      <w:r>
        <w:rPr>
          <w:rFonts w:ascii="Leelawadee UI" w:hAnsi="Leelawadee UI" w:eastAsia="Leelawadee UI" w:cs="Leelawadee UI"/>
        </w:rPr>
        <w:t>ឬថាពួកគេរត់គេចចេញពីនិមិត្តនោះ។</w:t>
      </w:r>
      <w:r>
        <w:rPr>
          <w:rFonts w:ascii="Times New Roman" w:hAnsi="Times New Roman" w:eastAsia="Times New Roman" w:cs="Times New Roman"/>
        </w:rPr>
        <w:t xml:space="preserve"> </w:t>
      </w:r>
      <w:r>
        <w:rPr>
          <w:rFonts w:ascii="Leelawadee UI" w:hAnsi="Leelawadee UI" w:eastAsia="Leelawadee UI" w:cs="Leelawadee UI"/>
        </w:rPr>
        <w:t>គន្លឹះនៃការមើលឃើញនិមិត្តដ៏អស្ចារ្យនោះ</w:t>
      </w:r>
      <w:r>
        <w:rPr>
          <w:rFonts w:ascii="Times New Roman" w:hAnsi="Times New Roman" w:eastAsia="Times New Roman" w:cs="Times New Roman"/>
        </w:rPr>
        <w:t xml:space="preserve"> </w:t>
      </w:r>
      <w:r>
        <w:rPr>
          <w:rFonts w:ascii="Leelawadee UI" w:hAnsi="Leelawadee UI" w:eastAsia="Leelawadee UI" w:cs="Leelawadee UI"/>
        </w:rPr>
        <w:t>ត្រូវបានតំណាងដោយពាក្យ</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Nirmala UI" w:hAnsi="Nirmala UI" w:eastAsia="Nirmala UI" w:cs="Nirmala UI"/>
        </w:rPr>
        <w:t>योहनलाई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स्वयंभन्दा</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व्यक्तित्वको</w:t>
      </w:r>
      <w:r>
        <w:rPr>
          <w:rFonts w:ascii="Times New Roman" w:hAnsi="Times New Roman" w:eastAsia="Times New Roman" w:cs="Times New Roman"/>
        </w:rPr>
        <w:t xml:space="preserve"> </w:t>
      </w:r>
      <w:r>
        <w:rPr>
          <w:rFonts w:ascii="Nirmala UI" w:hAnsi="Nirmala UI" w:eastAsia="Nirmala UI" w:cs="Nirmala UI"/>
        </w:rPr>
        <w:t>हुनुहुन्थेन।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खुट्टा</w:t>
      </w:r>
      <w:r>
        <w:rPr>
          <w:rFonts w:ascii="Times New Roman" w:hAnsi="Times New Roman" w:eastAsia="Times New Roman" w:cs="Times New Roman"/>
        </w:rPr>
        <w:t xml:space="preserve"> </w:t>
      </w:r>
      <w:r>
        <w:rPr>
          <w:rFonts w:ascii="Nirmala UI" w:hAnsi="Nirmala UI" w:eastAsia="Nirmala UI" w:cs="Nirmala UI"/>
        </w:rPr>
        <w:t>समुद्रमा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सुक्खा</w:t>
      </w:r>
      <w:r>
        <w:rPr>
          <w:rFonts w:ascii="Times New Roman" w:hAnsi="Times New Roman" w:eastAsia="Times New Roman" w:cs="Times New Roman"/>
        </w:rPr>
        <w:t xml:space="preserve"> </w:t>
      </w:r>
      <w:r>
        <w:rPr>
          <w:rFonts w:ascii="Nirmala UI" w:hAnsi="Nirmala UI" w:eastAsia="Nirmala UI" w:cs="Nirmala UI"/>
        </w:rPr>
        <w:t>भूमिमाथि</w:t>
      </w:r>
      <w:r>
        <w:rPr>
          <w:rFonts w:ascii="Times New Roman" w:hAnsi="Times New Roman" w:eastAsia="Times New Roman" w:cs="Times New Roman"/>
        </w:rPr>
        <w:t xml:space="preserve"> </w:t>
      </w:r>
      <w:r>
        <w:rPr>
          <w:rFonts w:ascii="Nirmala UI" w:hAnsi="Nirmala UI" w:eastAsia="Nirmala UI" w:cs="Nirmala UI"/>
        </w:rPr>
        <w:t>राख्नुभएको</w:t>
      </w:r>
      <w:r>
        <w:rPr>
          <w:rFonts w:ascii="Times New Roman" w:hAnsi="Times New Roman" w:eastAsia="Times New Roman" w:cs="Times New Roman"/>
        </w:rPr>
        <w:t xml:space="preserve"> </w:t>
      </w:r>
      <w:r>
        <w:rPr>
          <w:rFonts w:ascii="Nirmala UI" w:hAnsi="Nirmala UI" w:eastAsia="Nirmala UI" w:cs="Nirmala UI"/>
        </w:rPr>
        <w:t>तथ्यले</w:t>
      </w:r>
      <w:r>
        <w:rPr>
          <w:rFonts w:ascii="Times New Roman" w:hAnsi="Times New Roman" w:eastAsia="Times New Roman" w:cs="Times New Roman"/>
        </w:rPr>
        <w:t xml:space="preserve"> </w:t>
      </w:r>
      <w:r>
        <w:rPr>
          <w:rFonts w:ascii="Nirmala UI" w:hAnsi="Nirmala UI" w:eastAsia="Nirmala UI" w:cs="Nirmala UI"/>
        </w:rPr>
        <w:t>शैतानसँगको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दृश्यहरूमा</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निर्वाह</w:t>
      </w:r>
      <w:r>
        <w:rPr>
          <w:rFonts w:ascii="Times New Roman" w:hAnsi="Times New Roman" w:eastAsia="Times New Roman" w:cs="Times New Roman"/>
        </w:rPr>
        <w:t xml:space="preserve"> </w:t>
      </w:r>
      <w:r>
        <w:rPr>
          <w:rFonts w:ascii="Nirmala UI" w:hAnsi="Nirmala UI" w:eastAsia="Nirmala UI" w:cs="Nirmala UI"/>
        </w:rPr>
        <w:t>गरिरहनुभएको</w:t>
      </w:r>
      <w:r>
        <w:rPr>
          <w:rFonts w:ascii="Times New Roman" w:hAnsi="Times New Roman" w:eastAsia="Times New Roman" w:cs="Times New Roman"/>
        </w:rPr>
        <w:t xml:space="preserve"> </w:t>
      </w:r>
      <w:r>
        <w:rPr>
          <w:rFonts w:ascii="Nirmala UI" w:hAnsi="Nirmala UI" w:eastAsia="Nirmala UI" w:cs="Nirmala UI"/>
        </w:rPr>
        <w:t>भूमिकालाई</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अवस्थाले</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पृथ्वीमाथि</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अधिकारलाई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युगदेखि</w:t>
      </w:r>
      <w:r>
        <w:rPr>
          <w:rFonts w:ascii="Times New Roman" w:hAnsi="Times New Roman" w:eastAsia="Times New Roman" w:cs="Times New Roman"/>
        </w:rPr>
        <w:t xml:space="preserve"> </w:t>
      </w:r>
      <w:r>
        <w:rPr>
          <w:rFonts w:ascii="Nirmala UI" w:hAnsi="Nirmala UI" w:eastAsia="Nirmala UI" w:cs="Nirmala UI"/>
        </w:rPr>
        <w:t>युगसम्म</w:t>
      </w:r>
      <w:r>
        <w:rPr>
          <w:rFonts w:ascii="Times New Roman" w:hAnsi="Times New Roman" w:eastAsia="Times New Roman" w:cs="Times New Roman"/>
        </w:rPr>
        <w:t xml:space="preserve"> </w:t>
      </w:r>
      <w:r>
        <w:rPr>
          <w:rFonts w:ascii="Nirmala UI" w:hAnsi="Nirmala UI" w:eastAsia="Nirmala UI" w:cs="Nirmala UI"/>
        </w:rPr>
        <w:t>झन्</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दृश्यहरूसम्म</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अन्धकारका</w:t>
      </w:r>
      <w:r>
        <w:rPr>
          <w:rFonts w:ascii="Times New Roman" w:hAnsi="Times New Roman" w:eastAsia="Times New Roman" w:cs="Times New Roman"/>
        </w:rPr>
        <w:t xml:space="preserve"> </w:t>
      </w:r>
      <w:r>
        <w:rPr>
          <w:rFonts w:ascii="Nirmala UI" w:hAnsi="Nirmala UI" w:eastAsia="Nirmala UI" w:cs="Nirmala UI"/>
        </w:rPr>
        <w:t>शक्तिहरूको</w:t>
      </w:r>
      <w:r>
        <w:rPr>
          <w:rFonts w:ascii="Times New Roman" w:hAnsi="Times New Roman" w:eastAsia="Times New Roman" w:cs="Times New Roman"/>
        </w:rPr>
        <w:t xml:space="preserve"> </w:t>
      </w:r>
      <w:r>
        <w:rPr>
          <w:rFonts w:ascii="Nirmala UI" w:hAnsi="Nirmala UI" w:eastAsia="Nirmala UI" w:cs="Nirmala UI"/>
        </w:rPr>
        <w:t>कुशल</w:t>
      </w:r>
      <w:r>
        <w:rPr>
          <w:rFonts w:ascii="Times New Roman" w:hAnsi="Times New Roman" w:eastAsia="Times New Roman" w:cs="Times New Roman"/>
        </w:rPr>
        <w:t xml:space="preserve"> </w:t>
      </w:r>
      <w:r>
        <w:rPr>
          <w:rFonts w:ascii="Nirmala UI" w:hAnsi="Nirmala UI" w:eastAsia="Nirmala UI" w:cs="Nirmala UI"/>
        </w:rPr>
        <w:t>कार्यसम्पादन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सीमासम्म</w:t>
      </w:r>
      <w:r>
        <w:rPr>
          <w:rFonts w:ascii="Times New Roman" w:hAnsi="Times New Roman" w:eastAsia="Times New Roman" w:cs="Times New Roman"/>
        </w:rPr>
        <w:t xml:space="preserve"> </w:t>
      </w:r>
      <w:r>
        <w:rPr>
          <w:rFonts w:ascii="Nirmala UI" w:hAnsi="Nirmala UI" w:eastAsia="Nirmala UI" w:cs="Nirmala UI"/>
        </w:rPr>
        <w:t>पुग्नेछ।</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मानिसहरूसँग</w:t>
      </w:r>
      <w:r>
        <w:rPr>
          <w:rFonts w:ascii="Times New Roman" w:hAnsi="Times New Roman" w:eastAsia="Times New Roman" w:cs="Times New Roman"/>
        </w:rPr>
        <w:t xml:space="preserve"> </w:t>
      </w:r>
      <w:r>
        <w:rPr>
          <w:rFonts w:ascii="Nirmala UI" w:hAnsi="Nirmala UI" w:eastAsia="Nirmala UI" w:cs="Nirmala UI"/>
        </w:rPr>
        <w:t>एकताबद्ध</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मण्डलीहरूलाई</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ध्यानको</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स्वरले</w:t>
      </w:r>
      <w:r>
        <w:rPr>
          <w:rFonts w:ascii="Times New Roman" w:hAnsi="Times New Roman" w:eastAsia="Times New Roman" w:cs="Times New Roman"/>
        </w:rPr>
        <w:t xml:space="preserve"> </w:t>
      </w:r>
      <w:r>
        <w:rPr>
          <w:rFonts w:ascii="Nirmala UI" w:hAnsi="Nirmala UI" w:eastAsia="Nirmala UI" w:cs="Nirmala UI"/>
        </w:rPr>
        <w:t>पुकार्नुहुन्छ।</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शैतानसँग</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स्वरको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देखाइनेछ।</w:t>
      </w:r>
    </w:p>
    <w:p>
      <w:pPr>
        <w:pStyle w:val="ArticleScripture"/>
        <w:jc w:val="left"/>
      </w:pPr>
      <w:r>
        <w:rPr>
          <w:rFonts w:ascii="Times New Roman" w:hAnsi="Times New Roman" w:eastAsia="Times New Roman" w:cs="Times New Roman"/>
        </w:rPr>
        <w:t>«Αφού οι επτά αυτοί βροντές εξέφεραν τις φωνές τους, δίδεται στον Ιωάννη η εντολή, όπως και στον Δανιήλ, σχετικά με το μικρό βιβλίο: “Σφράγισε εκείνα τα οποία είπαν οι επτά βροντές.” Αυτά αφορούν μελλοντικά γεγονότα, τα οποία θα αποκαλυφθούν κατά τη σειρά τους. Ο Δανιήλ θα σταθεί στον κλήρο του στο τέλος των ημερών. Ο Ιωάννης βλέπει το μικρό βιβλίο αποσφραγισμένο. Τότε οι προφητείες του Δανιήλ έχουν τη δική τους προσήκουσα θέση στα μηνύματα του πρώτου, του δευτέρου και του τρίτου αγγέλου που πρόκειται να δοθούν στον κόσμο. Η αποσφράγιση του μικρού βιβλίου ήταν το μήνυμα σε σχέση με τον χρόνο.»</w:t>
      </w:r>
    </w:p>
    <w:p>
      <w:pPr>
        <w:pStyle w:val="ArticleScripture"/>
        <w:jc w:val="left"/>
      </w:pPr>
      <w:r>
        <w:rPr>
          <w:rFonts w:ascii="Times New Roman" w:hAnsi="Times New Roman" w:eastAsia="Times New Roman" w:cs="Times New Roman"/>
        </w:rPr>
        <w:t>«Дониёр ва Ваҳий китоблари бирдир. Бири — башорат, иккинчиси — ваҳий; бири — муҳрланган китоб, иккинчиси — очилган китобдир. Юҳанно момақалдироқлар айтган сирларни эшитди, аммо уларни ёзмасликка амр қилинди.»</w:t>
      </w:r>
    </w:p>
    <w:p>
      <w:pPr>
        <w:pStyle w:val="ArticleScripture"/>
        <w:jc w:val="left"/>
      </w:pPr>
      <w:r>
        <w:rPr>
          <w:rFonts w:ascii="Times New Roman" w:hAnsi="Times New Roman" w:eastAsia="Times New Roman" w:cs="Times New Roman"/>
        </w:rPr>
        <w:t>“Lyset serligt, sum varð givið Jóhannesi og varð uttrykt í teimum sjey torunum, var ein lýsing av hendingum, ið fóru at bera til undir boðskapinum hjá fyrsta og øðrum eingli.”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soixante-neuf</dc:title>
  <dc:subject>Défaire les fils prophétiques : comprendre le symbolisme de la « forteresse » dans Daniel</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