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Bokin Daniel - Namba Sikstin</w:t>
      </w:r>
    </w:p>
    <w:p>
      <w:pPr>
        <w:pStyle w:val="ArticleSubtitle"/>
        <w:jc w:val="left"/>
      </w:pPr>
      <w:r>
        <w:rPr>
          <w:rFonts w:ascii="Nirmala UI" w:hAnsi="Nirmala UI" w:eastAsia="Nirmala UI" w:cs="Nirmala UI"/>
        </w:rPr>
        <w:t>सांकेतिक</w:t>
      </w:r>
      <w:r>
        <w:rPr>
          <w:rFonts w:ascii="Arial" w:hAnsi="Arial" w:eastAsia="Arial" w:cs="Arial"/>
        </w:rPr>
        <w:t xml:space="preserve"> </w:t>
      </w:r>
      <w:r>
        <w:rPr>
          <w:rFonts w:ascii="Nirmala UI" w:hAnsi="Nirmala UI" w:eastAsia="Nirmala UI" w:cs="Nirmala UI"/>
        </w:rPr>
        <w:t>चिन्ह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Avant d’aborder le chapitre trois de Daniel, nous examinerons un certain symbolisme prophétique qui pourrait nous permettre de comprendre plus pleinement ce chapitre. Daniel, Hanania, Mishaël et Azaria sont employés par le Saint-Esprit pour représenter des symboles prophétiques spécifiques, selon le contexte dans lequel ils sont employés. Au chapitre un, ils sont présentés comme quatre hommes dignes, sans distinction, jusqu’à la fin du chapitre, où Daniel est identifié comme ayant le don de « comprendre toutes les visions et tous les songes ».</w:t>
      </w:r>
    </w:p>
    <w:p>
      <w:pPr>
        <w:pStyle w:val="ArticleScripture"/>
        <w:jc w:val="left"/>
      </w:pPr>
      <w:r>
        <w:rPr>
          <w:rFonts w:ascii="Times New Roman" w:hAnsi="Times New Roman" w:eastAsia="Times New Roman" w:cs="Times New Roman"/>
        </w:rPr>
        <w:t>Quant à ces quatre enfants, Dieu leur donna de la science et de l’intelligence dans toutes les lettres et dans toute la sagesse; et Daniel avait l’intelligence de toutes les visions et de tous les songes. Daniel 1:17.</w:t>
      </w:r>
    </w:p>
    <w:p>
      <w:pPr>
        <w:pStyle w:val="ArticleBody"/>
        <w:jc w:val="left"/>
      </w:pPr>
      <w:r>
        <w:rPr>
          <w:rFonts w:ascii="Times New Roman" w:hAnsi="Times New Roman" w:eastAsia="Times New Roman" w:cs="Times New Roman"/>
        </w:rPr>
        <w:t>Chapitre un, en tant que symbole du « quatre », ils représentent le peuple de Dieu dans les derniers jours à travers le monde. Le « quatre » est un symbole qui représente l’échelle mondiale, et tous les prophètes parlent des derniers jours. Les quatre dignitaires du chapitre un représentent le peuple de Dieu des derniers jours, et au verset dix-sept, une distinction est faite pour la première fois entre Daniel et les trois dignitaires, ce qui représente le symbole d’une « combinaison de trois et un ».</w:t>
      </w:r>
    </w:p>
    <w:p>
      <w:pPr>
        <w:pStyle w:val="ArticleBody"/>
        <w:jc w:val="left"/>
      </w:pPr>
      <w:r>
        <w:rPr>
          <w:rFonts w:ascii="Times New Roman" w:hAnsi="Times New Roman" w:eastAsia="Times New Roman" w:cs="Times New Roman"/>
        </w:rPr>
        <w:t>بھگوانی کلام میں “تین اور ایک کے امتزاج” کی علامت بار بار پائی جاتی ہے۔ سیاق کے مطابق یہ کئی حقائق کی نمائندگی کرتی ہے۔ یہ اُن تین فرشتوں کے پیغامات کی تاریخ کی نمائندگی کرتی ہے جو 1798 میں “وقتِ آخر” پر شروع ہوئے اور مہلتِ آزمائش کے اختتام پر ختم ہوتے ہیں۔ تینوں پیغامات پہلے فرشتے کی تحریک میں ممثل تھے، اور اُس تحریک کے بعد مکاشفہ اٹھارہ کا چوتھا فرشتہ آتا ہے؛ یوں یہ تین اور ایک کا امتزاج ہے۔</w:t>
      </w:r>
    </w:p>
    <w:p>
      <w:pPr>
        <w:pStyle w:val="ArticleBody"/>
        <w:jc w:val="left"/>
      </w:pPr>
      <w:r>
        <w:rPr>
          <w:rFonts w:ascii="Times New Roman" w:hAnsi="Times New Roman" w:eastAsia="Times New Roman" w:cs="Times New Roman"/>
        </w:rPr>
        <w:t>Dans certains contextes, cela peut représenter le mouvement du message du premier ange de l’histoire millérite par le nombre un, en combinaison avec le mouvement du message du troisième ange par le nombre trois. Ainsi, la « combinaison de trois et un » peut aussi être représentée comme la « combinaison de un et trois ». La « combinaison symbolique de trois-un » fonctionne comme un symbole soit par le un — précédant le trois, soit par le trois — précédant le un. Dans la fournaise de Nebucadnetsar, au chapitre trois de Daniel, nous voyons d’abord les trois dignitaires, puis un quatrième semblable au Fils de Dieu.</w:t>
      </w:r>
    </w:p>
    <w:p>
      <w:pPr>
        <w:pStyle w:val="ArticleScripture"/>
        <w:jc w:val="left"/>
      </w:pPr>
      <w:r>
        <w:rPr>
          <w:rFonts w:ascii="Times New Roman" w:hAnsi="Times New Roman" w:eastAsia="Times New Roman" w:cs="Times New Roman"/>
        </w:rPr>
        <w:t>Ug katong tulo ka mga lalaki, si Shadrach, Meshach, ug Abednego, nangatagak nga binugkos ngadto sa taliwala sa nagdilaab nga hudno nga kalayo. Unya si Nabucodonosor nga hari nahibulong pag-ayo, ug mitindog sa pagdali, ug misulti, ug miingon sa iyang mga magtatambag, Wala ba kita maghulog ug tulo ka mga lalaki nga binugkos ngadto sa taliwala sa kalayo? Sila mitubag ug miingon sa hari, Tinuod, O hari. Siya mitubag ug miingon, Ania karon, ako nakakita ug upat ka mga lalaki nga gawasnon, nga nagalakaw sa taliwala sa kalayo, ug sila walay kadaot; ug ang dagway sa ikaupat sama sa Anak sa Dios. Daniel 3:23–25.</w:t>
      </w:r>
    </w:p>
    <w:p>
      <w:pPr>
        <w:pStyle w:val="ArticleBody"/>
        <w:jc w:val="left"/>
      </w:pPr>
      <w:r>
        <w:rPr>
          <w:rFonts w:ascii="Times New Roman" w:hAnsi="Times New Roman" w:eastAsia="Times New Roman" w:cs="Times New Roman"/>
        </w:rPr>
        <w:t>Bila shaka kuna sababu ya kimungu iliyo kamilifu, na ukweli sahihi wa kihistoria, ambayo ingetujulisha kwa nini Danieli hakuwakilishwa katika ibada ya kuisujudia sanamu ya dhahabu ya sura ya tatu; lakini sababu moja ya kinabii ni kwamba kama Danieli angekuwapo, angeharibu ishara ya kinabii ya muungano wa watatu-na-mmoja katika tanuru ya moto. Kwa Gideoni, ilikuwa Gideoni na vikosi vyake vitatu vya watu mia moja mia moja. Kristo mara nyingi alikuwa pamoja na wanafunzi watatu.</w:t>
      </w:r>
    </w:p>
    <w:p>
      <w:pPr>
        <w:pStyle w:val="ArticleScripture"/>
        <w:jc w:val="left"/>
      </w:pP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ექვსი</w:t>
      </w:r>
      <w:r>
        <w:rPr>
          <w:rFonts w:ascii="Times New Roman" w:hAnsi="Times New Roman" w:eastAsia="Times New Roman" w:cs="Times New Roman"/>
        </w:rPr>
        <w:t xml:space="preserve"> </w:t>
      </w:r>
      <w:r>
        <w:rPr>
          <w:rFonts w:ascii="Sylfaen" w:hAnsi="Sylfaen" w:eastAsia="Sylfaen" w:cs="Sylfaen"/>
        </w:rPr>
        <w:t>დღის</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w:t>
      </w:r>
      <w:r>
        <w:rPr>
          <w:rFonts w:ascii="Sylfaen" w:hAnsi="Sylfaen" w:eastAsia="Sylfaen" w:cs="Sylfaen"/>
        </w:rPr>
        <w:t>იესო</w:t>
      </w:r>
      <w:r>
        <w:rPr>
          <w:rFonts w:ascii="Times New Roman" w:hAnsi="Times New Roman" w:eastAsia="Times New Roman" w:cs="Times New Roman"/>
        </w:rPr>
        <w:t xml:space="preserve"> </w:t>
      </w:r>
      <w:r>
        <w:rPr>
          <w:rFonts w:ascii="Sylfaen" w:hAnsi="Sylfaen" w:eastAsia="Sylfaen" w:cs="Sylfaen"/>
        </w:rPr>
        <w:t>წაიყვანა</w:t>
      </w:r>
      <w:r>
        <w:rPr>
          <w:rFonts w:ascii="Times New Roman" w:hAnsi="Times New Roman" w:eastAsia="Times New Roman" w:cs="Times New Roman"/>
        </w:rPr>
        <w:t xml:space="preserve"> </w:t>
      </w:r>
      <w:r>
        <w:rPr>
          <w:rFonts w:ascii="Sylfaen" w:hAnsi="Sylfaen" w:eastAsia="Sylfaen" w:cs="Sylfaen"/>
        </w:rPr>
        <w:t>პეტრე</w:t>
      </w:r>
      <w:r>
        <w:rPr>
          <w:rFonts w:ascii="Times New Roman" w:hAnsi="Times New Roman" w:eastAsia="Times New Roman" w:cs="Times New Roman"/>
        </w:rPr>
        <w:t xml:space="preserve">, </w:t>
      </w:r>
      <w:r>
        <w:rPr>
          <w:rFonts w:ascii="Sylfaen" w:hAnsi="Sylfaen" w:eastAsia="Sylfaen" w:cs="Sylfaen"/>
        </w:rPr>
        <w:t>იაკობი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იოანე</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ძმა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აიყვანა</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მაღალ</w:t>
      </w:r>
      <w:r>
        <w:rPr>
          <w:rFonts w:ascii="Times New Roman" w:hAnsi="Times New Roman" w:eastAsia="Times New Roman" w:cs="Times New Roman"/>
        </w:rPr>
        <w:t xml:space="preserve"> </w:t>
      </w:r>
      <w:r>
        <w:rPr>
          <w:rFonts w:ascii="Sylfaen" w:hAnsi="Sylfaen" w:eastAsia="Sylfaen" w:cs="Sylfaen"/>
        </w:rPr>
        <w:t>მთაზე</w:t>
      </w:r>
      <w:r>
        <w:rPr>
          <w:rFonts w:ascii="Times New Roman" w:hAnsi="Times New Roman" w:eastAsia="Times New Roman" w:cs="Times New Roman"/>
        </w:rPr>
        <w:t xml:space="preserve"> </w:t>
      </w:r>
      <w:r>
        <w:rPr>
          <w:rFonts w:ascii="Sylfaen" w:hAnsi="Sylfaen" w:eastAsia="Sylfaen" w:cs="Sylfaen"/>
        </w:rPr>
        <w:t>განმარტოებით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გარდაისახა</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წინაშე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სახე</w:t>
      </w:r>
      <w:r>
        <w:rPr>
          <w:rFonts w:ascii="Times New Roman" w:hAnsi="Times New Roman" w:eastAsia="Times New Roman" w:cs="Times New Roman"/>
        </w:rPr>
        <w:t xml:space="preserve"> </w:t>
      </w:r>
      <w:r>
        <w:rPr>
          <w:rFonts w:ascii="Sylfaen" w:hAnsi="Sylfaen" w:eastAsia="Sylfaen" w:cs="Sylfaen"/>
        </w:rPr>
        <w:t>გაბრწყინდა</w:t>
      </w:r>
      <w:r>
        <w:rPr>
          <w:rFonts w:ascii="Times New Roman" w:hAnsi="Times New Roman" w:eastAsia="Times New Roman" w:cs="Times New Roman"/>
        </w:rPr>
        <w:t xml:space="preserve">, </w:t>
      </w:r>
      <w:r>
        <w:rPr>
          <w:rFonts w:ascii="Sylfaen" w:hAnsi="Sylfaen" w:eastAsia="Sylfaen" w:cs="Sylfaen"/>
        </w:rPr>
        <w:t>ვითარცა</w:t>
      </w:r>
      <w:r>
        <w:rPr>
          <w:rFonts w:ascii="Times New Roman" w:hAnsi="Times New Roman" w:eastAsia="Times New Roman" w:cs="Times New Roman"/>
        </w:rPr>
        <w:t xml:space="preserve"> </w:t>
      </w:r>
      <w:r>
        <w:rPr>
          <w:rFonts w:ascii="Sylfaen" w:hAnsi="Sylfaen" w:eastAsia="Sylfaen" w:cs="Sylfaen"/>
        </w:rPr>
        <w:t>მზე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სამოსელი</w:t>
      </w:r>
      <w:r>
        <w:rPr>
          <w:rFonts w:ascii="Times New Roman" w:hAnsi="Times New Roman" w:eastAsia="Times New Roman" w:cs="Times New Roman"/>
        </w:rPr>
        <w:t xml:space="preserve"> </w:t>
      </w:r>
      <w:r>
        <w:rPr>
          <w:rFonts w:ascii="Sylfaen" w:hAnsi="Sylfaen" w:eastAsia="Sylfaen" w:cs="Sylfaen"/>
        </w:rPr>
        <w:t>გახდა</w:t>
      </w:r>
      <w:r>
        <w:rPr>
          <w:rFonts w:ascii="Times New Roman" w:hAnsi="Times New Roman" w:eastAsia="Times New Roman" w:cs="Times New Roman"/>
        </w:rPr>
        <w:t xml:space="preserve"> </w:t>
      </w:r>
      <w:r>
        <w:rPr>
          <w:rFonts w:ascii="Sylfaen" w:hAnsi="Sylfaen" w:eastAsia="Sylfaen" w:cs="Sylfaen"/>
        </w:rPr>
        <w:t>თეთრი</w:t>
      </w:r>
      <w:r>
        <w:rPr>
          <w:rFonts w:ascii="Times New Roman" w:hAnsi="Times New Roman" w:eastAsia="Times New Roman" w:cs="Times New Roman"/>
        </w:rPr>
        <w:t xml:space="preserve">, </w:t>
      </w:r>
      <w:r>
        <w:rPr>
          <w:rFonts w:ascii="Sylfaen" w:hAnsi="Sylfaen" w:eastAsia="Sylfaen" w:cs="Sylfaen"/>
        </w:rPr>
        <w:t>ვითარცა</w:t>
      </w:r>
      <w:r>
        <w:rPr>
          <w:rFonts w:ascii="Times New Roman" w:hAnsi="Times New Roman" w:eastAsia="Times New Roman" w:cs="Times New Roman"/>
        </w:rPr>
        <w:t xml:space="preserve"> </w:t>
      </w:r>
      <w:r>
        <w:rPr>
          <w:rFonts w:ascii="Sylfaen" w:hAnsi="Sylfaen" w:eastAsia="Sylfaen" w:cs="Sylfaen"/>
        </w:rPr>
        <w:t>ნათელი</w:t>
      </w:r>
      <w:r>
        <w:rPr>
          <w:rFonts w:ascii="Times New Roman" w:hAnsi="Times New Roman" w:eastAsia="Times New Roman" w:cs="Times New Roman"/>
        </w:rPr>
        <w:t xml:space="preserve">. </w:t>
      </w:r>
      <w:r>
        <w:rPr>
          <w:rFonts w:ascii="Sylfaen" w:hAnsi="Sylfaen" w:eastAsia="Sylfaen" w:cs="Sylfaen"/>
        </w:rPr>
        <w:t>მათე</w:t>
      </w:r>
      <w:r>
        <w:rPr>
          <w:rFonts w:ascii="Times New Roman" w:hAnsi="Times New Roman" w:eastAsia="Times New Roman" w:cs="Times New Roman"/>
        </w:rPr>
        <w:t xml:space="preserve"> 17:1, 2.</w:t>
      </w:r>
    </w:p>
    <w:p>
      <w:pPr>
        <w:pStyle w:val="ArticleBody"/>
        <w:jc w:val="left"/>
      </w:pPr>
      <w:r>
        <w:rPr>
          <w:rFonts w:ascii="Times New Roman" w:hAnsi="Times New Roman" w:eastAsia="Times New Roman" w:cs="Times New Roman"/>
        </w:rPr>
        <w:t>Jedno-a-tri, ili tri-u-jednom; to je isti simbol, jer svi oni predstavljaju neki proročki element posljednjih dana, a posljednji dani su dani suda. Dani suda započeli su 1798. godine, s objavom da će istražni sud otpočeti 22. listopada 1844. I dani suda traju sve dok se ljudsko vrijeme milosti ne počne zatvarati pri uskoro nadolazećem zakonu o nedjelji, dok Božji izvršni sudovi započinju i postupno se pojačavaju sve dok se vrijeme milosti potpuno ne zatvori i dok ne nastupi sedam posljednjih zala. Kod Nabukodonozorove peći, trojica dostojnika, kojima se poslije pridružio Krist, predstavljaju stijeg. Na posvećenju zlatnoga lika bili su nazočni svi narodi koji su sačinjavali Nabukodonozorovo kraljevstvo.</w:t>
      </w:r>
    </w:p>
    <w:p>
      <w:pPr>
        <w:pStyle w:val="ArticleScripture"/>
        <w:jc w:val="left"/>
      </w:pPr>
      <w:r>
        <w:rPr>
          <w:rFonts w:ascii="Times New Roman" w:hAnsi="Times New Roman" w:eastAsia="Times New Roman" w:cs="Times New Roman"/>
        </w:rPr>
        <w:t>Et il élèvera une bannière pour les nations lointaines, et il leur sifflera de l’extrémité de la terre ; et voici, elles viendront avec promptitude, rapidement. Ésaïe 5:26.</w:t>
      </w:r>
    </w:p>
    <w:p>
      <w:pPr>
        <w:pStyle w:val="ArticleBody"/>
        <w:jc w:val="left"/>
      </w:pPr>
      <w:r>
        <w:rPr>
          <w:rFonts w:ascii="Times New Roman" w:hAnsi="Times New Roman" w:eastAsia="Times New Roman" w:cs="Times New Roman"/>
        </w:rPr>
        <w:t>Aos setenta anos do cativeiro de Daniel constitui outro símbolo essencial a ser reconhecido, e ele se encontra repetidamente na palavra inspirada. De Jeoaquim até Ciro representa os setenta anos literais do cativeiro de Daniel. Em 2 Crônicas, os setenta anos representam o período em que a terra repousaria e desfrutaria os seus sábados. Em Isaías 23, os setenta anos representam a história dos Estados Unidos desde 1798 até à lei dominical e, ao fazê-lo, representam também as histórias paralelas do chifre do Republicanismo e do chifre do verdadeiro Protestantismo. A irmã White alinha os setenta anos com os mil duzentos e sessenta anos da Idade das Trevas papal.</w:t>
      </w:r>
    </w:p>
    <w:p>
      <w:pPr>
        <w:pStyle w:val="ArticleScripture"/>
        <w:jc w:val="left"/>
      </w:pPr>
      <w:r>
        <w:rPr>
          <w:rFonts w:ascii="Times New Roman" w:hAnsi="Times New Roman" w:eastAsia="Times New Roman" w:cs="Times New Roman"/>
        </w:rPr>
        <w:t>“</w:t>
      </w:r>
      <w:r>
        <w:rPr>
          <w:rFonts w:ascii="Nirmala UI" w:hAnsi="Nirmala UI" w:eastAsia="Nirmala UI" w:cs="Nirmala UI"/>
        </w:rPr>
        <w:t>আজ</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হারানো</w:t>
      </w:r>
      <w:r>
        <w:rPr>
          <w:rFonts w:ascii="Times New Roman" w:hAnsi="Times New Roman" w:eastAsia="Times New Roman" w:cs="Times New Roman"/>
        </w:rPr>
        <w:t xml:space="preserve"> </w:t>
      </w:r>
      <w:r>
        <w:rPr>
          <w:rFonts w:ascii="Nirmala UI" w:hAnsi="Nirmala UI" w:eastAsia="Nirmala UI" w:cs="Nirmala UI"/>
        </w:rPr>
        <w:t>মানবজাতির</w:t>
      </w:r>
      <w:r>
        <w:rPr>
          <w:rFonts w:ascii="Times New Roman" w:hAnsi="Times New Roman" w:eastAsia="Times New Roman" w:cs="Times New Roman"/>
        </w:rPr>
        <w:t xml:space="preserve"> </w:t>
      </w:r>
      <w:r>
        <w:rPr>
          <w:rFonts w:ascii="Nirmala UI" w:hAnsi="Nirmala UI" w:eastAsia="Nirmala UI" w:cs="Nirmala UI"/>
        </w:rPr>
        <w:t>পরিত্রাণের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ঈশ্বরীয়</w:t>
      </w:r>
      <w:r>
        <w:rPr>
          <w:rFonts w:ascii="Times New Roman" w:hAnsi="Times New Roman" w:eastAsia="Times New Roman" w:cs="Times New Roman"/>
        </w:rPr>
        <w:t xml:space="preserve"> </w:t>
      </w:r>
      <w:r>
        <w:rPr>
          <w:rFonts w:ascii="Nirmala UI" w:hAnsi="Nirmala UI" w:eastAsia="Nirmala UI" w:cs="Nirmala UI"/>
        </w:rPr>
        <w:t>পরিকল্পনাকে</w:t>
      </w:r>
      <w:r>
        <w:rPr>
          <w:rFonts w:ascii="Times New Roman" w:hAnsi="Times New Roman" w:eastAsia="Times New Roman" w:cs="Times New Roman"/>
        </w:rPr>
        <w:t xml:space="preserve"> </w:t>
      </w:r>
      <w:r>
        <w:rPr>
          <w:rFonts w:ascii="Nirmala UI" w:hAnsi="Nirmala UI" w:eastAsia="Nirmala UI" w:cs="Nirmala UI"/>
        </w:rPr>
        <w:t>পূর্ণতার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স্বাধীন।</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শতাব্দী</w:t>
      </w:r>
      <w:r>
        <w:rPr>
          <w:rFonts w:ascii="Times New Roman" w:hAnsi="Times New Roman" w:eastAsia="Times New Roman" w:cs="Times New Roman"/>
        </w:rPr>
        <w:t xml:space="preserve"> </w:t>
      </w:r>
      <w:r>
        <w:rPr>
          <w:rFonts w:ascii="Nirmala UI" w:hAnsi="Nirmala UI" w:eastAsia="Nirmala UI" w:cs="Nirmala UI"/>
        </w:rPr>
        <w:t>ধরে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স্বাধীনতার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বিধিনিষেধ</w:t>
      </w:r>
      <w:r>
        <w:rPr>
          <w:rFonts w:ascii="Times New Roman" w:hAnsi="Times New Roman" w:eastAsia="Times New Roman" w:cs="Times New Roman"/>
        </w:rPr>
        <w:t xml:space="preserve"> </w:t>
      </w:r>
      <w:r>
        <w:rPr>
          <w:rFonts w:ascii="Nirmala UI" w:hAnsi="Nirmala UI" w:eastAsia="Nirmala UI" w:cs="Nirmala UI"/>
        </w:rPr>
        <w:t>ভোগ</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সুসমাচারকে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বিশুদ্ধতায়</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নিষিদ্ধ</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আদেশ</w:t>
      </w:r>
      <w:r>
        <w:rPr>
          <w:rFonts w:ascii="Times New Roman" w:hAnsi="Times New Roman" w:eastAsia="Times New Roman" w:cs="Times New Roman"/>
        </w:rPr>
        <w:t xml:space="preserve"> </w:t>
      </w:r>
      <w:r>
        <w:rPr>
          <w:rFonts w:ascii="Nirmala UI" w:hAnsi="Nirmala UI" w:eastAsia="Nirmala UI" w:cs="Nirmala UI"/>
        </w:rPr>
        <w:t>অমান্য</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সাহস</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কঠোর</w:t>
      </w:r>
      <w:r>
        <w:rPr>
          <w:rFonts w:ascii="Times New Roman" w:hAnsi="Times New Roman" w:eastAsia="Times New Roman" w:cs="Times New Roman"/>
        </w:rPr>
        <w:t xml:space="preserve"> </w:t>
      </w:r>
      <w:r>
        <w:rPr>
          <w:rFonts w:ascii="Nirmala UI" w:hAnsi="Nirmala UI" w:eastAsia="Nirmala UI" w:cs="Nirmala UI"/>
        </w:rPr>
        <w:t>দণ্ড</w:t>
      </w:r>
      <w:r>
        <w:rPr>
          <w:rFonts w:ascii="Times New Roman" w:hAnsi="Times New Roman" w:eastAsia="Times New Roman" w:cs="Times New Roman"/>
        </w:rPr>
        <w:t xml:space="preserve"> </w:t>
      </w:r>
      <w:r>
        <w:rPr>
          <w:rFonts w:ascii="Nirmala UI" w:hAnsi="Nirmala UI" w:eastAsia="Nirmala UI" w:cs="Nirmala UI"/>
        </w:rPr>
        <w:t>আরোপ</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ফলস্বরূপ</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নৈতিক</w:t>
      </w:r>
      <w:r>
        <w:rPr>
          <w:rFonts w:ascii="Times New Roman" w:hAnsi="Times New Roman" w:eastAsia="Times New Roman" w:cs="Times New Roman"/>
        </w:rPr>
        <w:t xml:space="preserve"> </w:t>
      </w:r>
      <w:r>
        <w:rPr>
          <w:rFonts w:ascii="Nirmala UI" w:hAnsi="Nirmala UI" w:eastAsia="Nirmala UI" w:cs="Nirmala UI"/>
        </w:rPr>
        <w:t>দ্রাক্ষাক্ষেত্র</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অনাবাদী</w:t>
      </w:r>
      <w:r>
        <w:rPr>
          <w:rFonts w:ascii="Times New Roman" w:hAnsi="Times New Roman" w:eastAsia="Times New Roman" w:cs="Times New Roman"/>
        </w:rPr>
        <w:t xml:space="preserve"> </w:t>
      </w:r>
      <w:r>
        <w:rPr>
          <w:rFonts w:ascii="Nirmala UI" w:hAnsi="Nirmala UI" w:eastAsia="Nirmala UI" w:cs="Nirmala UI"/>
        </w:rPr>
        <w:t>পড়ে</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বঞ্চিত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কুসংস্কারের</w:t>
      </w:r>
      <w:r>
        <w:rPr>
          <w:rFonts w:ascii="Times New Roman" w:hAnsi="Times New Roman" w:eastAsia="Times New Roman" w:cs="Times New Roman"/>
        </w:rPr>
        <w:t xml:space="preserve"> </w:t>
      </w:r>
      <w:r>
        <w:rPr>
          <w:rFonts w:ascii="Nirmala UI" w:hAnsi="Nirmala UI" w:eastAsia="Nirmala UI" w:cs="Nirmala UI"/>
        </w:rPr>
        <w:t>অন্ধকার</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ধর্মের</w:t>
      </w:r>
      <w:r>
        <w:rPr>
          <w:rFonts w:ascii="Times New Roman" w:hAnsi="Times New Roman" w:eastAsia="Times New Roman" w:cs="Times New Roman"/>
        </w:rPr>
        <w:t xml:space="preserve"> </w:t>
      </w:r>
      <w:r>
        <w:rPr>
          <w:rFonts w:ascii="Nirmala UI" w:hAnsi="Nirmala UI" w:eastAsia="Nirmala UI" w:cs="Nirmala UI"/>
        </w:rPr>
        <w:t>জ্ঞানকে</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লুপ্ত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উদ্যত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দীর্ঘ</w:t>
      </w:r>
      <w:r>
        <w:rPr>
          <w:rFonts w:ascii="Times New Roman" w:hAnsi="Times New Roman" w:eastAsia="Times New Roman" w:cs="Times New Roman"/>
        </w:rPr>
        <w:t xml:space="preserve"> </w:t>
      </w:r>
      <w:r>
        <w:rPr>
          <w:rFonts w:ascii="Nirmala UI" w:hAnsi="Nirmala UI" w:eastAsia="Nirmala UI" w:cs="Nirmala UI"/>
        </w:rPr>
        <w:t>নির্মম</w:t>
      </w:r>
      <w:r>
        <w:rPr>
          <w:rFonts w:ascii="Times New Roman" w:hAnsi="Times New Roman" w:eastAsia="Times New Roman" w:cs="Times New Roman"/>
        </w:rPr>
        <w:t xml:space="preserve"> </w:t>
      </w:r>
      <w:r>
        <w:rPr>
          <w:rFonts w:ascii="Nirmala UI" w:hAnsi="Nirmala UI" w:eastAsia="Nirmala UI" w:cs="Nirmala UI"/>
        </w:rPr>
        <w:t>নির্যাতনের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প্রকৃতপক্ষেই</w:t>
      </w:r>
      <w:r>
        <w:rPr>
          <w:rFonts w:ascii="Times New Roman" w:hAnsi="Times New Roman" w:eastAsia="Times New Roman" w:cs="Times New Roman"/>
        </w:rPr>
        <w:t xml:space="preserve"> </w:t>
      </w:r>
      <w:r>
        <w:rPr>
          <w:rFonts w:ascii="Nirmala UI" w:hAnsi="Nirmala UI" w:eastAsia="Nirmala UI" w:cs="Nirmala UI"/>
        </w:rPr>
        <w:t>বন্দিত্বে</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নির্বাসনের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সন্তানরা</w:t>
      </w:r>
      <w:r>
        <w:rPr>
          <w:rFonts w:ascii="Times New Roman" w:hAnsi="Times New Roman" w:eastAsia="Times New Roman" w:cs="Times New Roman"/>
        </w:rPr>
        <w:t xml:space="preserve"> </w:t>
      </w:r>
      <w:r>
        <w:rPr>
          <w:rFonts w:ascii="Nirmala UI" w:hAnsi="Nirmala UI" w:eastAsia="Nirmala UI" w:cs="Nirmala UI"/>
        </w:rPr>
        <w:t>বাবিলে</w:t>
      </w:r>
      <w:r>
        <w:rPr>
          <w:rFonts w:ascii="Times New Roman" w:hAnsi="Times New Roman" w:eastAsia="Times New Roman" w:cs="Times New Roman"/>
        </w:rPr>
        <w:t xml:space="preserve"> </w:t>
      </w:r>
      <w:r>
        <w:rPr>
          <w:rFonts w:ascii="Nirmala UI" w:hAnsi="Nirmala UI" w:eastAsia="Nirmala UI" w:cs="Nirmala UI"/>
        </w:rPr>
        <w:t>বন্দী</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Prophets and Kings, 714.</w:t>
      </w:r>
    </w:p>
    <w:p>
      <w:pPr>
        <w:pStyle w:val="ArticleBody"/>
        <w:jc w:val="left"/>
      </w:pPr>
      <w:r>
        <w:rPr>
          <w:rFonts w:ascii="Times New Roman" w:hAnsi="Times New Roman" w:eastAsia="Times New Roman" w:cs="Times New Roman"/>
        </w:rPr>
        <w:t>Dès qu’il est compris qu’en tant que symbole les soixante-dix ans représentent aussi les mille deux cent soixante ans du Moyen Âge ténébreux, alors l’illustration des « trois ans et demi », ou des « quarante-deux mois », ou des « un temps, des temps et la moitié d’un temps », qui représentent symboliquement le Moyen Âge ténébreux, élargit la signification et l’application des soixante-dix ans symboliques.</w:t>
      </w:r>
    </w:p>
    <w:p>
      <w:pPr>
        <w:pStyle w:val="ArticleBody"/>
        <w:jc w:val="left"/>
      </w:pPr>
      <w:r>
        <w:rPr>
          <w:rFonts w:ascii="Times New Roman" w:hAnsi="Times New Roman" w:eastAsia="Times New Roman" w:cs="Times New Roman"/>
        </w:rPr>
        <w:t>Daniels bok identifierar de sjuttio åren som perioden från den första budskapets bemyndigande till domen. Den perioden förekommer i varje helig reformrörelse, och därigenom representerar de sjuttio åren andra sanningens linjer som inte betonar tidselementet, utan behandlar periodens syfte. Exempelvis framställs perioden om sjuttio år av Malaki som den tid då förbundets budbärare renar Levis söner. Syster White förknippade Malakis rening av leviterna med Kristi två tempelreningar. Samma period är tiden för de etthundrafyrtiofyra tusendes besegling. Den är också den tid då det sena regnet successivt utgjuts. Samma period är även prövningstiden för vilddjurets bild, vilken leder till vilddjurets märke. Perioden är också den profetiska ”beredelsedagen”, som leder till söndagslagen, vilken också är ”sabbatens dag”. Perioden inrymmer skingringstider och samlingstider, vilka båda är delar av de ”sju tiderna”.</w:t>
      </w:r>
    </w:p>
    <w:p>
      <w:pPr>
        <w:pStyle w:val="ArticleBody"/>
        <w:jc w:val="left"/>
      </w:pPr>
      <w:r>
        <w:rPr>
          <w:rFonts w:ascii="Times New Roman" w:hAnsi="Times New Roman" w:eastAsia="Times New Roman" w:cs="Times New Roman"/>
        </w:rPr>
        <w:t>No livro de Daniel, Jeoaquim é um símbolo do fortalecimento da primeira mensagem. Em relação aos dois reis que o seguem, ele é simplesmente o primeiro de três anjos que conduzem ao juízo e nele terminam. Ciro é um símbolo não apenas da lei dominical, mas também é um “sinal” de livramento. Daniel é um elemento da combinação de três e um, e também parte da representação quádrupla e mundial do povo de Deus. Daniel é também um símbolo do mensageiro Elias, e igualmente tipifica João no livro do Apocalipse. Ele é também um símbolo daqueles que recebem o selo de Deus. O nome “Daniel” significa “o juiz de Deus”, ou “o Deus do juízo”; portanto, ele é um símbolo de juízo, e também de Laodiceia, pois Laodiceia significa “um povo julgado” ou “um povo sob juízo”. O juízo de Laodiceia está, em última instância, fundamentado em sua rejeição do conhecimento que é desselado no livro de Daniel.</w:t>
      </w:r>
    </w:p>
    <w:p>
      <w:pPr>
        <w:pStyle w:val="ArticleBody"/>
        <w:jc w:val="left"/>
      </w:pPr>
      <w:r>
        <w:rPr>
          <w:rFonts w:ascii="Times New Roman" w:hAnsi="Times New Roman" w:eastAsia="Times New Roman" w:cs="Times New Roman"/>
        </w:rPr>
        <w:t>Nebukadnezar az Amerikai Egyesült Államoknak mind a republikánus, mind pedig a valóban protestáns szarvának jelképe, és egyben az Egyesült Államok jelképe is annak kezdetétől egészen a végéig. Amikor Dániel könyvének negyedik és ötödik fejezetéhez érkezünk, azt fogjuk látni, hogy Nebukadnezar az 1798-ban bekövetkező „vég idejét” jelképezi, Baltazár pedig a vasárnaptörvényt jelképezi. Nebukadnezar a fenyítés „hét idejének” végén megtért, bárányhoz hasonló uralkodóvá lett, fia azonban közvetlenül pusztulása előtt végül úgy szól, mint a sárkány.</w:t>
      </w:r>
    </w:p>
    <w:p>
      <w:pPr>
        <w:pStyle w:val="ArticleScripture"/>
        <w:jc w:val="left"/>
      </w:pPr>
      <w:r>
        <w:rPr>
          <w:rFonts w:ascii="Times New Roman" w:hAnsi="Times New Roman" w:eastAsia="Times New Roman" w:cs="Times New Roman"/>
        </w:rPr>
        <w:t>«Подобно как и первому царю Вавилона, к его последнему правителю как к прообразу пришёл приговор Божественного Стража: “О царь,... тебе говорится: царство отошло от тебя”. Даниил 4:31». Пророки и цари, 533.</w:t>
      </w:r>
    </w:p>
    <w:p>
      <w:pPr>
        <w:pStyle w:val="ArticleBody"/>
        <w:jc w:val="left"/>
      </w:pPr>
      <w:r>
        <w:rPr>
          <w:rFonts w:ascii="Times New Roman" w:hAnsi="Times New Roman" w:eastAsia="Times New Roman" w:cs="Times New Roman"/>
        </w:rPr>
        <w:t>Daniel chapitre un représente l’histoire du mouvement millérite du 11 août 1840 jusqu’au 22 octobre 1844. Il représente aussi la période allant du 11 septembre 2001 jusqu’à la loi du dimanche. Il représente également le premier des messages des trois anges, lesquels constituent aussi un second symbole prophétique de l’histoire des États-Unis de 1798 jusqu’à la loi du dimanche.</w:t>
      </w:r>
    </w:p>
    <w:p>
      <w:pPr>
        <w:pStyle w:val="ArticleBody"/>
        <w:jc w:val="left"/>
      </w:pPr>
      <w:r>
        <w:rPr>
          <w:rFonts w:ascii="Times New Roman" w:hAnsi="Times New Roman" w:eastAsia="Times New Roman" w:cs="Times New Roman"/>
        </w:rPr>
        <w:t>Peut-être la représentation la plus importante du premier chapitre de Daniel est-elle qu’il constitue la première chose mentionnée dans le livre prophétique formé ensemble par le livre de Daniel et le livre de l’Apocalypse. C’est le premier de trois tests prophétiques qu’un étudiant de la prophétie doit maîtriser. C’est ce qui doit être « mangé » afin de réussir les épreuves qui suivent.</w:t>
      </w:r>
    </w:p>
    <w:p>
      <w:pPr>
        <w:pStyle w:val="ArticleBody"/>
        <w:jc w:val="left"/>
      </w:pPr>
      <w:r>
        <w:rPr>
          <w:rFonts w:ascii="Times New Roman" w:hAnsi="Times New Roman" w:eastAsia="Times New Roman" w:cs="Times New Roman"/>
        </w:rPr>
        <w:t>Na *Early Writings*, tan nga naipahayag na hin sobra usa ka higayon hini nga mga artikulo, ginpapakilala ni Sister White an tulo-ka-lakáng nga proseso han pagtilaw ha kasaysayan ni Cristo ha usa nga parapo, ngan dida ha nasunod nga parapo iya liwat ginpapakilala an tulo-ka-lakáng nga proseso han pagtilaw ha kasaysayan han mga Millerite. Iya ginpapakilala nga adton ha panahon ni Cristo nga nagdumiri han mensahe ni Juan, diri makakabenepisyo tikang ha mga katutdoan ni Jesus. An nasunod nga parapo nagtutugot hadton naruruyag makakita, nga an siyahan nga pagsulay para han mga Millerite amo hi William Miller, nga ginpapakilala ni Sister White nga ginpatipohan hadton duha—ni Juan nga Parabaptis ngan ni Elias. Inin duha nga mga saksi han siyahan nga pagsulay nagpapatukod nga an Daniel kapitulo uno amo an mensahe ni Elias. Kon an kapitulo uno igindiri, waray mahimo nga bisan ano nga kaopayan tikang ha mga kapitulo dos ngan tres.</w:t>
      </w:r>
    </w:p>
    <w:p>
      <w:pPr>
        <w:pStyle w:val="ArticleBody"/>
        <w:jc w:val="left"/>
      </w:pPr>
      <w:r>
        <w:rPr>
          <w:rFonts w:ascii="Leelawadee UI" w:hAnsi="Leelawadee UI" w:eastAsia="Leelawadee UI" w:cs="Leelawadee UI"/>
        </w:rPr>
        <w:t>យេស៊ូ</w:t>
      </w:r>
      <w:r>
        <w:rPr>
          <w:rFonts w:ascii="Times New Roman" w:hAnsi="Times New Roman" w:eastAsia="Times New Roman" w:cs="Times New Roman"/>
        </w:rPr>
        <w:t xml:space="preserve"> </w:t>
      </w:r>
      <w:r>
        <w:rPr>
          <w:rFonts w:ascii="Leelawadee UI" w:hAnsi="Leelawadee UI" w:eastAsia="Leelawadee UI" w:cs="Leelawadee UI"/>
        </w:rPr>
        <w:t>និងទេវតាទីពីរ</w:t>
      </w:r>
      <w:r>
        <w:rPr>
          <w:rFonts w:ascii="Times New Roman" w:hAnsi="Times New Roman" w:eastAsia="Times New Roman" w:cs="Times New Roman"/>
        </w:rPr>
        <w:t xml:space="preserve"> </w:t>
      </w:r>
      <w:r>
        <w:rPr>
          <w:rFonts w:ascii="Leelawadee UI" w:hAnsi="Leelawadee UI" w:eastAsia="Leelawadee UI" w:cs="Leelawadee UI"/>
        </w:rPr>
        <w:t>បានមកតាមក្រោយ</w:t>
      </w:r>
      <w:r>
        <w:rPr>
          <w:rFonts w:ascii="Times New Roman" w:hAnsi="Times New Roman" w:eastAsia="Times New Roman" w:cs="Times New Roman"/>
        </w:rPr>
        <w:t xml:space="preserve"> </w:t>
      </w:r>
      <w:r>
        <w:rPr>
          <w:rFonts w:ascii="Leelawadee UI" w:hAnsi="Leelawadee UI" w:eastAsia="Leelawadee UI" w:cs="Leelawadee UI"/>
        </w:rPr>
        <w:t>យ៉ូហានបាទីស្ទ</w:t>
      </w:r>
      <w:r>
        <w:rPr>
          <w:rFonts w:ascii="Times New Roman" w:hAnsi="Times New Roman" w:eastAsia="Times New Roman" w:cs="Times New Roman"/>
        </w:rPr>
        <w:t xml:space="preserve"> </w:t>
      </w:r>
      <w:r>
        <w:rPr>
          <w:rFonts w:ascii="Leelawadee UI" w:hAnsi="Leelawadee UI" w:eastAsia="Leelawadee UI" w:cs="Leelawadee UI"/>
        </w:rPr>
        <w:t>និងទេវតាទីមួយ</w:t>
      </w:r>
      <w:r>
        <w:rPr>
          <w:rFonts w:ascii="Times New Roman" w:hAnsi="Times New Roman" w:eastAsia="Times New Roman" w:cs="Times New Roman"/>
        </w:rPr>
        <w:t xml:space="preserve"> </w:t>
      </w:r>
      <w:r>
        <w:rPr>
          <w:rFonts w:ascii="Leelawadee UI" w:hAnsi="Leelawadee UI" w:eastAsia="Leelawadee UI" w:cs="Leelawadee UI"/>
        </w:rPr>
        <w:t>ក្នុងប្រវត្តិសាស្ត្រដែលសមស្របរបស់ពួកគេ។</w:t>
      </w:r>
      <w:r>
        <w:rPr>
          <w:rFonts w:ascii="Times New Roman" w:hAnsi="Times New Roman" w:eastAsia="Times New Roman" w:cs="Times New Roman"/>
        </w:rPr>
        <w:t xml:space="preserve"> </w:t>
      </w:r>
      <w:r>
        <w:rPr>
          <w:rFonts w:ascii="Leelawadee UI" w:hAnsi="Leelawadee UI" w:eastAsia="Leelawadee UI" w:cs="Leelawadee UI"/>
        </w:rPr>
        <w:t>បន្ទាប់ពីយេស៊ូ</w:t>
      </w:r>
      <w:r>
        <w:rPr>
          <w:rFonts w:ascii="Times New Roman" w:hAnsi="Times New Roman" w:eastAsia="Times New Roman" w:cs="Times New Roman"/>
        </w:rPr>
        <w:t xml:space="preserve"> </w:t>
      </w:r>
      <w:r>
        <w:rPr>
          <w:rFonts w:ascii="Leelawadee UI" w:hAnsi="Leelawadee UI" w:eastAsia="Leelawadee UI" w:cs="Leelawadee UI"/>
        </w:rPr>
        <w:t>គឺជាការជំនុំជម្រះនៃឈើឆ្កាង</w:t>
      </w:r>
      <w:r>
        <w:rPr>
          <w:rFonts w:ascii="Times New Roman" w:hAnsi="Times New Roman" w:eastAsia="Times New Roman" w:cs="Times New Roman"/>
        </w:rPr>
        <w:t xml:space="preserve"> </w:t>
      </w:r>
      <w:r>
        <w:rPr>
          <w:rFonts w:ascii="Leelawadee UI" w:hAnsi="Leelawadee UI" w:eastAsia="Leelawadee UI" w:cs="Leelawadee UI"/>
        </w:rPr>
        <w:t>ហើយទេវតាទីបីបានមកដល់</w:t>
      </w:r>
      <w:r>
        <w:rPr>
          <w:rFonts w:ascii="Times New Roman" w:hAnsi="Times New Roman" w:eastAsia="Times New Roman" w:cs="Times New Roman"/>
        </w:rPr>
        <w:t xml:space="preserve"> </w:t>
      </w:r>
      <w:r>
        <w:rPr>
          <w:rFonts w:ascii="Leelawadee UI" w:hAnsi="Leelawadee UI" w:eastAsia="Leelawadee UI" w:cs="Leelawadee UI"/>
        </w:rPr>
        <w:t>នៅពេលការជំនុំជម្រះស៊ើបអង្កេតបានចាប់ផ្តើម។</w:t>
      </w:r>
      <w:r>
        <w:rPr>
          <w:rFonts w:ascii="Times New Roman" w:hAnsi="Times New Roman" w:eastAsia="Times New Roman" w:cs="Times New Roman"/>
        </w:rPr>
        <w:t xml:space="preserve"> </w:t>
      </w:r>
      <w:r>
        <w:rPr>
          <w:rFonts w:ascii="Leelawadee UI" w:hAnsi="Leelawadee UI" w:eastAsia="Leelawadee UI" w:cs="Leelawadee UI"/>
        </w:rPr>
        <w:t>ការខកចិត្តរបស់ពួកសិស្សនៅឈើឆ្កាង</w:t>
      </w:r>
      <w:r>
        <w:rPr>
          <w:rFonts w:ascii="Times New Roman" w:hAnsi="Times New Roman" w:eastAsia="Times New Roman" w:cs="Times New Roman"/>
        </w:rPr>
        <w:t xml:space="preserve"> </w:t>
      </w:r>
      <w:r>
        <w:rPr>
          <w:rFonts w:ascii="Leelawadee UI" w:hAnsi="Leelawadee UI" w:eastAsia="Leelawadee UI" w:cs="Leelawadee UI"/>
        </w:rPr>
        <w:t>គឺជារូបតំណាងជាមុននៃការខកចិត្តដ៏ធំ</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ជំពូកទីមួយ</w:t>
      </w:r>
      <w:r>
        <w:rPr>
          <w:rFonts w:ascii="Times New Roman" w:hAnsi="Times New Roman" w:eastAsia="Times New Roman" w:cs="Times New Roman"/>
        </w:rPr>
        <w:t xml:space="preserve"> </w:t>
      </w:r>
      <w:r>
        <w:rPr>
          <w:rFonts w:ascii="Leelawadee UI" w:hAnsi="Leelawadee UI" w:eastAsia="Leelawadee UI" w:cs="Leelawadee UI"/>
        </w:rPr>
        <w:t>គឺអេលីយ៉ា</w:t>
      </w:r>
      <w:r>
        <w:rPr>
          <w:rFonts w:ascii="Times New Roman" w:hAnsi="Times New Roman" w:eastAsia="Times New Roman" w:cs="Times New Roman"/>
        </w:rPr>
        <w:t xml:space="preserve"> </w:t>
      </w:r>
      <w:r>
        <w:rPr>
          <w:rFonts w:ascii="Leelawadee UI" w:hAnsi="Leelawadee UI" w:eastAsia="Leelawadee UI" w:cs="Leelawadee UI"/>
        </w:rPr>
        <w:t>ដូចដែលបានតំណាងដោយ</w:t>
      </w:r>
      <w:r>
        <w:rPr>
          <w:rFonts w:ascii="Times New Roman" w:hAnsi="Times New Roman" w:eastAsia="Times New Roman" w:cs="Times New Roman"/>
        </w:rPr>
        <w:t xml:space="preserve"> </w:t>
      </w:r>
      <w:r>
        <w:rPr>
          <w:rFonts w:ascii="Leelawadee UI" w:hAnsi="Leelawadee UI" w:eastAsia="Leelawadee UI" w:cs="Leelawadee UI"/>
        </w:rPr>
        <w:t>យ៉ូហានបាទីស្ទ</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William Miller </w:t>
      </w:r>
      <w:r>
        <w:rPr>
          <w:rFonts w:ascii="Leelawadee UI" w:hAnsi="Leelawadee UI" w:eastAsia="Leelawadee UI" w:cs="Leelawadee UI"/>
        </w:rPr>
        <w:t>ប៉ុន្តែវាមិនអាចត្រូវបានបំបែកចេញពីជំពូកទីពីរ</w:t>
      </w:r>
      <w:r>
        <w:rPr>
          <w:rFonts w:ascii="Times New Roman" w:hAnsi="Times New Roman" w:eastAsia="Times New Roman" w:cs="Times New Roman"/>
        </w:rPr>
        <w:t xml:space="preserve"> </w:t>
      </w:r>
      <w:r>
        <w:rPr>
          <w:rFonts w:ascii="Leelawadee UI" w:hAnsi="Leelawadee UI" w:eastAsia="Leelawadee UI" w:cs="Leelawadee UI"/>
        </w:rPr>
        <w:t>និងទីបីបានទេ។</w:t>
      </w:r>
      <w:r>
        <w:rPr>
          <w:rFonts w:ascii="Times New Roman" w:hAnsi="Times New Roman" w:eastAsia="Times New Roman" w:cs="Times New Roman"/>
        </w:rPr>
        <w:t xml:space="preserve"> </w:t>
      </w:r>
      <w:r>
        <w:rPr>
          <w:rFonts w:ascii="Leelawadee UI" w:hAnsi="Leelawadee UI" w:eastAsia="Leelawadee UI" w:cs="Leelawadee UI"/>
        </w:rPr>
        <w:t>ជាមួយគ្នា</w:t>
      </w:r>
      <w:r>
        <w:rPr>
          <w:rFonts w:ascii="Times New Roman" w:hAnsi="Times New Roman" w:eastAsia="Times New Roman" w:cs="Times New Roman"/>
        </w:rPr>
        <w:t xml:space="preserve"> </w:t>
      </w:r>
      <w:r>
        <w:rPr>
          <w:rFonts w:ascii="Leelawadee UI" w:hAnsi="Leelawadee UI" w:eastAsia="Leelawadee UI" w:cs="Leelawadee UI"/>
        </w:rPr>
        <w:t>ជំពូកទាំងនោះគឺជាដំណឹងល្អអស់កល្បជានិច្ច</w:t>
      </w:r>
      <w:r>
        <w:rPr>
          <w:rFonts w:ascii="Times New Roman" w:hAnsi="Times New Roman" w:eastAsia="Times New Roman" w:cs="Times New Roman"/>
        </w:rPr>
        <w:t xml:space="preserve"> </w:t>
      </w:r>
      <w:r>
        <w:rPr>
          <w:rFonts w:ascii="Leelawadee UI" w:hAnsi="Leelawadee UI" w:eastAsia="Leelawadee UI" w:cs="Leelawadee UI"/>
        </w:rPr>
        <w:t>ដែលតែងតែជាសារសាកល្បងព្យាករណ៍បីជំហាន</w:t>
      </w:r>
      <w:r>
        <w:rPr>
          <w:rFonts w:ascii="Times New Roman" w:hAnsi="Times New Roman" w:eastAsia="Times New Roman" w:cs="Times New Roman"/>
        </w:rPr>
        <w:t xml:space="preserve"> </w:t>
      </w:r>
      <w:r>
        <w:rPr>
          <w:rFonts w:ascii="Leelawadee UI" w:hAnsi="Leelawadee UI" w:eastAsia="Leelawadee UI" w:cs="Leelawadee UI"/>
        </w:rPr>
        <w:t>ដែលបង្កើត</w:t>
      </w:r>
      <w:r>
        <w:rPr>
          <w:rFonts w:ascii="Times New Roman" w:hAnsi="Times New Roman" w:eastAsia="Times New Roman" w:cs="Times New Roman"/>
        </w:rPr>
        <w:t xml:space="preserve"> </w:t>
      </w:r>
      <w:r>
        <w:rPr>
          <w:rFonts w:ascii="Leelawadee UI" w:hAnsi="Leelawadee UI" w:eastAsia="Leelawadee UI" w:cs="Leelawadee UI"/>
        </w:rPr>
        <w:t>ហើយបន្ទាប់មកបំបែកអ្នកថ្វាយបង្គំពីរប្រភេទ។</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ប្រសិនបើជំពូកទាំងបីនោះត្រូវបានបំបែកចេញពីគ្នា</w:t>
      </w:r>
      <w:r>
        <w:rPr>
          <w:rFonts w:ascii="Times New Roman" w:hAnsi="Times New Roman" w:eastAsia="Times New Roman" w:cs="Times New Roman"/>
        </w:rPr>
        <w:t xml:space="preserve"> </w:t>
      </w:r>
      <w:r>
        <w:rPr>
          <w:rFonts w:ascii="Leelawadee UI" w:hAnsi="Leelawadee UI" w:eastAsia="Leelawadee UI" w:cs="Leelawadee UI"/>
        </w:rPr>
        <w:t>នោះវានឹងក្លាយជាដំណឹងល្អមួយផ្សេងទៀត។</w:t>
      </w:r>
    </w:p>
    <w:p>
      <w:pPr>
        <w:pStyle w:val="ArticleScripture"/>
        <w:jc w:val="left"/>
      </w:pPr>
      <w:r>
        <w:rPr>
          <w:rFonts w:ascii="Times New Roman" w:hAnsi="Times New Roman" w:eastAsia="Times New Roman" w:cs="Times New Roman"/>
        </w:rPr>
        <w:t>Lakini ijapokuwa sisi, au malaika atokaye mbinguni, awahubirie injili nyingine kuliko ile tuliyowahubiria, na alaaniwe. Kama tulivyokwisha kusema hapo kwanza, ndivyo nisemavyo sasa tena: Mtu awaye yote akiwa hubiri kwenu injili nyingine kuliko hiyo mliyoipokea, na alaaniwe. Wagalatia 1:8, 9.</w:t>
      </w:r>
    </w:p>
    <w:p>
      <w:pPr>
        <w:pStyle w:val="ArticleBody"/>
        <w:jc w:val="left"/>
      </w:pPr>
      <w:r>
        <w:rPr>
          <w:rFonts w:ascii="Times New Roman" w:hAnsi="Times New Roman" w:eastAsia="Times New Roman" w:cs="Times New Roman"/>
        </w:rPr>
        <w:t>Le chapitre premier de Daniel prépare la voie afin que le messager de l’alliance vienne soudain à son temple, et il représente également la voix de celui qui crie dans le désert. Le désert est représenté comme une période de dispersion, durant laquelle le sanctuaire et l’armée sont foulés aux pieds. Dans le chapitre premier de Daniel, Daniel est dans le désert, dispersé et asservi. Le message du chapitre premier prépare la voie au message du chapitre deux, où Christ purifie les fils de Lévi et entre en alliance avec eux. Les fils de Lévi sont identifiés comme le symbole du peuple choisi de Dieu, car ils se tinrent fidèlement aux côtés de Moïse lors de la crise de l’image d’or d’Aaron, et le chapitre trois de Daniel est également la crise de l’image d’or.</w:t>
      </w:r>
    </w:p>
    <w:p>
      <w:pPr>
        <w:pStyle w:val="ArticleBody"/>
        <w:jc w:val="left"/>
      </w:pPr>
      <w:r>
        <w:rPr>
          <w:rFonts w:ascii="Times New Roman" w:hAnsi="Times New Roman" w:eastAsia="Times New Roman" w:cs="Times New Roman"/>
        </w:rPr>
        <w:t>Shadrach, Meshach und Abednego sind wie die Leviten, die im Voraus für die Prüfung des „Bildes des Tieres“ am goldenen Götzenbild gereinigt worden sind. Bei der Zeremonie stellt Nebukadnezar das Orchester, die Hure von Tyrus singt die Lieder, und das abgefallene geistliche Israel beugt sich nieder und tanzt dann nackt zur Musik um das goldene Götzenbild herum.</w:t>
      </w:r>
    </w:p>
    <w:p>
      <w:pPr>
        <w:pStyle w:val="ArticleBody"/>
        <w:jc w:val="left"/>
      </w:pPr>
      <w:r>
        <w:rPr>
          <w:rFonts w:ascii="Times New Roman" w:hAnsi="Times New Roman" w:eastAsia="Times New Roman" w:cs="Times New Roman"/>
        </w:rPr>
        <w:t>Les livres de Daniel et de l’Apocalypse sont un seul et même livre, et le Christ, en tant que l’Alpha et l’Oméga, descelle maintenant le livre qui représente la Révélation de Jésus-Christ. La toute première vérité qu’Il place dans ce livre est le message des trois anges. Les trois premiers chapitres de Daniel constituent le message des trois anges. Les vérités liées à ce message des trois anges, dans le chapitre quatorze de l’Apocalypse, sont portées à la perfection lorsqu’il est reconnu qu’elles ont été mentionnées pour la première fois dans les trois premiers chapitres de Daniel. Dans Apocalypse quatorze, elles sont identifiées comme l’Évangile éternel, et elles volent au milieu du ciel, identifiant ainsi le message présenté au monde entier dans les derniers jours. Dans les trois premiers chapitres de Daniel, l’expérience des hommes et des femmes qui portent ce message au monde est illustrée. Apocalypse quatorze constitue la ligne externe de vérité, représentant, au moyen de symboles, le message des trois anges. L’Évangile éternel, et le message de chacun des trois anges, sont portés à la perfection par la ligne interne de vérité représentée dans les trois premiers chapitres de Daniel.</w:t>
      </w:r>
    </w:p>
    <w:p>
      <w:pPr>
        <w:pStyle w:val="ArticleBody"/>
        <w:jc w:val="left"/>
      </w:pPr>
      <w:r>
        <w:rPr>
          <w:rFonts w:ascii="Times New Roman" w:hAnsi="Times New Roman" w:eastAsia="Times New Roman" w:cs="Times New Roman"/>
        </w:rPr>
        <w:t>Chapit yòn rive twa yo reprezante anpil verite mèvèye, e youn nan verite sa yo se ke twa mesaj yo fòme yon pwosesis èsè nan twa etap, ki konpoze de yon èsè alimantè, apre sa yon èsè vizyèl, epi answit yon èsè desizif. Pa gen dout, genyen lòt fason pou bay twa èsè sa yo non, men etikèt sa yo fasil pou wè nan chapit premye a, epi yo ka wè yo ankò nan chapit yòn rive twa. Twa chapit sa yo dwe rekonèt ansanm kòm yon sèl senbòl.</w:t>
      </w:r>
    </w:p>
    <w:p>
      <w:pPr>
        <w:pStyle w:val="ArticleScripture"/>
        <w:jc w:val="left"/>
      </w:pPr>
      <w:r>
        <w:rPr>
          <w:rFonts w:ascii="Times New Roman" w:hAnsi="Times New Roman" w:eastAsia="Times New Roman" w:cs="Times New Roman"/>
        </w:rPr>
        <w:t>”Il primo e il secondo messaggio furono dati nel 1843 e nel 1844, e noi siamo ora sotto la proclamazione del terzo; ma tutti e tre i messaggi devono ancora essere proclamati. È ora essenziale, come lo è sempre stato, che essi siano ripetuti a coloro che cercano la verità. Con la penna e con la voce dobbiamo far risuonare la proclamazione, mostrando il loro ordine e l’applicazione delle profezie che ci conducono al messaggio del terzo angelo. Non può esservi un terzo senza il primo e il secondo. Questi messaggi dobbiamo darli al mondo mediante pubblicazioni e discorsi, mostrando, nel corso della storia profetica, le cose che sono state e le cose che saranno.” Selected Messages, libro 2, 104, 105.</w:t>
      </w:r>
    </w:p>
    <w:p>
      <w:pPr>
        <w:pStyle w:val="ArticleBody"/>
        <w:jc w:val="left"/>
      </w:pPr>
      <w:r>
        <w:rPr>
          <w:rFonts w:ascii="Times New Roman" w:hAnsi="Times New Roman" w:eastAsia="Times New Roman" w:cs="Times New Roman"/>
        </w:rPr>
        <w:t>Ma ha importanza se fra la storia effettiva dei capitoli due e tre vi sia stato un solo giorno, o una settimana, o vent’anni: essi illustrano simbolicamente la progressione di tre prove. Nebucadnezzar fu abbagliato e meravigliato dal fatto che Dio, per mezzo del profeta Daniele, potesse conoscere il suo sogno e fornirne un’interpretazione così solida che non poteva essere compresa se non come verità. Eppure, nel capitolo tre, Nebucadnezzar fallì la seconda prova del capitolo due, poiché decise di porre il proprio orgoglioso desiderio umano al di sopra della meravigliosa manifestazione della potenza di Dio, la quale identificava il significato divino del sogno segreto.</w:t>
      </w:r>
    </w:p>
    <w:p>
      <w:pPr>
        <w:pStyle w:val="ArticleBody"/>
        <w:jc w:val="left"/>
      </w:pPr>
      <w:r>
        <w:rPr>
          <w:rFonts w:ascii="Times New Roman" w:hAnsi="Times New Roman" w:eastAsia="Times New Roman" w:cs="Times New Roman"/>
        </w:rPr>
        <w:t>Alors qu’il érigeait la statue d’or au chapitre trois, il échoua au troisième critère décisif. Shadrac, Méshac et Abed-Nego, eux, réussirent cette épreuve décisive. Nebucadnetsar reçut la marque de la bête, et les trois dignitaires reçurent le sceau de Dieu. Les trois premiers chapitres de Daniel doivent être compris dans le contexte des trois anges d’Apocalypse quatorze. Si simples que soient ces trois chapitres, car ils sont si clairs qu’on les emploie couramment comme récits pour les enfants chrétiens, ils représentent en réalité, peut-être, les trois chapitres les plus profonds de la Parole de Dieu.</w:t>
      </w:r>
    </w:p>
    <w:p>
      <w:pPr>
        <w:pStyle w:val="ArticleBody"/>
        <w:jc w:val="left"/>
      </w:pPr>
      <w:r>
        <w:rPr>
          <w:rFonts w:ascii="Times New Roman" w:hAnsi="Times New Roman" w:eastAsia="Times New Roman" w:cs="Times New Roman"/>
        </w:rPr>
        <w:t>Tutaendelea na Danieli sura ya tatu katika makala inayofuata.</w:t>
      </w:r>
    </w:p>
    <w:p>
      <w:pPr>
        <w:pStyle w:val="ArticleScripture"/>
        <w:jc w:val="left"/>
      </w:pPr>
      <w:r>
        <w:rPr>
          <w:rFonts w:ascii="Times New Roman" w:hAnsi="Times New Roman" w:eastAsia="Times New Roman" w:cs="Times New Roman"/>
        </w:rPr>
        <w:t>«Вероятната слава и потисничеството, проявени в начина на действие на езическия цар Навуходоносор, се проявяват и ще продължат да се проявяват и в наши дни. Историята ще се повтори. В тази епоха изпитът ще бъде по въпроса за спазването на съботата. Небесната вселена вижда как хората тъпчат закона на Йехова, превръщайки Божия паметник, знака между Него и Неговия народ, който пази Неговите заповеди, в нещо нищожно, в нещо, достойно за презрение, докато една съперничеща събота се възвеличава, както беше възвеличен големият златен образ в полето Дура. Хора, които претендират, че са християни, ще призоват света да спазва тази фалшива събота, която сами са създали. Всички, които откажат, ще бъдат поставени под потиснически закони. Това е тайната на беззаконието, замисълът на сатанински сили, приведен в действие чрез човека на греха.» The Youth’s Instructor, July 12,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Bokin Daniel - Namba Sikstin</dc:title>
  <dc:subject>सांकेतिक चिन्ह</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