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soixante-dix</w:t>
      </w:r>
    </w:p>
    <w:p>
      <w:pPr>
        <w:pStyle w:val="ArticleSubtitle"/>
        <w:jc w:val="left"/>
      </w:pPr>
      <w:r>
        <w:rPr>
          <w:rFonts w:ascii="Nirmala UI" w:hAnsi="Nirmala UI" w:eastAsia="Nirmala UI" w:cs="Nirmala UI"/>
        </w:rPr>
        <w:t>රූහයේ</w:t>
      </w:r>
      <w:r>
        <w:rPr>
          <w:rFonts w:ascii="Arial" w:hAnsi="Arial" w:eastAsia="Arial" w:cs="Arial"/>
        </w:rPr>
        <w:t xml:space="preserve"> </w:t>
      </w:r>
      <w:r>
        <w:rPr>
          <w:rFonts w:ascii="Nirmala UI" w:hAnsi="Nirmala UI" w:eastAsia="Nirmala UI" w:cs="Nirmala UI"/>
        </w:rPr>
        <w:t>කොටුව</w:t>
      </w:r>
      <w:r>
        <w:rPr>
          <w:rFonts w:ascii="Arial" w:hAnsi="Arial" w:eastAsia="Arial" w:cs="Arial"/>
        </w:rPr>
        <w:t xml:space="preserve">: </w:t>
      </w:r>
      <w:r>
        <w:rPr>
          <w:rFonts w:ascii="Nirmala UI" w:hAnsi="Nirmala UI" w:eastAsia="Nirmala UI" w:cs="Nirmala UI"/>
        </w:rPr>
        <w:t>අනාවැකිමය</w:t>
      </w:r>
      <w:r>
        <w:rPr>
          <w:rFonts w:ascii="Arial" w:hAnsi="Arial" w:eastAsia="Arial" w:cs="Arial"/>
        </w:rPr>
        <w:t xml:space="preserve"> </w:t>
      </w:r>
      <w:r>
        <w:rPr>
          <w:rFonts w:ascii="Nirmala UI" w:hAnsi="Nirmala UI" w:eastAsia="Nirmala UI" w:cs="Nirmala UI"/>
        </w:rPr>
        <w:t>සන්දර්භය</w:t>
      </w:r>
      <w:r>
        <w:rPr>
          <w:rFonts w:ascii="Arial" w:hAnsi="Arial" w:eastAsia="Arial" w:cs="Arial"/>
        </w:rPr>
        <w:t xml:space="preserve"> </w:t>
      </w:r>
      <w:r>
        <w:rPr>
          <w:rFonts w:ascii="Nirmala UI" w:hAnsi="Nirmala UI" w:eastAsia="Nirmala UI" w:cs="Nirmala UI"/>
        </w:rPr>
        <w:t>තුළ</w:t>
      </w:r>
      <w:r>
        <w:rPr>
          <w:rFonts w:ascii="Arial" w:hAnsi="Arial" w:eastAsia="Arial" w:cs="Arial"/>
        </w:rPr>
        <w:t xml:space="preserve"> </w:t>
      </w:r>
      <w:r>
        <w:rPr>
          <w:rFonts w:ascii="Nirmala UI" w:hAnsi="Nirmala UI" w:eastAsia="Nirmala UI" w:cs="Nirmala UI"/>
        </w:rPr>
        <w:t>දේවීය</w:t>
      </w:r>
      <w:r>
        <w:rPr>
          <w:rFonts w:ascii="Arial" w:hAnsi="Arial" w:eastAsia="Arial" w:cs="Arial"/>
        </w:rPr>
        <w:t xml:space="preserve"> </w:t>
      </w:r>
      <w:r>
        <w:rPr>
          <w:rFonts w:ascii="Nirmala UI" w:hAnsi="Nirmala UI" w:eastAsia="Nirmala UI" w:cs="Nirmala UI"/>
        </w:rPr>
        <w:t>සිංහාසනාරෝහණය</w:t>
      </w:r>
      <w:r>
        <w:rPr>
          <w:rFonts w:ascii="Arial" w:hAnsi="Arial" w:eastAsia="Arial" w:cs="Arial"/>
        </w:rPr>
        <w:t xml:space="preserve"> </w:t>
      </w:r>
      <w:r>
        <w:rPr>
          <w:rFonts w:ascii="Nirmala UI" w:hAnsi="Nirmala UI" w:eastAsia="Nirmala UI" w:cs="Nirmala UI"/>
        </w:rPr>
        <w:t>හා</w:t>
      </w:r>
      <w:r>
        <w:rPr>
          <w:rFonts w:ascii="Arial" w:hAnsi="Arial" w:eastAsia="Arial" w:cs="Arial"/>
        </w:rPr>
        <w:t xml:space="preserve"> </w:t>
      </w:r>
      <w:r>
        <w:rPr>
          <w:rFonts w:ascii="Nirmala UI" w:hAnsi="Nirmala UI" w:eastAsia="Nirmala UI" w:cs="Nirmala UI"/>
        </w:rPr>
        <w:t>පරිවර්තනය</w:t>
      </w:r>
      <w:r>
        <w:rPr>
          <w:rFonts w:ascii="Arial" w:hAnsi="Arial" w:eastAsia="Arial" w:cs="Arial"/>
        </w:rPr>
        <w:t xml:space="preserve"> </w:t>
      </w:r>
      <w:r>
        <w:rPr>
          <w:rFonts w:ascii="Nirmala UI" w:hAnsi="Nirmala UI" w:eastAsia="Nirmala UI" w:cs="Nirmala UI"/>
        </w:rPr>
        <w:t>අවබෝධ</w:t>
      </w:r>
      <w:r>
        <w:rPr>
          <w:rFonts w:ascii="Arial" w:hAnsi="Arial" w:eastAsia="Arial" w:cs="Arial"/>
        </w:rPr>
        <w:t xml:space="preserve"> </w:t>
      </w:r>
      <w:r>
        <w:rPr>
          <w:rFonts w:ascii="Nirmala UI" w:hAnsi="Nirmala UI" w:eastAsia="Nirmala UI" w:cs="Nirmala UI"/>
        </w:rPr>
        <w:t>කරගැනීම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Kunji ya kuitambua Urusi kama nguvu iliyoanzisha vita vya Ukrainia mwaka 2014 ni “ngome,” ambayo ni kichwa, au mji mkuu wa ufalme. Hekalu la kibinadamu linajumuisha kichwa na mwili. Kichwa ni asili ya juu, na mwili ni asili ya chini. “Nyakati saba” zilizoishia mwaka 1844, zilipaswa basi kuunganishwa na Yerusalemu, ambao ulikuwa kichwa cha Yuda. Katika hekalu la Yerusalemu ndimo kilikuwamo kiti cha enzi cha mfalme, ambaye ni kichwa cha Yerusalemu, ambao ulikuwa kichwa cha Yuda. Muungano wa Uungu na ubinadamu, unaowakilisha kutiwa muhuri kwa wale mia moja arobaini na nne elfu, unawakilishwa kama kuupokea “nia ya Kristo.” Nia ndiyo asili ya juu, na kwa hiyo ndiyo “kichwa.”</w:t>
      </w:r>
    </w:p>
    <w:p>
      <w:pPr>
        <w:pStyle w:val="ArticleBody"/>
        <w:jc w:val="left"/>
      </w:pPr>
      <w:r>
        <w:rPr>
          <w:rFonts w:ascii="Times New Roman" w:hAnsi="Times New Roman" w:eastAsia="Times New Roman" w:cs="Times New Roman"/>
        </w:rPr>
        <w:t>Lorsque ceux qui sont représentés par Daniel voient la vision causative féminine qui les fait changer à l’image du Christ, ils ont reçu la pensée de Christ, qui est le second Adam et qui est spirituel. À ce moment-là, leur pensée charnelle littérale, qu’ils ont héritée du premier Adam après sa chute et après qu’il eut renversé l’ordre de sa création, est crucifiée. La pensée charnelle qui combat contre la loi de Dieu, qu’ils ont reçue sans l’avoir choisie à leur naissance, est remplacée par la pensée de Christ, qu’ils reçoivent par leur propre choix, et qui est parfaitement obéissante à la loi de Dieu. Leur pensée nouvelle, et la pensée de Christ, ne forment alors qu’une seule pensée, et toutes deux résident ensemble sur le trône dans les lieux célestes. Il y a, dans le temple, un lieu où se trouve le trône de Dieu, et les êtres humains, qui ont été créés à l’image de Dieu, ont, dans le temple, une place précise, destinée à la présence de Dieu.</w:t>
      </w:r>
    </w:p>
    <w:p>
      <w:pPr>
        <w:pStyle w:val="ArticleBody"/>
        <w:jc w:val="left"/>
      </w:pPr>
      <w:r>
        <w:rPr>
          <w:rFonts w:ascii="Times New Roman" w:hAnsi="Times New Roman" w:eastAsia="Times New Roman" w:cs="Times New Roman"/>
        </w:rPr>
        <w:t>Lelo thiko a xi kumeki eka ntumbuluko wa vona wa le hansi, lowu yimeleriwaka hi mfumo wa le n’walungu. Xi le endhawini leyi yimeleriwaka hi mfumo wa le dzongeni, laha Xikwembu xi hlawuleke ku veka vito ra xona kona, leri nga xihlawulekisi xa xona. Endhawu yoleyo yi le Yerusalema; kambe tanihi ntsindza wa Yuda, Yerusalema i nhloko, kambe nhloko ya ntsindza i hosi. Naswona Yerusalema a yi hlawuriwanga ntsena leswaku yi va ntsindza, kambe yi tlhela yi hlawuriwa tanihi ndhawu leyi Xikwembu a xi ta veka tempele ya xona kona. Kutani endzeni ka tempele ya xona xi veke xiluvelo xa xona. Mfumo wa le dzongeni wu yimela ntumbuluko wa munhu wa le henhla, kambe wu tlhela wu va ni kamara ro hlawuleka ra xiluvelo xa hosi. Makwerhu White u vitana ndhawu yoleyo “qila” ya moya. Qila, hi nhlamuselo ya rona, i xihondzo.</w:t>
      </w:r>
    </w:p>
    <w:p>
      <w:pPr>
        <w:pStyle w:val="ArticleScripture"/>
        <w:jc w:val="left"/>
      </w:pPr>
      <w:r>
        <w:rPr>
          <w:rFonts w:ascii="Times New Roman" w:hAnsi="Times New Roman" w:eastAsia="Times New Roman" w:cs="Times New Roman"/>
        </w:rPr>
        <w:t>An tou kè tout antye dwe bay Bondye; sinon laverite Bondye pap rive fè yon travay sanktifikasyon sou lavi ak sou karaktè a. Men, se yon reyalite tris, anpil moun ki fè pwofesyon yo pote non Kris la pa janm bay li kè yo ak senplisite. Yo pa janm fè eksperyans kontrisyon ki mache avèk yon rann tèt total devan reklamasyon Krisyanis la; e konsekans lan se ke pouvwa transfòmatè laverite a pa nan lavi yo; enfliyans pwofon, dou, ki fonn kè a, ki soti nan lanmou Kris la, pa parèt klèman nan lavi ak nan karaktè yo. Men, ala yon travay pou nouri twoupo Bondye a ki ta ka fèt si sou-pastè yo te kloure sou kwa ansanm ak Kris la, e yo t ap viv pou Bondye pou kolabore ak Chèf Bèje twoupo a! Kris rele moun pou yo travay jan li te travay la. Gen bezwen pou yon temwayaj ki pi pwofon, ki pi fò, ki pi kontrenyan, sou pouvwa laverite a jan sa parèt nan pyete pratik moun ki fè pwofesyon yo kwè li. Lanmou Sovè a nan nanm nan ap mennen nan yon chanjman desizif nan fason travayè yo travay pou nanm moun k ap peri yo. Lè laverite okipe sitadèl nanm nan, Kris chita sou twòn nan kè a, e lè sa a ajan imen an ka di: “Mwen kloure sou kwa ansanm ak Kris la; kanmenm mwen viv; men se pa mwen ankò, se Kris k ap viv nan mwen; epi lavi m ap viv koulye a nan kò sa a, m ap viv li pa lafwa nan Pitit Bondye a, ki te renmen m, e ki te bay tèt li pou mwen.” Review and Herald, 9 Oktòb 1894.</w:t>
      </w:r>
    </w:p>
    <w:p>
      <w:pPr>
        <w:pStyle w:val="ArticleBody"/>
        <w:jc w:val="left"/>
      </w:pPr>
      <w:r>
        <w:rPr>
          <w:rFonts w:ascii="Times New Roman" w:hAnsi="Times New Roman" w:eastAsia="Times New Roman" w:cs="Times New Roman"/>
        </w:rPr>
        <w:t>“ngome ya nafsi” ndiko “Kristo ametawazwa.” Kutawazwa kwa Kristo hukamilishwa wakati mwili unasulubishwa, na mwili kwa ufafanuzi wa Paulo ni asili ya chini, nayo ndiyo ufalme wa kaskazini. Hii ndiyo sababu unabii wa ufalme wa kaskazini ulifikia mwaka 1798 pekee. Asili ya chini haiwezi kuunganishwa na Uungu; ni lazima ibadilishwe kwa kufumba na kufumbua macho katika kuja kwake mara ya pili. Ufalme wa kusini, uliokuwa na “kichwa” ambacho kilikuwa Yerusalemu, na “kichwa” ambacho kilikuwa patakatifu, ulifikia mwaka 1844, kwa maana uliwakilisha asili ya juu iliyoweza kuchagua kuusulubisha mwili na kwa imani kuingia katika ngome ya Patakatifu pa Patakatifu, na kuketi juu ya kiti cha enzi pamoja na Kristo. Mahali ambapo muungano huo, na kutawazwa huko, hutukia ni katika ngome ya hekalu la kibinadamu. Aya ya kumi ya sura ya kumi na moja hufafanua kichwa kuwa ndiyo ngome, lakini ukweli huo huimarishwa tu kwa ushuhuda wa Isaya, unaodai kwamba ukweli unaohusu ngome hiyo, ueleweke katika matumizi yake ya nje na ya ndani.</w:t>
      </w:r>
    </w:p>
    <w:p>
      <w:pPr>
        <w:pStyle w:val="ArticleScripture"/>
        <w:jc w:val="left"/>
      </w:pPr>
      <w:r>
        <w:rPr>
          <w:rFonts w:ascii="Times New Roman" w:hAnsi="Times New Roman" w:eastAsia="Times New Roman" w:cs="Times New Roman"/>
        </w:rPr>
        <w:t>„Guds ord skal være vor åndelige føde. ‘Jeg er livets brød,’ sagde Kristus; ‘den, som kommer til mig, skal aldrig hungre; og den, som tror på mig, skal aldrig tørste.’ Verden går til grunde af mangel på ren, uforfalsket sandhed. Kristus er sandheden. Hans ord er sandhed, og de har en dybere betydning, end det, der viser sig på overfladen, og en værdi, som langt overgår deres ubemærkede ydre. Sind, som vækkes til live ved Helligånden, vil skelne værdien af disse ord. Når vore øjne salves med den hellige øjensalve, skal vi være i stand til at opdage sandhedens kostbare ædelstene, selv om de måtte være begravet under overfladen.“</w:t>
      </w:r>
    </w:p>
    <w:p>
      <w:pPr>
        <w:pStyle w:val="ArticleScripture"/>
        <w:jc w:val="left"/>
      </w:pPr>
      <w:r>
        <w:rPr>
          <w:rFonts w:ascii="Times New Roman" w:hAnsi="Times New Roman" w:eastAsia="Times New Roman" w:cs="Times New Roman"/>
        </w:rPr>
        <w:t>“La vérité est délicate, raffinée, élevée. Lorsqu’elle façonne le caractère, l’âme croît sous son influence divine. Chaque jour, la vérité doit être reçue dans le cœur. Ainsi, nous mangeons les paroles du Christ, qu’il déclare être esprit et vie. L’acceptation de la vérité fera de quiconque la reçoit un enfant de Dieu, un héritier du ciel. La vérité qui est chérie dans le cœur n’est pas une lettre froide et morte, mais une puissance vivante.</w:t>
      </w:r>
    </w:p>
    <w:p>
      <w:pPr>
        <w:pStyle w:val="ArticleScripture"/>
        <w:jc w:val="left"/>
      </w:pPr>
      <w:r>
        <w:rPr>
          <w:rFonts w:ascii="Times New Roman" w:hAnsi="Times New Roman" w:eastAsia="Times New Roman" w:cs="Times New Roman"/>
        </w:rPr>
        <w:t>«Сирри ȝәдәс, илаһий. У Ул Мәсих охшашлыгында характерны формалаштыруда һәрнәрсәдән көчлерәк һәм куәтлерәк. Анда шатлыҡ тулысы бар. Ул йөрәктә кадерләп сакланганда, Мәсихкә булган мәхәббәт теләсә кайсы кешегә булган мәхәббәттән өстен куела. Менә бу — христианлык. Менә бу — җандагы Алла мәхәббәте. Шулай итеп саф, катнашмас хакыйкать затның ныгытмасын били. «Мин сезгә яңа йөрәк тә бирермен, һәм эчегезгә яңа рух салырмын», — дигән сүзләр үтәлә. Хакыйкатьнең җанландыручы йогынтысы астында яшәгән һәм хезмәт иткән кешенең тормышында бер затлылык бар». Review and Herald, February 14, 1899.</w:t>
      </w:r>
    </w:p>
    <w:p>
      <w:pPr>
        <w:pStyle w:val="ArticleBody"/>
        <w:jc w:val="left"/>
      </w:pPr>
      <w:r>
        <w:rPr>
          <w:rFonts w:ascii="Times New Roman" w:hAnsi="Times New Roman" w:eastAsia="Times New Roman" w:cs="Times New Roman"/>
        </w:rPr>
        <w:t>Daneri kapitulo onseko historia profetiko horretako ikuspena hasten da, bigarren bertsoan, seigarren eta aberatsen den erregea buruarekin lerrokatzen denean; buru hori Errusia da, hamaikatik hamabosgarren bertsoetara ageri den bezala. Historia horretan, seigarren erregea zazpietakoa den zortzigarrena bihurtuko da, eta Estatu Batuetan eliza eta estatua batzen direnean erreinatuko du, eta beren fornikazio saindu-gabea hamaseigarren bertsoan kontsumatuko dute, laster etorriko den igandeko legean.</w:t>
      </w:r>
    </w:p>
    <w:p>
      <w:pPr>
        <w:pStyle w:val="ArticleBody"/>
        <w:jc w:val="left"/>
      </w:pPr>
      <w:r>
        <w:rPr>
          <w:rFonts w:ascii="Times New Roman" w:hAnsi="Times New Roman" w:eastAsia="Times New Roman" w:cs="Times New Roman"/>
        </w:rPr>
        <w:t>وہ عَلَم جو اُس وقت بلند کیا جانا ہے، مایوس کیا جائے گا اور ساڑھے تین دن کے عرصہ کے لیے مر جائے گا، جو دانی ایل دس میں اکیس دن ہیں۔ دانی ایل کے لیے ماتم کے اکیس دنوں کے اختتام پر، جو اُن دو گواہوں کے لیے گلی میں موت کے ساڑھے تین دنوں کے اختتام کے مترادف ہے—جو حزقی ایل کی وادی میں موجود وہی لوگ ہیں، جو مُردہ خشک ہڈیاں ہیں—ایک نبوتی پیغام ہے جو مُردوں کو پھر سے زندہ کر دیتا ہے۔ دانی ایل باب دس میں اُس عمل کی نمائندگی تین مراحل سے کی گئی ہے۔</w:t>
      </w:r>
    </w:p>
    <w:p>
      <w:pPr>
        <w:pStyle w:val="ArticleScripture"/>
        <w:jc w:val="left"/>
      </w:pPr>
      <w:r>
        <w:rPr>
          <w:rFonts w:ascii="Times New Roman" w:hAnsi="Times New Roman" w:eastAsia="Times New Roman" w:cs="Times New Roman"/>
        </w:rPr>
        <w:t>Et le vingt-quatrième jour du premier mois, comme j’étais au bord du grand fleuve, qui est Hiddékel, je levai les yeux et je regardai; et voici, un homme vêtu de lin, ayant les reins ceints d’or fin d’Uphaz. Son corps était aussi comme le chrysolithe, et son visage comme l’apparence de l’éclair, et ses yeux comme des lampes de feu, et ses bras et ses pieds comme l’éclat de l’airain poli, et la voix de ses paroles comme la voix d’une multitude. Et moi, Daniel, je vis seul la vision; car les hommes qui étaient avec moi ne virent pas la vision; mais un grand tremblement tomba sur eux, de sorte qu’ils s’enfuirent pour se cacher. Et je demeurai seul, et je vis cette grande vision; et il ne resta aucune force en moi, car ma vigueur fut changée en corruption, et je ne conservai aucune force. Toutefois j’entendis la voix de ses paroles; et lorsque j’entendis la voix de ses paroles, je tombai dans un profond sommeil sur mon visage, le visage contre terre. Et voici, une main me toucha, et me fit tenir sur mes genoux et sur les paumes de mes mains. Et il me dit: Daniel, homme bien-aimé, comprends les paroles que je te dis, et tiens-toi debout à la place où tu es; car maintenant je suis envoyé vers toi. Et quand il m’eut dit cette parole, je me tins debout, tout tremblant. Alors il me dit: Ne crains point, Daniel; car dès le premier jour où tu as appliqué ton cœur à comprendre et à t’humilier devant ton Dieu, tes paroles ont été entendues, et moi, je suis venu à cause de tes paroles. Mais le chef du royaume de Perse m’a résisté vingt et un jours; mais voici, Micaël, l’un des premiers chefs, est venu pour m’aider; et je suis demeuré là auprès des rois de Perse. Maintenant je suis venu pour te faire comprendre ce qui arrivera à ton peuple dans les derniers jours; car la vision est encore pour beaucoup de jours. Daniel 10:4–14.</w:t>
      </w:r>
    </w:p>
    <w:p>
      <w:pPr>
        <w:pStyle w:val="ArticleBody"/>
        <w:jc w:val="left"/>
      </w:pPr>
      <w:r>
        <w:rPr>
          <w:rFonts w:ascii="Times New Roman" w:hAnsi="Times New Roman" w:eastAsia="Times New Roman" w:cs="Times New Roman"/>
        </w:rPr>
        <w:t>Daniel est au terme des vingt et un jours de deuil lorsqu’il voit la vision du Christ et qu’il entend les paroles du Christ. La vision de la Parole de Dieu, visible et prononcée, produit une séparation de deux classes, et Daniel gisait mort dans la rue, car il était « dans un profond sommeil ».</w:t>
      </w:r>
    </w:p>
    <w:p>
      <w:pPr>
        <w:pStyle w:val="ArticleScripture"/>
        <w:jc w:val="left"/>
      </w:pPr>
      <w:r>
        <w:rPr>
          <w:rFonts w:ascii="Times New Roman" w:hAnsi="Times New Roman" w:eastAsia="Times New Roman" w:cs="Times New Roman"/>
        </w:rPr>
        <w:t>Er sagte dies; und danach spricht er zu ihnen: Unser Freund Lazarus schläft; aber ich gehe hin, damit ich ihn aus dem Schlaf aufwecke. Da sprachen seine Jünger: Herr, wenn er schläft, so wird es besser mit ihm werden. Jesus aber hatte von seinem Tod gesprochen; sie jedoch meinten, er rede von der Ruhe des Schlafes. Da sagte Jesus es ihnen offen: Lazarus ist gestorben. Johannes 11,11–14.</w:t>
      </w:r>
    </w:p>
    <w:p>
      <w:pPr>
        <w:pStyle w:val="ArticleBody"/>
        <w:jc w:val="left"/>
      </w:pPr>
      <w:r>
        <w:rPr>
          <w:rFonts w:ascii="Times New Roman" w:hAnsi="Times New Roman" w:eastAsia="Times New Roman" w:cs="Times New Roman"/>
        </w:rPr>
        <w:t>Затем Даниил в первый раз был коснут Гавриилом, который сообщает ему о политической борьбе, происходившей, пока Даниил был мёртв (спал), и о том, что теперь он намерен дать истолкование видения, которое только что преобразило Даниила в образ Христа. Затем к нему прикоснётся во второй раз Сам Христос.</w:t>
      </w:r>
    </w:p>
    <w:p>
      <w:pPr>
        <w:pStyle w:val="ArticleScripture"/>
        <w:jc w:val="left"/>
      </w:pPr>
      <w:r>
        <w:rPr>
          <w:rFonts w:ascii="Times New Roman" w:hAnsi="Times New Roman" w:eastAsia="Times New Roman" w:cs="Times New Roman"/>
        </w:rPr>
        <w:t>Ug ninaadtong siya kanako sa pagsulti sa maong mga pulong, gipaubos ko ang akong nawong ngadto sa yuta, ug nahimong amang ako. Ug, tan-awa, may usa nga sama sa dagway sa mga anak sa mga tawo nga mihikap sa akong mga ngabil; unya gibuka ko ang akong baba, ug misulti ako, ug miingon kaniya nga nagtindog sa akong atubangan: O ginoo ko, tungod sa panan-awon ang akong mga kasakit mibalik ibabaw kanako, ug wala nay kusog nga nahibilin kanako. Kay unsaon man sa alagad niining akong ginoo ang pagpakigsulti niining akong ginoo? kay mahitungod kanako, dihadiha wala nay kusog nga nahibilin kanako, ni wala nay gininhawa nga nahibilin kanako. Daniel 10:15–17.</w:t>
      </w:r>
    </w:p>
    <w:p>
      <w:pPr>
        <w:pStyle w:val="ArticleBody"/>
        <w:jc w:val="left"/>
      </w:pPr>
      <w:r>
        <w:rPr>
          <w:rFonts w:ascii="Times New Roman" w:hAnsi="Times New Roman" w:eastAsia="Times New Roman" w:cs="Times New Roman"/>
        </w:rPr>
        <w:t>Ceci est parallèle à la première prophétie d’Ézéchiel au chapitre trente-sept, car, dans les deux prophéties qu’il est ordonné à Ézéchiel de présenter aux ossements morts dans la vallée, la première forme les corps, mais ils n’ont alors pas de souffle, et ils n’ont pas non plus la force d’une armée puissante. C’est par la seconde prophétie d’Ézéchiel que les corps reçoivent le souffle des quatre vents et se tiennent debout comme une armée puissante, et, au second attouchement de Daniel, « il ne resta plus en moi aucune force, et il ne me demeura plus de souffle ». Puis Daniel est de nouveau touché, pour la troisième fois au total, et pour la seconde fois par Gabriel.</w:t>
      </w:r>
    </w:p>
    <w:p>
      <w:pPr>
        <w:pStyle w:val="ArticleScripture"/>
        <w:jc w:val="left"/>
      </w:pP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모양</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이가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대매</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강건하게</w:t>
      </w:r>
      <w:r>
        <w:rPr>
          <w:rFonts w:ascii="Times New Roman" w:hAnsi="Times New Roman" w:eastAsia="Times New Roman" w:cs="Times New Roman"/>
        </w:rPr>
        <w:t xml:space="preserve"> </w:t>
      </w:r>
      <w:r>
        <w:rPr>
          <w:rFonts w:ascii="Malgun Gothic" w:hAnsi="Malgun Gothic" w:eastAsia="Malgun Gothic" w:cs="Malgun Gothic"/>
        </w:rPr>
        <w:t>하였고</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사랑받은</w:t>
      </w:r>
      <w:r>
        <w:rPr>
          <w:rFonts w:ascii="Times New Roman" w:hAnsi="Times New Roman" w:eastAsia="Times New Roman" w:cs="Times New Roman"/>
        </w:rPr>
        <w:t xml:space="preserve"> </w:t>
      </w:r>
      <w:r>
        <w:rPr>
          <w:rFonts w:ascii="Malgun Gothic" w:hAnsi="Malgun Gothic" w:eastAsia="Malgun Gothic" w:cs="Malgun Gothic"/>
        </w:rPr>
        <w:t>사람이여</w:t>
      </w:r>
      <w:r>
        <w:rPr>
          <w:rFonts w:ascii="Times New Roman" w:hAnsi="Times New Roman" w:eastAsia="Times New Roman" w:cs="Times New Roman"/>
        </w:rPr>
        <w:t xml:space="preserve">, </w:t>
      </w:r>
      <w:r>
        <w:rPr>
          <w:rFonts w:ascii="Malgun Gothic" w:hAnsi="Malgun Gothic" w:eastAsia="Malgun Gothic" w:cs="Malgun Gothic"/>
        </w:rPr>
        <w:t>두려워하지</w:t>
      </w:r>
      <w:r>
        <w:rPr>
          <w:rFonts w:ascii="Times New Roman" w:hAnsi="Times New Roman" w:eastAsia="Times New Roman" w:cs="Times New Roman"/>
        </w:rPr>
        <w:t xml:space="preserve"> </w:t>
      </w:r>
      <w:r>
        <w:rPr>
          <w:rFonts w:ascii="Malgun Gothic" w:hAnsi="Malgun Gothic" w:eastAsia="Malgun Gothic" w:cs="Malgun Gothic"/>
        </w:rPr>
        <w:t>말라</w:t>
      </w:r>
      <w:r>
        <w:rPr>
          <w:rFonts w:ascii="Times New Roman" w:hAnsi="Times New Roman" w:eastAsia="Times New Roman" w:cs="Times New Roman"/>
        </w:rPr>
        <w:t xml:space="preserve">. </w:t>
      </w:r>
      <w:r>
        <w:rPr>
          <w:rFonts w:ascii="Malgun Gothic" w:hAnsi="Malgun Gothic" w:eastAsia="Malgun Gothic" w:cs="Malgun Gothic"/>
        </w:rPr>
        <w:t>평안이</w:t>
      </w:r>
      <w:r>
        <w:rPr>
          <w:rFonts w:ascii="Times New Roman" w:hAnsi="Times New Roman" w:eastAsia="Times New Roman" w:cs="Times New Roman"/>
        </w:rPr>
        <w:t xml:space="preserve">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있을지어다</w:t>
      </w:r>
      <w:r>
        <w:rPr>
          <w:rFonts w:ascii="Times New Roman" w:hAnsi="Times New Roman" w:eastAsia="Times New Roman" w:cs="Times New Roman"/>
        </w:rPr>
        <w:t xml:space="preserve">. </w:t>
      </w:r>
      <w:r>
        <w:rPr>
          <w:rFonts w:ascii="Malgun Gothic" w:hAnsi="Malgun Gothic" w:eastAsia="Malgun Gothic" w:cs="Malgun Gothic"/>
        </w:rPr>
        <w:t>강건하라</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강건하라</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말하였을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힘을</w:t>
      </w:r>
      <w:r>
        <w:rPr>
          <w:rFonts w:ascii="Times New Roman" w:hAnsi="Times New Roman" w:eastAsia="Times New Roman" w:cs="Times New Roman"/>
        </w:rPr>
        <w:t xml:space="preserve"> </w:t>
      </w:r>
      <w:r>
        <w:rPr>
          <w:rFonts w:ascii="Malgun Gothic" w:hAnsi="Malgun Gothic" w:eastAsia="Malgun Gothic" w:cs="Malgun Gothic"/>
        </w:rPr>
        <w:t>얻고</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주는</w:t>
      </w:r>
      <w:r>
        <w:rPr>
          <w:rFonts w:ascii="Times New Roman" w:hAnsi="Times New Roman" w:eastAsia="Times New Roman" w:cs="Times New Roman"/>
        </w:rPr>
        <w:t xml:space="preserve"> </w:t>
      </w:r>
      <w:r>
        <w:rPr>
          <w:rFonts w:ascii="Malgun Gothic" w:hAnsi="Malgun Gothic" w:eastAsia="Malgun Gothic" w:cs="Malgun Gothic"/>
        </w:rPr>
        <w:t>말씀하소서</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강건하게</w:t>
      </w:r>
      <w:r>
        <w:rPr>
          <w:rFonts w:ascii="Times New Roman" w:hAnsi="Times New Roman" w:eastAsia="Times New Roman" w:cs="Times New Roman"/>
        </w:rPr>
        <w:t xml:space="preserve"> </w:t>
      </w:r>
      <w:r>
        <w:rPr>
          <w:rFonts w:ascii="Malgun Gothic" w:hAnsi="Malgun Gothic" w:eastAsia="Malgun Gothic" w:cs="Malgun Gothic"/>
        </w:rPr>
        <w:t>하셨나이다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10:18, 19.</w:t>
      </w:r>
    </w:p>
    <w:p>
      <w:pPr>
        <w:pStyle w:val="ArticleBody"/>
        <w:jc w:val="left"/>
      </w:pPr>
      <w:r>
        <w:rPr>
          <w:rFonts w:ascii="Times New Roman" w:hAnsi="Times New Roman" w:eastAsia="Times New Roman" w:cs="Times New Roman"/>
        </w:rPr>
        <w:t>Das dritte Berühren Daniels ist Hesekiels zweite Weissagung, die die Leiber auf ihre Füße bringt als ein gewaltiges Heer. Seine Weissagung richtet sich an ein Volk, das erkennt, dass es tot ist; denn es trauerte, wie auch Daniel trauerte.</w:t>
      </w:r>
    </w:p>
    <w:p>
      <w:pPr>
        <w:pStyle w:val="ArticleScripture"/>
        <w:jc w:val="left"/>
      </w:pPr>
      <w:r>
        <w:rPr>
          <w:rFonts w:ascii="Times New Roman" w:hAnsi="Times New Roman" w:eastAsia="Times New Roman" w:cs="Times New Roman"/>
        </w:rPr>
        <w:t>Puis il me dit : Prophétise au vent, prophétise, fils de l’homme, et dis au vent : Ainsi parle le Seigneur, l’Éternel : Viens des quatre vents, ô souffle, et souffle sur ces morts, afin qu’ils revivent. Je prophétisai selon l’ordre qu’il m’avait donné ; et le souffle entra en eux, et ils reprirent vie, et se tinrent sur leurs pieds : c’était une armée nombreuse, très nombreuse. Puis il me dit : Fils de l’homme, ces os, c’est toute la maison d’Israël. Voici, ils disent : Nos os sont desséchés, notre espérance est détruite ; nous sommes retranchés ! Ezekiel 37:9–11.</w:t>
      </w:r>
    </w:p>
    <w:p>
      <w:pPr>
        <w:pStyle w:val="ArticleBody"/>
        <w:jc w:val="left"/>
      </w:pPr>
      <w:r>
        <w:rPr>
          <w:rFonts w:ascii="Times New Roman" w:hAnsi="Times New Roman" w:eastAsia="Times New Roman" w:cs="Times New Roman"/>
        </w:rPr>
        <w:t>Le Seigneur ordonne à Ézéchiel de prophétiser, et il leur dit que le témoignage de la maison d’Israël est qu’ils sont morts, sans espérance et retranchés. Ils sont dans le deuil, comme le fut Daniel, parce qu’ils sont déçus par la prédiction manquée du 18 juillet 2020, et c’est dans cette condition qu’il est dit à Ézéchiel de prophétiser.</w:t>
      </w:r>
    </w:p>
    <w:p>
      <w:pPr>
        <w:pStyle w:val="ArticleScripture"/>
        <w:jc w:val="left"/>
      </w:pP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कब्रों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जाओगे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बसाऊँगा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37:12–14</w:t>
      </w:r>
      <w:r>
        <w:rPr>
          <w:rFonts w:ascii="Nirmala UI" w:hAnsi="Nirmala UI" w:eastAsia="Nirmala UI" w:cs="Nirmala UI"/>
        </w:rPr>
        <w:t>।</w:t>
      </w:r>
    </w:p>
    <w:p>
      <w:pPr>
        <w:pStyle w:val="ArticleBody"/>
        <w:jc w:val="left"/>
      </w:pPr>
      <w:r>
        <w:rPr>
          <w:rFonts w:ascii="Times New Roman" w:hAnsi="Times New Roman" w:eastAsia="Times New Roman" w:cs="Times New Roman"/>
        </w:rPr>
        <w:t>Ishe, ari Mikaeri mukuru wengirozi, anovhura makuva avo, uye zvapupu zviviri zveZvakazarurwa 11, izvo zvinozomutswa uye zvichapiwa Mweya Mutsvene zvikamira netsoka, sezvakangoitwawo avo vakamira pavakabudiswa mumakuva avo muuporofita hwechipiri hwaEzekieri, pavakapihwa Mweya Mutsvene.</w:t>
      </w:r>
    </w:p>
    <w:p>
      <w:pPr>
        <w:pStyle w:val="ArticleScripture"/>
        <w:jc w:val="left"/>
      </w:pPr>
      <w:r>
        <w:rPr>
          <w:rFonts w:ascii="Times New Roman" w:hAnsi="Times New Roman" w:eastAsia="Times New Roman" w:cs="Times New Roman"/>
        </w:rPr>
        <w:t>Et après trois jours et demi, l’Esprit de vie venant de Dieu entra en eux, et ils se tinrent sur leurs pieds; et une grande crainte tomba sur ceux qui les voyaient. Apocalypse 11:11.</w:t>
      </w:r>
    </w:p>
    <w:p>
      <w:pPr>
        <w:pStyle w:val="ArticleBody"/>
        <w:jc w:val="left"/>
      </w:pPr>
      <w:r>
        <w:rPr>
          <w:rFonts w:ascii="Times New Roman" w:hAnsi="Times New Roman" w:eastAsia="Times New Roman" w:cs="Times New Roman"/>
        </w:rPr>
        <w:t>Ces deux témoins sont représentés comme Moïse et Élie, et Moïse aussi fut ressuscité par la voix de l’archange.</w:t>
      </w:r>
    </w:p>
    <w:p>
      <w:pPr>
        <w:pStyle w:val="ArticleScripture"/>
        <w:jc w:val="left"/>
      </w:pPr>
      <w:r>
        <w:rPr>
          <w:rFonts w:ascii="Times New Roman" w:hAnsi="Times New Roman" w:eastAsia="Times New Roman" w:cs="Times New Roman"/>
        </w:rPr>
        <w:t>Na Mikaeli, malaika mkuu, alipokuwa akishindana na Ibilisi, akibishana naye juu ya mwili wa Musa, hakuthubutu kumletea shtaka la matukano, bali alisema, Bwana akukemee. Yuda 1:9.</w:t>
      </w:r>
    </w:p>
    <w:p>
      <w:pPr>
        <w:pStyle w:val="ArticleBody"/>
        <w:jc w:val="left"/>
      </w:pPr>
      <w:r>
        <w:rPr>
          <w:rFonts w:ascii="Times New Roman" w:hAnsi="Times New Roman" w:eastAsia="Times New Roman" w:cs="Times New Roman"/>
        </w:rPr>
        <w:t>Mikaeli, Mfalme na Malaika Mkuu, ndiye aliyekuja na kumsaidia Gabrieli katika Danieli sura ya kumi, na ni sauti Yake iwaitayo wanaume na wanawake kuingia katika uzima.</w:t>
      </w:r>
    </w:p>
    <w:p>
      <w:pPr>
        <w:pStyle w:val="ArticleScripture"/>
        <w:jc w:val="left"/>
      </w:pPr>
      <w:r>
        <w:rPr>
          <w:rFonts w:ascii="Times New Roman" w:hAnsi="Times New Roman" w:eastAsia="Times New Roman" w:cs="Times New Roman"/>
        </w:rPr>
        <w:t>Car le Seigneur lui-même, à un signal donné, à la voix de l’archange et au son de la trompette de Dieu, descendra du ciel; et les morts en Christ ressusciteront premièrement. 1 Thessaloniciens 4:16.</w:t>
      </w:r>
    </w:p>
    <w:p>
      <w:pPr>
        <w:pStyle w:val="ArticleBody"/>
        <w:jc w:val="left"/>
      </w:pPr>
      <w:r>
        <w:rPr>
          <w:rFonts w:ascii="Times New Roman" w:hAnsi="Times New Roman" w:eastAsia="Times New Roman" w:cs="Times New Roman"/>
        </w:rPr>
        <w:t>Les trois attouchements de Daniel représentent la transition du mouvement laodicéen du troisième ange vers le mouvement philadelphien du troisième ange; et, dans Daniel dix, la vision qui accomplit la transition de l’image de Laodicée à l’image de Philadelphie est représentée par l’histoire prophétique exposée au chapitre onze. Cette vision est représentée par Ézéchiel comme la vision de l’islam du troisième malheur. En 2014, la Russie a déclenché la seconde guerre par procuration. En 2015, le président le plus riche a commencé ses efforts pour devenir le sixième président.</w:t>
      </w:r>
    </w:p>
    <w:p>
      <w:pPr>
        <w:pStyle w:val="ArticleBody"/>
        <w:jc w:val="left"/>
      </w:pPr>
      <w:r>
        <w:rPr>
          <w:rFonts w:ascii="Times New Roman" w:hAnsi="Times New Roman" w:eastAsia="Times New Roman" w:cs="Times New Roman"/>
        </w:rPr>
        <w:t>Mnamo mwaka 2020, yule rais, akiwakilisha pembe ya Republican, aliuawa na mnyama asiyeamini kuwapo kwa Mungu wa “woke” atokaye katika shimo lisilo na mwisho, na katika mwaka huohuo pembe ya Kiprotestanti ya Laodikia nayo pia iliuawa. Mnamo mwaka 2023, pembe zote mbili zikafufuka, zote mbili zikianza mpito wao kuingia katika yule wa nane aliye wa wale saba. Moja ikibadilika na kuingia katika sura ya kisiasa ya mnyama, huku Kanisa na Serikali zikiletwa pamoja katika Marekani, na pembe nyingine ikibadilika kutoka katika sura ya Laodikia na kuingia katika sura ya Kristo. Zote mbili zitainuliwa katika sheria ya Jumapili inayokuja upesi. Moja itakuwa “Aleksanda Mkuu”, mfalme mkuu wa wale wafalme kumi wanaoupa ufalme wao wa saba kahaba wa Roma, na nyingine itainuliwa kuwa bendera.</w:t>
      </w:r>
    </w:p>
    <w:p>
      <w:pPr>
        <w:pStyle w:val="ArticleBody"/>
        <w:jc w:val="left"/>
      </w:pPr>
      <w:r>
        <w:rPr>
          <w:rFonts w:ascii="Times New Roman" w:hAnsi="Times New Roman" w:eastAsia="Times New Roman" w:cs="Times New Roman"/>
        </w:rPr>
        <w:t>Maono yanayozalisha mabadiliko haya yote mawili ni historia inayojifunua kati ya Septemba 11, 2001 na sheria ya Jumapili. Aya ya kumi na moja ya Danieli sura ya kumi na moja inatambuliwa mahsusi katika muktadha wa kwamba msipoamini, hamtaimarishwa.</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“Imithetho yeBhayibhile imele ibe sisikhokelo sobomi bemihla ngemihla. Umnqamlezo kaKristu umele ube ngumxholo, utyhila izifundo ekufuneka sizifundile size sizenze. UKristu umele aziswe kuzo zonke izifundo, ukuze abafundi basisele kulwazi lukaThixo, baze bammelise ngesimilo. Ukugqwesa kwaKhe kumele kube sisifundo sethu ngexesha kwakunye naphakade. Ilizwi likaThixo, elathethwa nguKristu kwiTestamente eNdala nakwiTestamente eNtsha, lisonka esivela ezulwini; kodwa okuninzi okubizwa ngokuba yinzululwazi kufana nezitya eziyimveliso yokuveliswa kwabantu, ukutya okungxengekileyo; akusiyo imana yokwenyaniso.</w:t>
      </w:r>
    </w:p>
    <w:p>
      <w:pPr>
        <w:pStyle w:val="ArticleScripture"/>
        <w:jc w:val="left"/>
      </w:pPr>
      <w:r>
        <w:rPr>
          <w:rFonts w:ascii="Times New Roman" w:hAnsi="Times New Roman" w:eastAsia="Times New Roman" w:cs="Times New Roman"/>
        </w:rPr>
        <w:t>“Na sa pulong sa Dios matatagpuan ang karunungang hindi mapag-aalinlanganan, hindi nauubos—karunungang nagmula, hindi sa may hangganan, kundi sa walang-hanggang pag-iisip. Ngunit marami sa mga inihayag ng Dios sa Kaniyang salita ay malabo sa mga tao, sapagkat ang mga hiyas ng katotohanan ay nalilibing sa ilalim ng mga kalat ng karunungan at tradisyon ng tao. Sa marami, ang mga kayamanan ng salita ay nananatiling natatago, sapagkat hindi ito hinanap nang may taimtim na pagtitiyaga hanggang sa maunawaan ang mga gintong tuntunin. Ang salita ay dapat saliksikin upang dalisayin at ihanda yaong mga tumatanggap nito upang maging mga kaanib ng maharlikang sambahayan, mga anak ng hari ng langit.</w:t>
      </w:r>
    </w:p>
    <w:p>
      <w:pPr>
        <w:pStyle w:val="ArticleScripture"/>
        <w:jc w:val="left"/>
      </w:pPr>
      <w:r>
        <w:rPr>
          <w:rFonts w:ascii="Leelawadee UI" w:hAnsi="Leelawadee UI" w:eastAsia="Leelawadee UI" w:cs="Leelawadee UI"/>
        </w:rPr>
        <w:t>ការសិក្សាព្រះបន្ទូលរបស់ព្រះគួរតែជំនួសទីកន្លែងនៃការសិក្សាសៀវភៅទាំងនោះ</w:t>
      </w:r>
      <w:r>
        <w:rPr>
          <w:rFonts w:ascii="Times New Roman" w:hAnsi="Times New Roman" w:eastAsia="Times New Roman" w:cs="Times New Roman"/>
        </w:rPr>
        <w:t xml:space="preserve"> </w:t>
      </w:r>
      <w:r>
        <w:rPr>
          <w:rFonts w:ascii="Leelawadee UI" w:hAnsi="Leelawadee UI" w:eastAsia="Leelawadee UI" w:cs="Leelawadee UI"/>
        </w:rPr>
        <w:t>ដែលបាននាំចិត្តគំនិតមនុស្សឲ្យចូលទៅក្នុងអាថ៌កំបាំងនិយម</w:t>
      </w:r>
      <w:r>
        <w:rPr>
          <w:rFonts w:ascii="Times New Roman" w:hAnsi="Times New Roman" w:eastAsia="Times New Roman" w:cs="Times New Roman"/>
        </w:rPr>
        <w:t xml:space="preserve"> </w:t>
      </w:r>
      <w:r>
        <w:rPr>
          <w:rFonts w:ascii="Leelawadee UI" w:hAnsi="Leelawadee UI" w:eastAsia="Leelawadee UI" w:cs="Leelawadee UI"/>
        </w:rPr>
        <w:t>ហើយឲ្យឃ្លាតឆ្ងាយពីសេចក្តីពិត។</w:t>
      </w:r>
      <w:r>
        <w:rPr>
          <w:rFonts w:ascii="Times New Roman" w:hAnsi="Times New Roman" w:eastAsia="Times New Roman" w:cs="Times New Roman"/>
        </w:rPr>
        <w:t xml:space="preserve"> </w:t>
      </w:r>
      <w:r>
        <w:rPr>
          <w:rFonts w:ascii="Leelawadee UI" w:hAnsi="Leelawadee UI" w:eastAsia="Leelawadee UI" w:cs="Leelawadee UI"/>
        </w:rPr>
        <w:t>គោលការណ៍ដ៏មានជីវិតរបស់ព្រះបន្ទូល</w:t>
      </w:r>
      <w:r>
        <w:rPr>
          <w:rFonts w:ascii="Times New Roman" w:hAnsi="Times New Roman" w:eastAsia="Times New Roman" w:cs="Times New Roman"/>
        </w:rPr>
        <w:t xml:space="preserve"> </w:t>
      </w:r>
      <w:r>
        <w:rPr>
          <w:rFonts w:ascii="Leelawadee UI" w:hAnsi="Leelawadee UI" w:eastAsia="Leelawadee UI" w:cs="Leelawadee UI"/>
        </w:rPr>
        <w:t>ដែលត្រូវបានត្បាញបញ្ចូលក្នុងជីវិតរបស់យើង</w:t>
      </w:r>
      <w:r>
        <w:rPr>
          <w:rFonts w:ascii="Times New Roman" w:hAnsi="Times New Roman" w:eastAsia="Times New Roman" w:cs="Times New Roman"/>
        </w:rPr>
        <w:t xml:space="preserve"> </w:t>
      </w:r>
      <w:r>
        <w:rPr>
          <w:rFonts w:ascii="Leelawadee UI" w:hAnsi="Leelawadee UI" w:eastAsia="Leelawadee UI" w:cs="Leelawadee UI"/>
        </w:rPr>
        <w:t>នឹងក្លាយជាការការពាររបស់យើងក្នុងពេលសាកល្បង</w:t>
      </w:r>
      <w:r>
        <w:rPr>
          <w:rFonts w:ascii="Times New Roman" w:hAnsi="Times New Roman" w:eastAsia="Times New Roman" w:cs="Times New Roman"/>
        </w:rPr>
        <w:t xml:space="preserve"> </w:t>
      </w:r>
      <w:r>
        <w:rPr>
          <w:rFonts w:ascii="Leelawadee UI" w:hAnsi="Leelawadee UI" w:eastAsia="Leelawadee UI" w:cs="Leelawadee UI"/>
        </w:rPr>
        <w:t>និងការល្បួង</w:t>
      </w:r>
      <w:r>
        <w:rPr>
          <w:rFonts w:ascii="Times New Roman" w:hAnsi="Times New Roman" w:eastAsia="Times New Roman" w:cs="Times New Roman"/>
        </w:rPr>
        <w:t xml:space="preserve">; </w:t>
      </w:r>
      <w:r>
        <w:rPr>
          <w:rFonts w:ascii="Leelawadee UI" w:hAnsi="Leelawadee UI" w:eastAsia="Leelawadee UI" w:cs="Leelawadee UI"/>
        </w:rPr>
        <w:t>ការបង្រៀនដ៏ទេវភាពរបស់វា</w:t>
      </w:r>
      <w:r>
        <w:rPr>
          <w:rFonts w:ascii="Times New Roman" w:hAnsi="Times New Roman" w:eastAsia="Times New Roman" w:cs="Times New Roman"/>
        </w:rPr>
        <w:t xml:space="preserve"> </w:t>
      </w:r>
      <w:r>
        <w:rPr>
          <w:rFonts w:ascii="Leelawadee UI" w:hAnsi="Leelawadee UI" w:eastAsia="Leelawadee UI" w:cs="Leelawadee UI"/>
        </w:rPr>
        <w:t>គឺជាមាគ៌ាតែមួយគត់ទៅកាន់ភាពជោគជ័យ។</w:t>
      </w:r>
      <w:r>
        <w:rPr>
          <w:rFonts w:ascii="Times New Roman" w:hAnsi="Times New Roman" w:eastAsia="Times New Roman" w:cs="Times New Roman"/>
        </w:rPr>
        <w:t xml:space="preserve"> </w:t>
      </w:r>
      <w:r>
        <w:rPr>
          <w:rFonts w:ascii="Leelawadee UI" w:hAnsi="Leelawadee UI" w:eastAsia="Leelawadee UI" w:cs="Leelawadee UI"/>
        </w:rPr>
        <w:t>នៅពេលការសាកល្បងមកដល់គ្រប់ព្រលឹង</w:t>
      </w:r>
      <w:r>
        <w:rPr>
          <w:rFonts w:ascii="Times New Roman" w:hAnsi="Times New Roman" w:eastAsia="Times New Roman" w:cs="Times New Roman"/>
        </w:rPr>
        <w:t xml:space="preserve"> </w:t>
      </w:r>
      <w:r>
        <w:rPr>
          <w:rFonts w:ascii="Leelawadee UI" w:hAnsi="Leelawadee UI" w:eastAsia="Leelawadee UI" w:cs="Leelawadee UI"/>
        </w:rPr>
        <w:t>នឹងមានការក្បត់ជំនឿ។</w:t>
      </w:r>
      <w:r>
        <w:rPr>
          <w:rFonts w:ascii="Times New Roman" w:hAnsi="Times New Roman" w:eastAsia="Times New Roman" w:cs="Times New Roman"/>
        </w:rPr>
        <w:t xml:space="preserve"> </w:t>
      </w:r>
      <w:r>
        <w:rPr>
          <w:rFonts w:ascii="Leelawadee UI" w:hAnsi="Leelawadee UI" w:eastAsia="Leelawadee UI" w:cs="Leelawadee UI"/>
        </w:rPr>
        <w:t>មនុស្សខ្លះនឹងបង្ហាញខ្លួនថាជាអ្នកក្បត់</w:t>
      </w:r>
      <w:r>
        <w:rPr>
          <w:rFonts w:ascii="Times New Roman" w:hAnsi="Times New Roman" w:eastAsia="Times New Roman" w:cs="Times New Roman"/>
        </w:rPr>
        <w:t xml:space="preserve"> </w:t>
      </w:r>
      <w:r>
        <w:rPr>
          <w:rFonts w:ascii="Leelawadee UI" w:hAnsi="Leelawadee UI" w:eastAsia="Leelawadee UI" w:cs="Leelawadee UI"/>
        </w:rPr>
        <w:t>មានចិត្តឆេវឆាវ</w:t>
      </w:r>
      <w:r>
        <w:rPr>
          <w:rFonts w:ascii="Times New Roman" w:hAnsi="Times New Roman" w:eastAsia="Times New Roman" w:cs="Times New Roman"/>
        </w:rPr>
        <w:t xml:space="preserve"> </w:t>
      </w:r>
      <w:r>
        <w:rPr>
          <w:rFonts w:ascii="Leelawadee UI" w:hAnsi="Leelawadee UI" w:eastAsia="Leelawadee UI" w:cs="Leelawadee UI"/>
        </w:rPr>
        <w:t>មានគំនិតខ្ពស់អំពីខ្លួនឯង</w:t>
      </w:r>
      <w:r>
        <w:rPr>
          <w:rFonts w:ascii="Times New Roman" w:hAnsi="Times New Roman" w:eastAsia="Times New Roman" w:cs="Times New Roman"/>
        </w:rPr>
        <w:t xml:space="preserve"> </w:t>
      </w:r>
      <w:r>
        <w:rPr>
          <w:rFonts w:ascii="Leelawadee UI" w:hAnsi="Leelawadee UI" w:eastAsia="Leelawadee UI" w:cs="Leelawadee UI"/>
        </w:rPr>
        <w:t>និងពឹងផ្អែកលើខ្លួនឯង</w:t>
      </w:r>
      <w:r>
        <w:rPr>
          <w:rFonts w:ascii="Times New Roman" w:hAnsi="Times New Roman" w:eastAsia="Times New Roman" w:cs="Times New Roman"/>
        </w:rPr>
        <w:t xml:space="preserve"> </w:t>
      </w:r>
      <w:r>
        <w:rPr>
          <w:rFonts w:ascii="Leelawadee UI" w:hAnsi="Leelawadee UI" w:eastAsia="Leelawadee UI" w:cs="Leelawadee UI"/>
        </w:rPr>
        <w:t>ហើយនឹងបែរចេញពីសេចក្តីពិត</w:t>
      </w:r>
      <w:r>
        <w:rPr>
          <w:rFonts w:ascii="Times New Roman" w:hAnsi="Times New Roman" w:eastAsia="Times New Roman" w:cs="Times New Roman"/>
        </w:rPr>
        <w:t xml:space="preserve"> </w:t>
      </w:r>
      <w:r>
        <w:rPr>
          <w:rFonts w:ascii="Leelawadee UI" w:hAnsi="Leelawadee UI" w:eastAsia="Leelawadee UI" w:cs="Leelawadee UI"/>
        </w:rPr>
        <w:t>ធ្វើឲ្យជំនឿរបស់ខ្លួនលិចលង់បាត់បង់។</w:t>
      </w:r>
      <w:r>
        <w:rPr>
          <w:rFonts w:ascii="Times New Roman" w:hAnsi="Times New Roman" w:eastAsia="Times New Roman" w:cs="Times New Roman"/>
        </w:rPr>
        <w:t xml:space="preserve"> </w:t>
      </w:r>
      <w:r>
        <w:rPr>
          <w:rFonts w:ascii="Leelawadee UI" w:hAnsi="Leelawadee UI" w:eastAsia="Leelawadee UI" w:cs="Leelawadee UI"/>
        </w:rPr>
        <w:t>ហេតុអ្វី</w:t>
      </w:r>
      <w:r>
        <w:rPr>
          <w:rFonts w:ascii="Times New Roman" w:hAnsi="Times New Roman" w:eastAsia="Times New Roman" w:cs="Times New Roman"/>
        </w:rPr>
        <w:t xml:space="preserve">? </w:t>
      </w:r>
      <w:r>
        <w:rPr>
          <w:rFonts w:ascii="Leelawadee UI" w:hAnsi="Leelawadee UI" w:eastAsia="Leelawadee UI" w:cs="Leelawadee UI"/>
        </w:rPr>
        <w:t>ពីព្រោះពួកគេមិនបានរស់នៅ</w:t>
      </w:r>
      <w:r>
        <w:rPr>
          <w:rFonts w:ascii="Times New Roman" w:hAnsi="Times New Roman" w:eastAsia="Times New Roman" w:cs="Times New Roman"/>
        </w:rPr>
        <w:t xml:space="preserve"> «</w:t>
      </w:r>
      <w:r>
        <w:rPr>
          <w:rFonts w:ascii="Leelawadee UI" w:hAnsi="Leelawadee UI" w:eastAsia="Leelawadee UI" w:cs="Leelawadee UI"/>
        </w:rPr>
        <w:t>ដោយគ្រប់ព្រះបន្ទូលដែលចេញមកពីព្រះឱស្ឋរបស់ព្រះ</w:t>
      </w:r>
      <w:r>
        <w:rPr>
          <w:rFonts w:ascii="Times New Roman" w:hAnsi="Times New Roman" w:eastAsia="Times New Roman" w:cs="Times New Roman"/>
        </w:rPr>
        <w:t xml:space="preserve">»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ពួកគេមិនបានជីកឲ្យជ្រៅ</w:t>
      </w:r>
      <w:r>
        <w:rPr>
          <w:rFonts w:ascii="Times New Roman" w:hAnsi="Times New Roman" w:eastAsia="Times New Roman" w:cs="Times New Roman"/>
        </w:rPr>
        <w:t xml:space="preserve"> </w:t>
      </w:r>
      <w:r>
        <w:rPr>
          <w:rFonts w:ascii="Leelawadee UI" w:hAnsi="Leelawadee UI" w:eastAsia="Leelawadee UI" w:cs="Leelawadee UI"/>
        </w:rPr>
        <w:t>ហើយមិនបានធ្វើឲ្យគ្រឹះរបស់ខ្លួនមាំមួនឡើយ។</w:t>
      </w:r>
    </w:p>
    <w:p>
      <w:pPr>
        <w:pStyle w:val="ArticleScripture"/>
        <w:jc w:val="left"/>
      </w:pPr>
      <w:r>
        <w:rPr>
          <w:rFonts w:ascii="Times New Roman" w:hAnsi="Times New Roman" w:eastAsia="Times New Roman" w:cs="Times New Roman"/>
        </w:rPr>
        <w:t>«Lorsque les paroles du Seigneur, transmises par Ses messagers choisis, leur sont adressées, ils murmurent et pensent que la voie est rendue trop étroite. Dans le sixième chapitre de Jean, nous lisons au sujet de certains que l’on tenait pour des disciples de Christ, mais qui, lorsque la vérité simple leur fut présentée, en furent offensés et ne marchèrent plus avec Lui. De même, ces étudiants superficiels se détourneront eux aussi de Christ.»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soixante-dix</dc:title>
  <dc:subject>රූහයේ කොටුව: අනාවැකිමය සන්දර්භය තුළ දේවීය සිංහාසනාරෝහණය හා පරිවර්තනය අවබෝධ කරගැනීම</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