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soixante-douze</w:t>
      </w:r>
    </w:p>
    <w:p>
      <w:pPr>
        <w:pStyle w:val="ArticleSubtitle"/>
        <w:jc w:val="left"/>
      </w:pPr>
      <w:r>
        <w:rPr>
          <w:rFonts w:ascii="Nirmala UI" w:hAnsi="Nirmala UI" w:eastAsia="Nirmala UI" w:cs="Nirmala UI"/>
        </w:rPr>
        <w:t>ছায়া</w:t>
      </w:r>
      <w:r>
        <w:rPr>
          <w:rFonts w:ascii="Arial" w:hAnsi="Arial" w:eastAsia="Arial" w:cs="Arial"/>
        </w:rPr>
        <w:t xml:space="preserve">: </w:t>
      </w:r>
      <w:r>
        <w:rPr>
          <w:rFonts w:ascii="Nirmala UI" w:hAnsi="Nirmala UI" w:eastAsia="Nirmala UI" w:cs="Nirmala UI"/>
        </w:rPr>
        <w:t>ক্যাথলিক</w:t>
      </w:r>
      <w:r>
        <w:rPr>
          <w:rFonts w:ascii="Arial" w:hAnsi="Arial" w:eastAsia="Arial" w:cs="Arial"/>
        </w:rPr>
        <w:t xml:space="preserve"> </w:t>
      </w:r>
      <w:r>
        <w:rPr>
          <w:rFonts w:ascii="Nirmala UI" w:hAnsi="Nirmala UI" w:eastAsia="Nirmala UI" w:cs="Nirmala UI"/>
        </w:rPr>
        <w:t>চার্চের</w:t>
      </w:r>
      <w:r>
        <w:rPr>
          <w:rFonts w:ascii="Arial" w:hAnsi="Arial" w:eastAsia="Arial" w:cs="Arial"/>
        </w:rPr>
        <w:t xml:space="preserve"> </w:t>
      </w:r>
      <w:r>
        <w:rPr>
          <w:rFonts w:ascii="Nirmala UI" w:hAnsi="Nirmala UI" w:eastAsia="Nirmala UI" w:cs="Nirmala UI"/>
        </w:rPr>
        <w:t>নবীসুলভ</w:t>
      </w:r>
      <w:r>
        <w:rPr>
          <w:rFonts w:ascii="Arial" w:hAnsi="Arial" w:eastAsia="Arial" w:cs="Arial"/>
        </w:rPr>
        <w:t xml:space="preserve"> </w:t>
      </w:r>
      <w:r>
        <w:rPr>
          <w:rFonts w:ascii="Nirmala UI" w:hAnsi="Nirmala UI" w:eastAsia="Nirmala UI" w:cs="Nirmala UI"/>
        </w:rPr>
        <w:t>দর্শনের</w:t>
      </w:r>
      <w:r>
        <w:rPr>
          <w:rFonts w:ascii="Arial" w:hAnsi="Arial" w:eastAsia="Arial" w:cs="Arial"/>
        </w:rPr>
        <w:t xml:space="preserve"> </w:t>
      </w:r>
      <w:r>
        <w:rPr>
          <w:rFonts w:ascii="Nirmala UI" w:hAnsi="Nirmala UI" w:eastAsia="Nirmala UI" w:cs="Nirmala UI"/>
        </w:rPr>
        <w:t>অন্তরালে</w:t>
      </w:r>
      <w:r>
        <w:rPr>
          <w:rFonts w:ascii="Arial" w:hAnsi="Arial" w:eastAsia="Arial" w:cs="Arial"/>
        </w:rPr>
        <w:t xml:space="preserve"> </w:t>
      </w:r>
      <w:r>
        <w:rPr>
          <w:rFonts w:ascii="Nirmala UI" w:hAnsi="Nirmala UI" w:eastAsia="Nirmala UI" w:cs="Nirmala UI"/>
        </w:rPr>
        <w:t>থাকা</w:t>
      </w:r>
      <w:r>
        <w:rPr>
          <w:rFonts w:ascii="Arial" w:hAnsi="Arial" w:eastAsia="Arial" w:cs="Arial"/>
        </w:rPr>
        <w:t xml:space="preserve"> </w:t>
      </w:r>
      <w:r>
        <w:rPr>
          <w:rFonts w:ascii="Nirmala UI" w:hAnsi="Nirmala UI" w:eastAsia="Nirmala UI" w:cs="Nirmala UI"/>
        </w:rPr>
        <w:t>শয়তানিক</w:t>
      </w:r>
      <w:r>
        <w:rPr>
          <w:rFonts w:ascii="Arial" w:hAnsi="Arial" w:eastAsia="Arial" w:cs="Arial"/>
        </w:rPr>
        <w:t xml:space="preserve"> </w:t>
      </w:r>
      <w:r>
        <w:rPr>
          <w:rFonts w:ascii="Nirmala UI" w:hAnsi="Nirmala UI" w:eastAsia="Nirmala UI" w:cs="Nirmala UI"/>
        </w:rPr>
        <w:t>প্রভাবের</w:t>
      </w:r>
      <w:r>
        <w:rPr>
          <w:rFonts w:ascii="Arial" w:hAnsi="Arial" w:eastAsia="Arial" w:cs="Arial"/>
        </w:rPr>
        <w:t xml:space="preserve"> </w:t>
      </w:r>
      <w:r>
        <w:rPr>
          <w:rFonts w:ascii="Nirmala UI" w:hAnsi="Nirmala UI" w:eastAsia="Nirmala UI" w:cs="Nirmala UI"/>
        </w:rPr>
        <w:t>উন্মোচন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Lo oon ngu ngel Fatima moo doon liggéeyu préparasyon bu Seytaane di def ngir waajal Kàngam Katolig bi ngir mu jébbal ko seen mbooloo ci moom bu muy soloo Kirist, ndaxte mooy “jëf ju gën a màgg ci kàttanu Seytaane—ab mandarga ci ay jéego yi mu def ngir toog ci gànguna nguur gi ngir nguuru àddina ji ci ni ko soobee.” Ñi dul jot njariñ ci seede bu yonent bi di fésal wàllu Fatima ci yóbbu Katolisism, ndax seen bañ a gëm ne Seytaane man na def kéemaan, dañuy waajal seen bopp ngir ñu nax leen. Yonent bu Fatima dafa jëm ci xare bu biir Catholicism, ak xareb Catholicism ak ñi weddi Yàlla.</w:t>
      </w:r>
    </w:p>
    <w:p>
      <w:pPr>
        <w:pStyle w:val="ArticleBody"/>
        <w:jc w:val="left"/>
      </w:pPr>
      <w:r>
        <w:rPr>
          <w:rFonts w:ascii="Times New Roman" w:hAnsi="Times New Roman" w:eastAsia="Times New Roman" w:cs="Times New Roman"/>
        </w:rPr>
        <w:t>Le combat du catholicisme contre l’athéisme fait l’objet du verset quarante de Daniel onze. L’illustration de cette lutte commence en 1798, au verset quarante. Elle débute par la bataille au cours de laquelle Napoléon, le roi du midi, fit le pape prisonnier en 1798, et le témoignage contenu dans le verset s’achève ensuite lorsque le roi du nord emporte le roi du midi en 1989. Dans cette période historique (de 1798 à 1989), les deux antagonistes, en 1917 et 1918, sont chacun marqués par un symbolisme prophétique qui relie leurs deux témoignages, tout en conservant le thème général du verset. La prophétie de Fatima est sans aucun doute une prophétie satanique, mais elle est un sujet de la Parole prophétique de Dieu, et constitue par conséquent une histoire qui doit être correctement comprise.</w:t>
      </w:r>
    </w:p>
    <w:p>
      <w:pPr>
        <w:pStyle w:val="ArticleScripture"/>
        <w:jc w:val="left"/>
      </w:pPr>
      <w:r>
        <w:rPr>
          <w:rFonts w:ascii="Times New Roman" w:hAnsi="Times New Roman" w:eastAsia="Times New Roman" w:cs="Times New Roman"/>
        </w:rPr>
        <w:t>“Ушбу вақтда жон учун ягона хавфсизлик — ҳар бир қадамда: «Раббимиз Ўз қулига нима дейди?» деб сўрашдир. Раббининг каломи абадий туради. Муқаддас Китоб бизнинг йўлкўрсатувчи китобимиз бўлиши керак, ва инсонлар ҳикматини сўраш ҳамда чекланган ўлимли бандаларнинг таъкидларини илоҳий ҳақиқат сифатида қабул қилиш ўрнига, биз башоратнинг ишончли каломини тадқиқ қилишимиз лозим. Худо гапирган, ва Унинг каломи ишончлидир, шунинг учун эътиқодимизни «Раббий шундай дейди»га асослашимиз керак. Худо бизни атрофимизда юз бераётган воқеаларни ўрганишга ва уларни Унинг каломидаги башоратлар билан қиёслашга даъват этади, токи биз охирги кунларда яшаётганимизни англай олайлик. Бизга Муқаддас Китобларимиз керак, ва унда нима ёзилганини билишни истаймиз. Башоратни тиришқоқлик билан ўрганувчи талаба ҳақиқатнинг равшан ваҳийлари билан мукофотланади, чунки Исо: «Сенинг каломинг ҳақиқатдир», деган.” Signs of the Times, October 1, 1894.</w:t>
      </w:r>
    </w:p>
    <w:p>
      <w:pPr>
        <w:pStyle w:val="ArticleBody"/>
        <w:jc w:val="left"/>
      </w:pPr>
      <w:r>
        <w:rPr>
          <w:rFonts w:ascii="Times New Roman" w:hAnsi="Times New Roman" w:eastAsia="Times New Roman" w:cs="Times New Roman"/>
        </w:rPr>
        <w:t>Tou troisièm guerre pa procuration, tel qu’elle est représentée dans les versets treize à quinze de Daniel onze, est introduite la puissance qui s’exalte elle-même afin d’établir la vision. Ce verset s’est accompli en l’an 200 av. J.-C., lorsque « les Romains intervinrent en faveur du jeune roi d’Égypte » et « décidèrent qu’il devait être protégé de la ruine tramée par Antiochus et Philippe ». Le verset et l’histoire de l’an 200 av. J.-C. identifient que, juste avant la loi du dimanche, sous le prétexte de défendre le remplaçant affaibli de Poutine, au moment où les États-Unis et les Nations Unies (Séleucus et Philippe de Macédoine) auront décidé de s’emparer des territoires russes et de les partager pour leur bénéfice mutuel, la Rome papale (la prostituée de Tyr) commencera à faire entendre sa musique, en commençant à s’avancer pour commettre fornication avec les rois de la terre.</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៥៣៣</w:t>
      </w:r>
      <w:r>
        <w:rPr>
          <w:rFonts w:ascii="Times New Roman" w:hAnsi="Times New Roman" w:eastAsia="Times New Roman" w:cs="Times New Roman"/>
        </w:rPr>
        <w:t xml:space="preserve"> </w:t>
      </w:r>
      <w:r>
        <w:rPr>
          <w:rFonts w:ascii="Leelawadee UI" w:hAnsi="Leelawadee UI" w:eastAsia="Leelawadee UI" w:cs="Leelawadee UI"/>
        </w:rPr>
        <w:t>ហើយព្រះរាជក្រឹត្យរបស់យូស្ទីនៀននឹងត្រូវបានធ្វើឡើងម្តងទៀត</w:t>
      </w:r>
      <w:r>
        <w:rPr>
          <w:rFonts w:ascii="Times New Roman" w:hAnsi="Times New Roman" w:eastAsia="Times New Roman" w:cs="Times New Roman"/>
        </w:rPr>
        <w:t xml:space="preserve"> </w:t>
      </w:r>
      <w:r>
        <w:rPr>
          <w:rFonts w:ascii="Leelawadee UI" w:hAnsi="Leelawadee UI" w:eastAsia="Leelawadee UI" w:cs="Leelawadee UI"/>
        </w:rPr>
        <w:t>ដូចដែលបានតំណាងទុកជាព្យាករណ៍ក្នុងវិវរណៈ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ដែលបញ្ជាក់ថា</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រ៉ូមមិនជឿព្រះ</w:t>
      </w:r>
      <w:r>
        <w:rPr>
          <w:rFonts w:ascii="Times New Roman" w:hAnsi="Times New Roman" w:eastAsia="Times New Roman" w:cs="Times New Roman"/>
        </w:rPr>
        <w:t xml:space="preserve">) </w:t>
      </w:r>
      <w:r>
        <w:rPr>
          <w:rFonts w:ascii="Leelawadee UI" w:hAnsi="Leelawadee UI" w:eastAsia="Leelawadee UI" w:cs="Leelawadee UI"/>
        </w:rPr>
        <w:t>នឹងប្រគល់អ្វីបីយ៉ាងដល់អំណាចសម្តេចប៉ាប។</w:t>
      </w:r>
    </w:p>
    <w:p>
      <w:pPr>
        <w:pStyle w:val="ArticleScripture"/>
        <w:jc w:val="left"/>
      </w:pPr>
      <w:r>
        <w:rPr>
          <w:rFonts w:ascii="Times New Roman" w:hAnsi="Times New Roman" w:eastAsia="Times New Roman" w:cs="Times New Roman"/>
        </w:rPr>
        <w:t>Kusetyenziswa inyamakazi endayibonayo yayifana nehlosi, neenyawo zayo zazinje ngeenyawo zebhere, nomlomo wayo unjengomlomo wengonyama; yaza inamba yamnika amandla ayo, netrone yayo, negunya elikhulu. ISityhilelo 13:2.</w:t>
      </w:r>
    </w:p>
    <w:p>
      <w:pPr>
        <w:pStyle w:val="ArticleBody"/>
        <w:jc w:val="left"/>
      </w:pPr>
      <w:r>
        <w:rPr>
          <w:rFonts w:ascii="Times New Roman" w:hAnsi="Times New Roman" w:eastAsia="Times New Roman" w:cs="Times New Roman"/>
        </w:rPr>
        <w:t>Le dragon de la Rome païenne donna son « siège » (la ville de Rome) à la papauté en l’an 330, lorsque Constantin transféra sa capitale à Constantinople. Clovis donna sa « puissance » militaire à la papauté à partir de 496, et en 533 Justinien donna à la papauté l’« autorité » civile. Cinq ans plus tard, la Rome païenne plaça la papauté sur le trône, comme cela est représenté aux versets seize, trente et un, et quarante et un de Daniel onze. Lorsque les États-Unis remporteront la troisième guerre par procuration, la papauté aura vaincu la puissance communiste de la Russie, qui est le sujet de la prophétie de Fatima. Les guerres par procuration portent la signature de la vérité, car les trois batailles sont toutes accomplies par une armée mandataire de la papauté.</w:t>
      </w:r>
    </w:p>
    <w:p>
      <w:pPr>
        <w:pStyle w:val="ArticleBody"/>
        <w:jc w:val="left"/>
      </w:pPr>
      <w:r>
        <w:rPr>
          <w:rFonts w:ascii="Times New Roman" w:hAnsi="Times New Roman" w:eastAsia="Times New Roman" w:cs="Times New Roman"/>
        </w:rPr>
        <w:t>De eerste en laatste pauselijke proxyleger is de Verenigde Staten (afvallig protestantisme). Het middelste proxyleger zijn de nazi’s van Oekraïne, die in de Tweede Wereldoorlog eveneens het katholieke proxyleger tegen het communistische Rusland waren. Er zijn drie wereldoorlogen, en er zijn drie proxyoorlogen. De tweede oorlog van zowel de wereldoorlogen als de proxyoorlogen was het nazisme. De huidige oorlog in Oekraïne is de oorlog van het grensgebied die de verzen elf en twaalf voor het eerst vervulde in de slag bij Raphia. De oorlog in Oekraïne wordt thans voltrokken gedurende de tijd van de tweede van drie slagen van de islam van het derde wee, hoewel de islam bij die specifieke oorlog niet betrokken is.</w:t>
      </w:r>
    </w:p>
    <w:p>
      <w:pPr>
        <w:pStyle w:val="ArticleBody"/>
        <w:jc w:val="left"/>
      </w:pPr>
      <w:r>
        <w:rPr>
          <w:rFonts w:ascii="Times New Roman" w:hAnsi="Times New Roman" w:eastAsia="Times New Roman" w:cs="Times New Roman"/>
        </w:rPr>
        <w:t>Fyerɛ a edi kan no baa honhom mu anuonyam asaase no so wɔ September 11, 2001, na fyerɛ abiɛsa no mu deɛ etwa to no bɛba wɔ Sunday mmara no so, na ɛyɛ tia honhom mu anuonyam asaase no bio. Islam mu fyerɛ abiɛsa no mu deɛ ɛtɔ so mmienu, a ɛwɔ awerɛhoɔ a ɛtɔ so mmiɛnsa no mu no, baa ankasa tete anuonyam asaase no so wɔ October 7, 2023. Saa ɔko no rekɔ so wɔ beaeɛ koro no ara a Ptolemy dii nkonim wɔ Raphia ko no mu no. Yesu kaeɛ sɛ awieeɛ mmerɛ no mu no, ɔko ne ɔko ho nsɛm bɛba.</w:t>
      </w:r>
    </w:p>
    <w:p>
      <w:pPr>
        <w:pStyle w:val="ArticleBody"/>
        <w:jc w:val="left"/>
      </w:pPr>
      <w:r>
        <w:rPr>
          <w:rFonts w:ascii="Times New Roman" w:hAnsi="Times New Roman" w:eastAsia="Times New Roman" w:cs="Times New Roman"/>
        </w:rPr>
        <w:t>جنگ‌هایی که عیسی به آن‌ها اشاره کرد، در آن بخش از تاریخ رخ می‌دهند که اثر هر رؤیا به انجام می‌رسد، و این حقیقت را حزقیال ثبت کرده بود. در آن تاریخ، ظهور سومین وایِ اسلام، دومین و سومین نبردِ جنگ‌های نیابتی، تکرار جنگ داخلی آمریکا، و تکرار جنگ استقلال آمریکا به تصویر کشیده شده‌اند. این جنگ‌ها در خلال تاریخِ مُهر شدنِ آن یکصد و چهل و چهار هزار تحقق می‌یابند، و در قانون یکشنبه‌ای که به‌زودی خواهد آمد، خداوند سپاه خویش را همچون عَلَمی برخواهد افراشت، آنگاه که آخرین، سومین جنگ جهانی آغاز می‌شود، و نیز هنگامی که اسلامِ وایِ سوم، به خشم آوردنِ امت‌ها را شدت می‌بخشد.</w:t>
      </w:r>
    </w:p>
    <w:p>
      <w:pPr>
        <w:pStyle w:val="ArticleScripture"/>
        <w:jc w:val="left"/>
      </w:pPr>
      <w:r>
        <w:rPr>
          <w:rFonts w:ascii="MS Gothic" w:hAnsi="MS Gothic" w:eastAsia="MS Gothic" w:cs="MS Gothic"/>
        </w:rPr>
        <w:t>そして</w:t>
      </w:r>
      <w:r>
        <w:rPr>
          <w:rFonts w:ascii="Microsoft YaHei" w:hAnsi="Microsoft YaHei" w:eastAsia="Microsoft YaHei" w:cs="Microsoft YaHei"/>
        </w:rPr>
        <w:t>、</w:t>
      </w:r>
      <w:r>
        <w:rPr>
          <w:rFonts w:ascii="MS Gothic" w:hAnsi="MS Gothic" w:eastAsia="MS Gothic" w:cs="MS Gothic"/>
        </w:rPr>
        <w:t>あなたがたは</w:t>
      </w:r>
      <w:r>
        <w:rPr>
          <w:rFonts w:ascii="Microsoft YaHei" w:hAnsi="Microsoft YaHei" w:eastAsia="Microsoft YaHei" w:cs="Microsoft YaHei"/>
        </w:rPr>
        <w:t>戦争</w:t>
      </w:r>
      <w:r>
        <w:rPr>
          <w:rFonts w:ascii="MS Gothic" w:hAnsi="MS Gothic" w:eastAsia="MS Gothic" w:cs="MS Gothic"/>
        </w:rPr>
        <w:t>と</w:t>
      </w:r>
      <w:r>
        <w:rPr>
          <w:rFonts w:ascii="Microsoft YaHei" w:hAnsi="Microsoft YaHei" w:eastAsia="Microsoft YaHei" w:cs="Microsoft YaHei"/>
        </w:rPr>
        <w:t>戦争</w:t>
      </w:r>
      <w:r>
        <w:rPr>
          <w:rFonts w:ascii="MS Gothic" w:hAnsi="MS Gothic" w:eastAsia="MS Gothic" w:cs="MS Gothic"/>
        </w:rPr>
        <w:t>のうわさとを</w:t>
      </w:r>
      <w:r>
        <w:rPr>
          <w:rFonts w:ascii="Microsoft YaHei" w:hAnsi="Microsoft YaHei" w:eastAsia="Microsoft YaHei" w:cs="Microsoft YaHei"/>
        </w:rPr>
        <w:t>聞</w:t>
      </w:r>
      <w:r>
        <w:rPr>
          <w:rFonts w:ascii="MS Gothic" w:hAnsi="MS Gothic" w:eastAsia="MS Gothic" w:cs="MS Gothic"/>
        </w:rPr>
        <w:t>くであろう</w:t>
      </w:r>
      <w:r>
        <w:rPr>
          <w:rFonts w:ascii="Times New Roman" w:hAnsi="Times New Roman" w:eastAsia="Times New Roman" w:cs="Times New Roman"/>
        </w:rPr>
        <w:t>.</w:t>
      </w:r>
      <w:r>
        <w:rPr>
          <w:rFonts w:ascii="Microsoft YaHei" w:hAnsi="Microsoft YaHei" w:eastAsia="Microsoft YaHei" w:cs="Microsoft YaHei"/>
        </w:rPr>
        <w:t>気</w:t>
      </w:r>
      <w:r>
        <w:rPr>
          <w:rFonts w:ascii="MS Gothic" w:hAnsi="MS Gothic" w:eastAsia="MS Gothic" w:cs="MS Gothic"/>
        </w:rPr>
        <w:t>をつけて</w:t>
      </w:r>
      <w:r>
        <w:rPr>
          <w:rFonts w:ascii="Microsoft YaHei" w:hAnsi="Microsoft YaHei" w:eastAsia="Microsoft YaHei" w:cs="Microsoft YaHei"/>
        </w:rPr>
        <w:t>、</w:t>
      </w:r>
      <w:r>
        <w:rPr>
          <w:rFonts w:ascii="MS Gothic" w:hAnsi="MS Gothic" w:eastAsia="MS Gothic" w:cs="MS Gothic"/>
        </w:rPr>
        <w:t>うろたえてはならない</w:t>
      </w:r>
      <w:r>
        <w:rPr>
          <w:rFonts w:ascii="Times New Roman" w:hAnsi="Times New Roman" w:eastAsia="Times New Roman" w:cs="Times New Roman"/>
        </w:rPr>
        <w:t>.</w:t>
      </w:r>
      <w:r>
        <w:rPr>
          <w:rFonts w:ascii="MS Gothic" w:hAnsi="MS Gothic" w:eastAsia="MS Gothic" w:cs="MS Gothic"/>
        </w:rPr>
        <w:t>これらのことはみな</w:t>
      </w:r>
      <w:r>
        <w:rPr>
          <w:rFonts w:ascii="Microsoft YaHei" w:hAnsi="Microsoft YaHei" w:eastAsia="Microsoft YaHei" w:cs="Microsoft YaHei"/>
        </w:rPr>
        <w:t>起</w:t>
      </w:r>
      <w:r>
        <w:rPr>
          <w:rFonts w:ascii="MS Gothic" w:hAnsi="MS Gothic" w:eastAsia="MS Gothic" w:cs="MS Gothic"/>
        </w:rPr>
        <w:t>こらなければならないが</w:t>
      </w:r>
      <w:r>
        <w:rPr>
          <w:rFonts w:ascii="Microsoft YaHei" w:hAnsi="Microsoft YaHei" w:eastAsia="Microsoft YaHei" w:cs="Microsoft YaHei"/>
        </w:rPr>
        <w:t>、終</w:t>
      </w:r>
      <w:r>
        <w:rPr>
          <w:rFonts w:ascii="MS Gothic" w:hAnsi="MS Gothic" w:eastAsia="MS Gothic" w:cs="MS Gothic"/>
        </w:rPr>
        <w:t>わりはまだ</w:t>
      </w:r>
      <w:r>
        <w:rPr>
          <w:rFonts w:ascii="Microsoft YaHei" w:hAnsi="Microsoft YaHei" w:eastAsia="Microsoft YaHei" w:cs="Microsoft YaHei"/>
        </w:rPr>
        <w:t>来</w:t>
      </w:r>
      <w:r>
        <w:rPr>
          <w:rFonts w:ascii="MS Gothic" w:hAnsi="MS Gothic" w:eastAsia="MS Gothic" w:cs="MS Gothic"/>
        </w:rPr>
        <w:t>ていないからである</w:t>
      </w:r>
      <w:r>
        <w:rPr>
          <w:rFonts w:ascii="Times New Roman" w:hAnsi="Times New Roman" w:eastAsia="Times New Roman" w:cs="Times New Roman"/>
        </w:rPr>
        <w:t>.</w:t>
      </w:r>
      <w:r>
        <w:rPr>
          <w:rFonts w:ascii="Microsoft YaHei" w:hAnsi="Microsoft YaHei" w:eastAsia="Microsoft YaHei" w:cs="Microsoft YaHei"/>
        </w:rPr>
        <w:t>民</w:t>
      </w:r>
      <w:r>
        <w:rPr>
          <w:rFonts w:ascii="MS Gothic" w:hAnsi="MS Gothic" w:eastAsia="MS Gothic" w:cs="MS Gothic"/>
        </w:rPr>
        <w:t>は</w:t>
      </w:r>
      <w:r>
        <w:rPr>
          <w:rFonts w:ascii="Microsoft YaHei" w:hAnsi="Microsoft YaHei" w:eastAsia="Microsoft YaHei" w:cs="Microsoft YaHei"/>
        </w:rPr>
        <w:t>民</w:t>
      </w:r>
      <w:r>
        <w:rPr>
          <w:rFonts w:ascii="MS Gothic" w:hAnsi="MS Gothic" w:eastAsia="MS Gothic" w:cs="MS Gothic"/>
        </w:rPr>
        <w:t>に</w:t>
      </w:r>
      <w:r>
        <w:rPr>
          <w:rFonts w:ascii="Microsoft YaHei" w:hAnsi="Microsoft YaHei" w:eastAsia="Microsoft YaHei" w:cs="Microsoft YaHei"/>
        </w:rPr>
        <w:t>、国</w:t>
      </w:r>
      <w:r>
        <w:rPr>
          <w:rFonts w:ascii="MS Gothic" w:hAnsi="MS Gothic" w:eastAsia="MS Gothic" w:cs="MS Gothic"/>
        </w:rPr>
        <w:t>は</w:t>
      </w:r>
      <w:r>
        <w:rPr>
          <w:rFonts w:ascii="Microsoft YaHei" w:hAnsi="Microsoft YaHei" w:eastAsia="Microsoft YaHei" w:cs="Microsoft YaHei"/>
        </w:rPr>
        <w:t>国</w:t>
      </w:r>
      <w:r>
        <w:rPr>
          <w:rFonts w:ascii="MS Gothic" w:hAnsi="MS Gothic" w:eastAsia="MS Gothic" w:cs="MS Gothic"/>
        </w:rPr>
        <w:t>に</w:t>
      </w:r>
      <w:r>
        <w:rPr>
          <w:rFonts w:ascii="Microsoft YaHei" w:hAnsi="Microsoft YaHei" w:eastAsia="Microsoft YaHei" w:cs="Microsoft YaHei"/>
        </w:rPr>
        <w:t>敵対</w:t>
      </w:r>
      <w:r>
        <w:rPr>
          <w:rFonts w:ascii="MS Gothic" w:hAnsi="MS Gothic" w:eastAsia="MS Gothic" w:cs="MS Gothic"/>
        </w:rPr>
        <w:t>して</w:t>
      </w:r>
      <w:r>
        <w:rPr>
          <w:rFonts w:ascii="Microsoft YaHei" w:hAnsi="Microsoft YaHei" w:eastAsia="Microsoft YaHei" w:cs="Microsoft YaHei"/>
        </w:rPr>
        <w:t>立</w:t>
      </w:r>
      <w:r>
        <w:rPr>
          <w:rFonts w:ascii="MS Gothic" w:hAnsi="MS Gothic" w:eastAsia="MS Gothic" w:cs="MS Gothic"/>
        </w:rPr>
        <w:t>ち</w:t>
      </w:r>
      <w:r>
        <w:rPr>
          <w:rFonts w:ascii="Microsoft YaHei" w:hAnsi="Microsoft YaHei" w:eastAsia="Microsoft YaHei" w:cs="Microsoft YaHei"/>
        </w:rPr>
        <w:t>上</w:t>
      </w:r>
      <w:r>
        <w:rPr>
          <w:rFonts w:ascii="MS Gothic" w:hAnsi="MS Gothic" w:eastAsia="MS Gothic" w:cs="MS Gothic"/>
        </w:rPr>
        <w:t>がり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方々</w:t>
      </w:r>
      <w:r>
        <w:rPr>
          <w:rFonts w:ascii="MS Gothic" w:hAnsi="MS Gothic" w:eastAsia="MS Gothic" w:cs="MS Gothic"/>
        </w:rPr>
        <w:t>に</w:t>
      </w:r>
      <w:r>
        <w:rPr>
          <w:rFonts w:ascii="Microsoft YaHei" w:hAnsi="Microsoft YaHei" w:eastAsia="Microsoft YaHei" w:cs="Microsoft YaHei"/>
        </w:rPr>
        <w:t>飢饉</w:t>
      </w:r>
      <w:r>
        <w:rPr>
          <w:rFonts w:ascii="MS Gothic" w:hAnsi="MS Gothic" w:eastAsia="MS Gothic" w:cs="MS Gothic"/>
        </w:rPr>
        <w:t>と</w:t>
      </w:r>
      <w:r>
        <w:rPr>
          <w:rFonts w:ascii="Microsoft YaHei" w:hAnsi="Microsoft YaHei" w:eastAsia="Microsoft YaHei" w:cs="Microsoft YaHei"/>
        </w:rPr>
        <w:t>疫病</w:t>
      </w:r>
      <w:r>
        <w:rPr>
          <w:rFonts w:ascii="MS Gothic" w:hAnsi="MS Gothic" w:eastAsia="MS Gothic" w:cs="MS Gothic"/>
        </w:rPr>
        <w:t>と</w:t>
      </w:r>
      <w:r>
        <w:rPr>
          <w:rFonts w:ascii="Microsoft YaHei" w:hAnsi="Microsoft YaHei" w:eastAsia="Microsoft YaHei" w:cs="Microsoft YaHei"/>
        </w:rPr>
        <w:t>地震</w:t>
      </w:r>
      <w:r>
        <w:rPr>
          <w:rFonts w:ascii="MS Gothic" w:hAnsi="MS Gothic" w:eastAsia="MS Gothic" w:cs="MS Gothic"/>
        </w:rPr>
        <w:t>が</w:t>
      </w:r>
      <w:r>
        <w:rPr>
          <w:rFonts w:ascii="Microsoft YaHei" w:hAnsi="Microsoft YaHei" w:eastAsia="Microsoft YaHei" w:cs="Microsoft YaHei"/>
        </w:rPr>
        <w:t>起</w:t>
      </w:r>
      <w:r>
        <w:rPr>
          <w:rFonts w:ascii="MS Gothic" w:hAnsi="MS Gothic" w:eastAsia="MS Gothic" w:cs="MS Gothic"/>
        </w:rPr>
        <w:t>こるであろう</w:t>
      </w:r>
      <w:r>
        <w:rPr>
          <w:rFonts w:ascii="Times New Roman" w:hAnsi="Times New Roman" w:eastAsia="Times New Roman" w:cs="Times New Roman"/>
        </w:rPr>
        <w:t>.</w:t>
      </w:r>
      <w:r>
        <w:rPr>
          <w:rFonts w:ascii="MS Gothic" w:hAnsi="MS Gothic" w:eastAsia="MS Gothic" w:cs="MS Gothic"/>
        </w:rPr>
        <w:t>これらはすべて</w:t>
      </w:r>
      <w:r>
        <w:rPr>
          <w:rFonts w:ascii="Microsoft YaHei" w:hAnsi="Microsoft YaHei" w:eastAsia="Microsoft YaHei" w:cs="Microsoft YaHei"/>
        </w:rPr>
        <w:t>産</w:t>
      </w:r>
      <w:r>
        <w:rPr>
          <w:rFonts w:ascii="MS Gothic" w:hAnsi="MS Gothic" w:eastAsia="MS Gothic" w:cs="MS Gothic"/>
        </w:rPr>
        <w:t>みの</w:t>
      </w:r>
      <w:r>
        <w:rPr>
          <w:rFonts w:ascii="Microsoft YaHei" w:hAnsi="Microsoft YaHei" w:eastAsia="Microsoft YaHei" w:cs="Microsoft YaHei"/>
        </w:rPr>
        <w:t>苦</w:t>
      </w:r>
      <w:r>
        <w:rPr>
          <w:rFonts w:ascii="MS Gothic" w:hAnsi="MS Gothic" w:eastAsia="MS Gothic" w:cs="MS Gothic"/>
        </w:rPr>
        <w:t>しみの</w:t>
      </w:r>
      <w:r>
        <w:rPr>
          <w:rFonts w:ascii="Microsoft YaHei" w:hAnsi="Microsoft YaHei" w:eastAsia="Microsoft YaHei" w:cs="Microsoft YaHei"/>
        </w:rPr>
        <w:t>始</w:t>
      </w:r>
      <w:r>
        <w:rPr>
          <w:rFonts w:ascii="MS Gothic" w:hAnsi="MS Gothic" w:eastAsia="MS Gothic" w:cs="MS Gothic"/>
        </w:rPr>
        <w:t>まりである</w:t>
      </w:r>
      <w:r>
        <w:rPr>
          <w:rFonts w:ascii="Times New Roman" w:hAnsi="Times New Roman" w:eastAsia="Times New Roman" w:cs="Times New Roman"/>
        </w:rPr>
        <w:t>.</w:t>
      </w:r>
      <w:r>
        <w:rPr>
          <w:rFonts w:ascii="MS Gothic" w:hAnsi="MS Gothic" w:eastAsia="MS Gothic" w:cs="MS Gothic"/>
        </w:rPr>
        <w:t>マタイ</w:t>
      </w:r>
      <w:r>
        <w:rPr>
          <w:rFonts w:ascii="Times New Roman" w:hAnsi="Times New Roman" w:eastAsia="Times New Roman" w:cs="Times New Roman"/>
        </w:rPr>
        <w:t xml:space="preserve"> 24:6–8.</w:t>
      </w:r>
    </w:p>
    <w:p>
      <w:pPr>
        <w:pStyle w:val="ArticleBody"/>
        <w:jc w:val="left"/>
      </w:pPr>
      <w:r>
        <w:rPr>
          <w:rFonts w:ascii="Times New Roman" w:hAnsi="Times New Roman" w:eastAsia="Times New Roman" w:cs="Times New Roman"/>
        </w:rPr>
        <w:t>Sa panahón ng pagtatatak sa isá’t daán at apatnapu’t apat na libo, ang dalawang uri ng bayan ng Diyos ay naihahayag ayon sa kanilang kakayahang makakita at makarinig.</w:t>
      </w:r>
    </w:p>
    <w:p>
      <w:pPr>
        <w:pStyle w:val="ArticleScripture"/>
        <w:jc w:val="left"/>
      </w:pPr>
      <w:r>
        <w:rPr>
          <w:rFonts w:ascii="Times New Roman" w:hAnsi="Times New Roman" w:eastAsia="Times New Roman" w:cs="Times New Roman"/>
        </w:rPr>
        <w:t>C’est pourquoi je leur parle en paraboles, parce qu’en voyant ils ne voient point, et qu’en entendant ils n’entendent ni ne comprennent. Et pour eux s’accomplit la prophétie d’Ésaïe, qui dit : Vous entendrez de vos oreilles, et vous ne comprendrez point ; vous regarderez de vos yeux, et vous n’apercevrez point. Car le cœur de ce peuple est devenu insensible, ils ont endurci leurs oreilles, et ils ont fermé leurs yeux ; de peur qu’ils ne voient de leurs yeux, qu’ils n’entendent de leurs oreilles, qu’ils ne comprennent de leur cœur, qu’ils ne se convertissent, et que je ne les guérisse. Mais heureux sont vos yeux, parce qu’ils voient ; et vos oreilles, parce qu’elles entendent. Matthieu 13:13–16.</w:t>
      </w:r>
    </w:p>
    <w:p>
      <w:pPr>
        <w:pStyle w:val="ArticleBody"/>
        <w:jc w:val="left"/>
      </w:pPr>
      <w:r>
        <w:rPr>
          <w:rFonts w:ascii="Times New Roman" w:hAnsi="Times New Roman" w:eastAsia="Times New Roman" w:cs="Times New Roman"/>
        </w:rPr>
        <w:t>Mun akkas golla yantike, ka fuɗɗii 11 Settembar 2001, Yesu wi’i: “on nanay habaruiji konuuji e humpitooji konuuji.” E deftere Wahayu, Yohanna ɗon woni ko waɗi ndenɓe nanɓe daande Almasiihu.</w:t>
      </w:r>
    </w:p>
    <w:p>
      <w:pPr>
        <w:pStyle w:val="ArticleScripture"/>
        <w:jc w:val="left"/>
      </w:pPr>
      <w:r>
        <w:rPr>
          <w:rFonts w:ascii="Times New Roman" w:hAnsi="Times New Roman" w:eastAsia="Times New Roman" w:cs="Times New Roman"/>
        </w:rPr>
        <w:t>Mo wà nínú Ẹ̀mí ní ọjọ́ Oluwa, mo sì gbọ́ lẹ́yìn mi ohùn ńlá kan, bíi ti ìpè. Ìfihàn 1:10.</w:t>
      </w:r>
    </w:p>
    <w:p>
      <w:pPr>
        <w:pStyle w:val="ArticleBody"/>
        <w:jc w:val="left"/>
      </w:pPr>
      <w:r>
        <w:rPr>
          <w:rFonts w:ascii="Times New Roman" w:hAnsi="Times New Roman" w:eastAsia="Times New Roman" w:cs="Times New Roman"/>
        </w:rPr>
        <w:t>هغه «غږ» چې ده واورېد، «لکه د شپیلي» و، او شپیله د جګړې نښه ده، او ده غږ د خپل شا له خوا واورېد. بيا هغه راوګرځېد څو غږ وويني.</w:t>
      </w:r>
    </w:p>
    <w:p>
      <w:pPr>
        <w:pStyle w:val="ArticleScripture"/>
        <w:jc w:val="left"/>
      </w:pPr>
      <w:r>
        <w:rPr>
          <w:rFonts w:ascii="Times New Roman" w:hAnsi="Times New Roman" w:eastAsia="Times New Roman" w:cs="Times New Roman"/>
        </w:rPr>
        <w:t>Xalayaa fi sagalee na dubbate sana arguuf garagale. Yeroon garagales, qawwee ibsaa warqee torba nan arge; qawwee ibsaa torban sana gidduuttis nama akka Ilma namaatti fakkaatu tokko, uffata miilla ga’u uffatee, hidhata warqee qoma isaa marsee hidhatee nan arge. Mataan isaa fi rifeensi isaa akka suufii, akka qorraa adiiitti adii turan; iji isaas akka abidda boba’aa ture; miilli isaatis akka sibiila diimaa qulqulluu, akka iddoo boba’utti gubatetti fakkaata ture; sagaleen isaas akka sagalee bishaan baay’ee ture. Harka isaa mirga keessatti urjii torba qaba ture; afaan isaa keessaa billaa qaramaa lamaan qabu tokko ba’a ture; fuulli isaas akka aduun jabina isheetiin iftutti ifa ture. Yeroon isa arge immoo, akka nama du’eetti miilla isaa irratti nan kufe. Innis harka isaa mirga na irra kaa’ee, akkana naan jedhe, Hin sodaatin; ani isa jalqabaa fi isa dhumaa dha. Mul’ata Yohaannis 1:12–17.</w:t>
      </w:r>
    </w:p>
    <w:p>
      <w:pPr>
        <w:pStyle w:val="ArticleBody"/>
        <w:jc w:val="left"/>
      </w:pPr>
      <w:r>
        <w:rPr>
          <w:rFonts w:ascii="Times New Roman" w:hAnsi="Times New Roman" w:eastAsia="Times New Roman" w:cs="Times New Roman"/>
        </w:rPr>
        <w:t>Maono ya Kristo ambayo Yohana aliona alipogeuka ili kuiona ile sauti, yalikuwa ni maono yale yale aliyoyaona Danieli katika sura ya kumi, maono yale yale aliyoyaona Isaya katika sura ya sita, na maono yale yale ambayo Paulo aliona, alipoona historia ya zile ngurumo saba.</w:t>
      </w:r>
    </w:p>
    <w:p>
      <w:pPr>
        <w:pStyle w:val="ArticleScripture"/>
        <w:jc w:val="left"/>
      </w:pPr>
      <w:r>
        <w:rPr>
          <w:rFonts w:ascii="Times New Roman" w:hAnsi="Times New Roman" w:eastAsia="Times New Roman" w:cs="Times New Roman"/>
        </w:rPr>
        <w:t>«Χαρακτήρας ταπεινοφροσύνης είναι αχώριστος από την αγιότητα της καρδιάς. Όσο πλησιέστερα η ψυχή προσεγγίζει τον Θεό, τόσο πληρέστερα ταπεινώνεται και υποτάσσεται. Όταν ο Ιώβ άκουσε τη φωνή του Κυρίου μέσα από τον ανεμοστρόβιλο, αναφώνησε: “Βδελύσσομαι τον εαυτόν μου, και μετανοώ εν χώματι και σποδώ.” Όταν ο Ησαΐας είδε τη δόξα του Κυρίου και άκουσε τα χερουβείμ να κράζουν: “Άγιος, άγιος, άγιος είναι ο Κύριος των δυνάμεων”, τότε ανεβόησε: “Ουαί εις εμέ, διότι εχάθην!” Ο Δανιήλ, όταν τον επισκέφθηκε ο άγιος αγγελιαφόρος, λέγει: “Η ευπρέπειά μου μετεστράφη εν εμοί εις φθοράν.” Ο Παύλος, αφού αρπάχθηκε έως του τρίτου Ουρανού και άκουσε άρρητα ρήματα, τα οποία δεν επιτρέπεται εις άνθρωπον να λαλήσει, μίλησε για τον εαυτό του ως “ελαχιστότερον πάντων των αγίων.” Ήταν ο αγαπημένος Ιωάννης, εκείνος που ανέπεσε επί το στήθος του Ιησού και είδε τη δόξα Του, που έπεσε ενώπιον των αγγέλων ως νεκρός. Όσο περισσότερο και αδιαλείπτως ατενίζουμε τον Σωτήρα μας, τόσο λιγότερο θα διακρίνουμε στον εαυτό μας οτιδήποτε άξιο επιδοκιμασίας.» Signs of the Times, 7 Απριλίου, 1887.</w:t>
      </w:r>
    </w:p>
    <w:p>
      <w:pPr>
        <w:pStyle w:val="ArticleBody"/>
        <w:jc w:val="left"/>
      </w:pPr>
      <w:r>
        <w:rPr>
          <w:rFonts w:ascii="Times New Roman" w:hAnsi="Times New Roman" w:eastAsia="Times New Roman" w:cs="Times New Roman"/>
        </w:rPr>
        <w:t>Гавриил, изъясняя Даниилу видение, изложил пророческие события одиннадцатой главы. Эти события представляют собой описание войн, и в изображении этих войн причинное видение женского «mareh», выраженное как «marah», произвело в Данииле изменение в образ Христа. Когда Христос говорит, что вы услышите о войнах и о военных слухах, Он указывает на войны, представленные в одиннадцатой главе Даниила. Далее Он показывает, что, дабы увидеть видение, которое изменяет созерцающего в Его образ, надлежит обернуться, ибо голос находится позади тебя. Войны, представленные в Данииле 11, суть описания войн, происходивших в прошлой истории. Через слышание об этих войнах прошлого человек получает наставление относительно истории, совершающейся ныне, но лишь в том случае, если у человека есть глаза, чтобы видеть, и уши, чтобы слышать.</w:t>
      </w:r>
    </w:p>
    <w:p>
      <w:pPr>
        <w:pStyle w:val="ArticleBody"/>
        <w:jc w:val="left"/>
      </w:pPr>
      <w:r>
        <w:rPr>
          <w:rFonts w:ascii="Times New Roman" w:hAnsi="Times New Roman" w:eastAsia="Times New Roman" w:cs="Times New Roman"/>
        </w:rPr>
        <w:t>Lorsque Ézéchiel rapporta qu’il viendrait un moment où la vision ne serait plus différée, c’était en rapport avec sa vision du sanctuaire céleste où, entre autres choses, Ézéchiel vit « des roues au milieu de roues », que Sœur White identifie comme l’interaction complexe des événements humains.</w:t>
      </w:r>
    </w:p>
    <w:p>
      <w:pPr>
        <w:pStyle w:val="ArticleScripture"/>
        <w:jc w:val="left"/>
      </w:pPr>
      <w:r>
        <w:rPr>
          <w:rFonts w:ascii="Leelawadee UI" w:hAnsi="Leelawadee UI" w:eastAsia="Leelawadee UI" w:cs="Leelawadee UI"/>
        </w:rPr>
        <w:t>នៅលើច្រាំងទន្លេខេបារ</w:t>
      </w:r>
      <w:r>
        <w:rPr>
          <w:rFonts w:ascii="Times New Roman" w:hAnsi="Times New Roman" w:eastAsia="Times New Roman" w:cs="Times New Roman"/>
        </w:rPr>
        <w:t xml:space="preserve"> </w:t>
      </w:r>
      <w:r>
        <w:rPr>
          <w:rFonts w:ascii="Leelawadee UI" w:hAnsi="Leelawadee UI" w:eastAsia="Leelawadee UI" w:cs="Leelawadee UI"/>
        </w:rPr>
        <w:t>អេសេគាលបានឃើញខ្យល់កួចមួយ</w:t>
      </w:r>
      <w:r>
        <w:rPr>
          <w:rFonts w:ascii="Times New Roman" w:hAnsi="Times New Roman" w:eastAsia="Times New Roman" w:cs="Times New Roman"/>
        </w:rPr>
        <w:t xml:space="preserve"> </w:t>
      </w:r>
      <w:r>
        <w:rPr>
          <w:rFonts w:ascii="Leelawadee UI" w:hAnsi="Leelawadee UI" w:eastAsia="Leelawadee UI" w:cs="Leelawadee UI"/>
        </w:rPr>
        <w:t>ហាក់ដូចជាមកពីទិសខាងជើង</w:t>
      </w:r>
      <w:r>
        <w:rPr>
          <w:rFonts w:ascii="Times New Roman" w:hAnsi="Times New Roman" w:eastAsia="Times New Roman" w:cs="Times New Roman"/>
        </w:rPr>
        <w:t xml:space="preserve"> «</w:t>
      </w:r>
      <w:r>
        <w:rPr>
          <w:rFonts w:ascii="Leelawadee UI" w:hAnsi="Leelawadee UI" w:eastAsia="Leelawadee UI" w:cs="Leelawadee UI"/>
        </w:rPr>
        <w:t>ពពកដ៏ធំមួយ</w:t>
      </w:r>
      <w:r>
        <w:rPr>
          <w:rFonts w:ascii="Times New Roman" w:hAnsi="Times New Roman" w:eastAsia="Times New Roman" w:cs="Times New Roman"/>
        </w:rPr>
        <w:t xml:space="preserve"> </w:t>
      </w:r>
      <w:r>
        <w:rPr>
          <w:rFonts w:ascii="Leelawadee UI" w:hAnsi="Leelawadee UI" w:eastAsia="Leelawadee UI" w:cs="Leelawadee UI"/>
        </w:rPr>
        <w:t>និងភ្លើងដែលវិលព័ទ្ធខ្លួនវា</w:t>
      </w:r>
      <w:r>
        <w:rPr>
          <w:rFonts w:ascii="Times New Roman" w:hAnsi="Times New Roman" w:eastAsia="Times New Roman" w:cs="Times New Roman"/>
        </w:rPr>
        <w:t xml:space="preserve"> </w:t>
      </w:r>
      <w:r>
        <w:rPr>
          <w:rFonts w:ascii="Leelawadee UI" w:hAnsi="Leelawadee UI" w:eastAsia="Leelawadee UI" w:cs="Leelawadee UI"/>
        </w:rPr>
        <w:t>ហើយមានពន្លឺភ្លឺចែងចាំងនៅជុំវិញវា</w:t>
      </w:r>
      <w:r>
        <w:rPr>
          <w:rFonts w:ascii="Times New Roman" w:hAnsi="Times New Roman" w:eastAsia="Times New Roman" w:cs="Times New Roman"/>
        </w:rPr>
        <w:t xml:space="preserve"> </w:t>
      </w:r>
      <w:r>
        <w:rPr>
          <w:rFonts w:ascii="Leelawadee UI" w:hAnsi="Leelawadee UI" w:eastAsia="Leelawadee UI" w:cs="Leelawadee UI"/>
        </w:rPr>
        <w:t>ហើយចេញពីកណ្ដាលនោះមានដូចជាពណ៌អំបិលលឿង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កង់ជាច្រើន</w:t>
      </w:r>
      <w:r>
        <w:rPr>
          <w:rFonts w:ascii="Times New Roman" w:hAnsi="Times New Roman" w:eastAsia="Times New Roman" w:cs="Times New Roman"/>
        </w:rPr>
        <w:t xml:space="preserve"> </w:t>
      </w:r>
      <w:r>
        <w:rPr>
          <w:rFonts w:ascii="Leelawadee UI" w:hAnsi="Leelawadee UI" w:eastAsia="Leelawadee UI" w:cs="Leelawadee UI"/>
        </w:rPr>
        <w:t>ដែលកាត់ប្រសព្វគ្នា</w:t>
      </w:r>
      <w:r>
        <w:rPr>
          <w:rFonts w:ascii="Times New Roman" w:hAnsi="Times New Roman" w:eastAsia="Times New Roman" w:cs="Times New Roman"/>
        </w:rPr>
        <w:t xml:space="preserve"> </w:t>
      </w:r>
      <w:r>
        <w:rPr>
          <w:rFonts w:ascii="Leelawadee UI" w:hAnsi="Leelawadee UI" w:eastAsia="Leelawadee UI" w:cs="Leelawadee UI"/>
        </w:rPr>
        <w:t>ទៅវិញទៅមក</w:t>
      </w:r>
      <w:r>
        <w:rPr>
          <w:rFonts w:ascii="Times New Roman" w:hAnsi="Times New Roman" w:eastAsia="Times New Roman" w:cs="Times New Roman"/>
        </w:rPr>
        <w:t xml:space="preserve"> </w:t>
      </w:r>
      <w:r>
        <w:rPr>
          <w:rFonts w:ascii="Leelawadee UI" w:hAnsi="Leelawadee UI" w:eastAsia="Leelawadee UI" w:cs="Leelawadee UI"/>
        </w:rPr>
        <w:t>ត្រូវបានបញ្ជាដោយសត្វមានជីវិតបួនអង្គ។</w:t>
      </w:r>
      <w:r>
        <w:rPr>
          <w:rFonts w:ascii="Times New Roman" w:hAnsi="Times New Roman" w:eastAsia="Times New Roman" w:cs="Times New Roman"/>
        </w:rPr>
        <w:t xml:space="preserve"> </w:t>
      </w:r>
      <w:r>
        <w:rPr>
          <w:rFonts w:ascii="Leelawadee UI" w:hAnsi="Leelawadee UI" w:eastAsia="Leelawadee UI" w:cs="Leelawadee UI"/>
        </w:rPr>
        <w:t>ខ្ពស់លើអ្វីទាំងនេះទាំងអស់</w:t>
      </w:r>
      <w:r>
        <w:rPr>
          <w:rFonts w:ascii="Times New Roman" w:hAnsi="Times New Roman" w:eastAsia="Times New Roman" w:cs="Times New Roman"/>
        </w:rPr>
        <w:t xml:space="preserve"> «</w:t>
      </w:r>
      <w:r>
        <w:rPr>
          <w:rFonts w:ascii="Leelawadee UI" w:hAnsi="Leelawadee UI" w:eastAsia="Leelawadee UI" w:cs="Leelawadee UI"/>
        </w:rPr>
        <w:t>មានរូបរាងនៃបល្ល័ង្កមួយ</w:t>
      </w:r>
      <w:r>
        <w:rPr>
          <w:rFonts w:ascii="Times New Roman" w:hAnsi="Times New Roman" w:eastAsia="Times New Roman" w:cs="Times New Roman"/>
        </w:rPr>
        <w:t xml:space="preserve"> </w:t>
      </w:r>
      <w:r>
        <w:rPr>
          <w:rFonts w:ascii="Leelawadee UI" w:hAnsi="Leelawadee UI" w:eastAsia="Leelawadee UI" w:cs="Leelawadee UI"/>
        </w:rPr>
        <w:t>ដូចជារូបភាពនៃត្បូងកណ្ដៀង</w:t>
      </w:r>
      <w:r>
        <w:rPr>
          <w:rFonts w:ascii="Times New Roman" w:hAnsi="Times New Roman" w:eastAsia="Times New Roman" w:cs="Times New Roman"/>
        </w:rPr>
        <w:t xml:space="preserve"> </w:t>
      </w:r>
      <w:r>
        <w:rPr>
          <w:rFonts w:ascii="Leelawadee UI" w:hAnsi="Leelawadee UI" w:eastAsia="Leelawadee UI" w:cs="Leelawadee UI"/>
        </w:rPr>
        <w:t>ហើយលើរូបរាងនៃបល្ល័ង្កនោះ</w:t>
      </w:r>
      <w:r>
        <w:rPr>
          <w:rFonts w:ascii="Times New Roman" w:hAnsi="Times New Roman" w:eastAsia="Times New Roman" w:cs="Times New Roman"/>
        </w:rPr>
        <w:t xml:space="preserve"> </w:t>
      </w:r>
      <w:r>
        <w:rPr>
          <w:rFonts w:ascii="Leelawadee UI" w:hAnsi="Leelawadee UI" w:eastAsia="Leelawadee UI" w:cs="Leelawadee UI"/>
        </w:rPr>
        <w:t>មានរូបរាងមួយ</w:t>
      </w:r>
      <w:r>
        <w:rPr>
          <w:rFonts w:ascii="Times New Roman" w:hAnsi="Times New Roman" w:eastAsia="Times New Roman" w:cs="Times New Roman"/>
        </w:rPr>
        <w:t xml:space="preserve"> </w:t>
      </w:r>
      <w:r>
        <w:rPr>
          <w:rFonts w:ascii="Leelawadee UI" w:hAnsi="Leelawadee UI" w:eastAsia="Leelawadee UI" w:cs="Leelawadee UI"/>
        </w:rPr>
        <w:t>ដូចជារូបភាពនៃមនុស្សម្នាក់នៅខាងលើវា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ហើយនៅក្នុងពួកខេរូប៊ីម</w:t>
      </w:r>
      <w:r>
        <w:rPr>
          <w:rFonts w:ascii="Times New Roman" w:hAnsi="Times New Roman" w:eastAsia="Times New Roman" w:cs="Times New Roman"/>
        </w:rPr>
        <w:t xml:space="preserve"> </w:t>
      </w:r>
      <w:r>
        <w:rPr>
          <w:rFonts w:ascii="Leelawadee UI" w:hAnsi="Leelawadee UI" w:eastAsia="Leelawadee UI" w:cs="Leelawadee UI"/>
        </w:rPr>
        <w:t>មានទម្រង់នៃដៃមនុស្សនៅក្រោមស្លាបរបស់ពួកគេ</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1:4, 26; 10:8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កង់ទាំងនោះមានការរៀបចំដ៏ស្មុគស្មាញយ៉ាងខ្លាំង</w:t>
      </w:r>
      <w:r>
        <w:rPr>
          <w:rFonts w:ascii="Times New Roman" w:hAnsi="Times New Roman" w:eastAsia="Times New Roman" w:cs="Times New Roman"/>
        </w:rPr>
        <w:t xml:space="preserve"> </w:t>
      </w:r>
      <w:r>
        <w:rPr>
          <w:rFonts w:ascii="Leelawadee UI" w:hAnsi="Leelawadee UI" w:eastAsia="Leelawadee UI" w:cs="Leelawadee UI"/>
        </w:rPr>
        <w:t>ដល់ថ្នាក់ថា</w:t>
      </w:r>
      <w:r>
        <w:rPr>
          <w:rFonts w:ascii="Times New Roman" w:hAnsi="Times New Roman" w:eastAsia="Times New Roman" w:cs="Times New Roman"/>
        </w:rPr>
        <w:t xml:space="preserve"> </w:t>
      </w:r>
      <w:r>
        <w:rPr>
          <w:rFonts w:ascii="Leelawadee UI" w:hAnsi="Leelawadee UI" w:eastAsia="Leelawadee UI" w:cs="Leelawadee UI"/>
        </w:rPr>
        <w:t>នៅពេលមើលដំបូង</w:t>
      </w:r>
      <w:r>
        <w:rPr>
          <w:rFonts w:ascii="Times New Roman" w:hAnsi="Times New Roman" w:eastAsia="Times New Roman" w:cs="Times New Roman"/>
        </w:rPr>
        <w:t xml:space="preserve"> </w:t>
      </w:r>
      <w:r>
        <w:rPr>
          <w:rFonts w:ascii="Leelawadee UI" w:hAnsi="Leelawadee UI" w:eastAsia="Leelawadee UI" w:cs="Leelawadee UI"/>
        </w:rPr>
        <w:t>វាហាក់ដូចជាស្ថិតក្នុងភាពច្របូកច្របល់</w:t>
      </w:r>
      <w:r>
        <w:rPr>
          <w:rFonts w:ascii="Times New Roman" w:hAnsi="Times New Roman" w:eastAsia="Times New Roman" w:cs="Times New Roman"/>
        </w:rPr>
        <w:t xml:space="preserve">; </w:t>
      </w:r>
      <w:r>
        <w:rPr>
          <w:rFonts w:ascii="Leelawadee UI" w:hAnsi="Leelawadee UI" w:eastAsia="Leelawadee UI" w:cs="Leelawadee UI"/>
        </w:rPr>
        <w:t>ប៉ុន្តែវាបានផ្លាស់ទីដោយសុខដុមពេញលេញ។</w:t>
      </w:r>
      <w:r>
        <w:rPr>
          <w:rFonts w:ascii="Times New Roman" w:hAnsi="Times New Roman" w:eastAsia="Times New Roman" w:cs="Times New Roman"/>
        </w:rPr>
        <w:t xml:space="preserve"> </w:t>
      </w:r>
      <w:r>
        <w:rPr>
          <w:rFonts w:ascii="Leelawadee UI" w:hAnsi="Leelawadee UI" w:eastAsia="Leelawadee UI" w:cs="Leelawadee UI"/>
        </w:rPr>
        <w:t>សត្វស្ថានសួគ៌ទាំងឡាយ</w:t>
      </w:r>
      <w:r>
        <w:rPr>
          <w:rFonts w:ascii="Times New Roman" w:hAnsi="Times New Roman" w:eastAsia="Times New Roman" w:cs="Times New Roman"/>
        </w:rPr>
        <w:t xml:space="preserve"> </w:t>
      </w:r>
      <w:r>
        <w:rPr>
          <w:rFonts w:ascii="Leelawadee UI" w:hAnsi="Leelawadee UI" w:eastAsia="Leelawadee UI" w:cs="Leelawadee UI"/>
        </w:rPr>
        <w:t>ដែលត្រូវបានទ្រទ្រង់</w:t>
      </w:r>
      <w:r>
        <w:rPr>
          <w:rFonts w:ascii="Times New Roman" w:hAnsi="Times New Roman" w:eastAsia="Times New Roman" w:cs="Times New Roman"/>
        </w:rPr>
        <w:t xml:space="preserve"> </w:t>
      </w:r>
      <w:r>
        <w:rPr>
          <w:rFonts w:ascii="Leelawadee UI" w:hAnsi="Leelawadee UI" w:eastAsia="Leelawadee UI" w:cs="Leelawadee UI"/>
        </w:rPr>
        <w:t>និងដឹកនាំដោយព្រះហស្តក្រោមស្លាបរបស់ពួកខេរូប៊ីម</w:t>
      </w:r>
      <w:r>
        <w:rPr>
          <w:rFonts w:ascii="Times New Roman" w:hAnsi="Times New Roman" w:eastAsia="Times New Roman" w:cs="Times New Roman"/>
        </w:rPr>
        <w:t xml:space="preserve"> </w:t>
      </w:r>
      <w:r>
        <w:rPr>
          <w:rFonts w:ascii="Leelawadee UI" w:hAnsi="Leelawadee UI" w:eastAsia="Leelawadee UI" w:cs="Leelawadee UI"/>
        </w:rPr>
        <w:t>កំពុងជំរុញកង់ទាំងនោះ</w:t>
      </w:r>
      <w:r>
        <w:rPr>
          <w:rFonts w:ascii="Times New Roman" w:hAnsi="Times New Roman" w:eastAsia="Times New Roman" w:cs="Times New Roman"/>
        </w:rPr>
        <w:t xml:space="preserve">; </w:t>
      </w:r>
      <w:r>
        <w:rPr>
          <w:rFonts w:ascii="Leelawadee UI" w:hAnsi="Leelawadee UI" w:eastAsia="Leelawadee UI" w:cs="Leelawadee UI"/>
        </w:rPr>
        <w:t>ខាងលើពួកវា</w:t>
      </w:r>
      <w:r>
        <w:rPr>
          <w:rFonts w:ascii="Times New Roman" w:hAnsi="Times New Roman" w:eastAsia="Times New Roman" w:cs="Times New Roman"/>
        </w:rPr>
        <w:t xml:space="preserve"> </w:t>
      </w:r>
      <w:r>
        <w:rPr>
          <w:rFonts w:ascii="Leelawadee UI" w:hAnsi="Leelawadee UI" w:eastAsia="Leelawadee UI" w:cs="Leelawadee UI"/>
        </w:rPr>
        <w:t>លើបល្ល័ង្កត្បូងកណ្ដៀង</w:t>
      </w:r>
      <w:r>
        <w:rPr>
          <w:rFonts w:ascii="Times New Roman" w:hAnsi="Times New Roman" w:eastAsia="Times New Roman" w:cs="Times New Roman"/>
        </w:rPr>
        <w:t xml:space="preserve"> </w:t>
      </w:r>
      <w:r>
        <w:rPr>
          <w:rFonts w:ascii="Leelawadee UI" w:hAnsi="Leelawadee UI" w:eastAsia="Leelawadee UI" w:cs="Leelawadee UI"/>
        </w:rPr>
        <w:t>គឺជាព្រះអង្គដ៏អស់កល្បជានិច្ច</w:t>
      </w:r>
      <w:r>
        <w:rPr>
          <w:rFonts w:ascii="Times New Roman" w:hAnsi="Times New Roman" w:eastAsia="Times New Roman" w:cs="Times New Roman"/>
        </w:rPr>
        <w:t xml:space="preserve">; </w:t>
      </w:r>
      <w:r>
        <w:rPr>
          <w:rFonts w:ascii="Leelawadee UI" w:hAnsi="Leelawadee UI" w:eastAsia="Leelawadee UI" w:cs="Leelawadee UI"/>
        </w:rPr>
        <w:t>ហើយនៅជុំវិញបល្ល័ង្កនោះមានឥន្ទធនូ</w:t>
      </w:r>
      <w:r>
        <w:rPr>
          <w:rFonts w:ascii="Times New Roman" w:hAnsi="Times New Roman" w:eastAsia="Times New Roman" w:cs="Times New Roman"/>
        </w:rPr>
        <w:t xml:space="preserve"> </w:t>
      </w:r>
      <w:r>
        <w:rPr>
          <w:rFonts w:ascii="Leelawadee UI" w:hAnsi="Leelawadee UI" w:eastAsia="Leelawadee UI" w:cs="Leelawadee UI"/>
        </w:rPr>
        <w:t>ជានិមិត្តរូបនៃព្រះមហាករុណាដ៏ទេវភាព។</w:t>
      </w:r>
    </w:p>
    <w:p>
      <w:pPr>
        <w:pStyle w:val="ArticleScripture"/>
        <w:jc w:val="left"/>
      </w:pPr>
      <w:r>
        <w:rPr>
          <w:rFonts w:ascii="Times New Roman" w:hAnsi="Times New Roman" w:eastAsia="Times New Roman" w:cs="Times New Roman"/>
        </w:rPr>
        <w:t>“</w:t>
      </w:r>
      <w:r>
        <w:rPr>
          <w:rFonts w:ascii="Nirmala UI" w:hAnsi="Nirmala UI" w:eastAsia="Nirmala UI" w:cs="Nirmala UI"/>
        </w:rPr>
        <w:t>যেরূপ</w:t>
      </w:r>
      <w:r>
        <w:rPr>
          <w:rFonts w:ascii="Times New Roman" w:hAnsi="Times New Roman" w:eastAsia="Times New Roman" w:cs="Times New Roman"/>
        </w:rPr>
        <w:t xml:space="preserve"> </w:t>
      </w:r>
      <w:r>
        <w:rPr>
          <w:rFonts w:ascii="Nirmala UI" w:hAnsi="Nirmala UI" w:eastAsia="Nirmala UI" w:cs="Nirmala UI"/>
        </w:rPr>
        <w:t>চাকার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জটিল</w:t>
      </w:r>
      <w:r>
        <w:rPr>
          <w:rFonts w:ascii="Times New Roman" w:hAnsi="Times New Roman" w:eastAsia="Times New Roman" w:cs="Times New Roman"/>
        </w:rPr>
        <w:t xml:space="preserve"> </w:t>
      </w:r>
      <w:r>
        <w:rPr>
          <w:rFonts w:ascii="Nirmala UI" w:hAnsi="Nirmala UI" w:eastAsia="Nirmala UI" w:cs="Nirmala UI"/>
        </w:rPr>
        <w:t>বিষয়সমূহ</w:t>
      </w:r>
      <w:r>
        <w:rPr>
          <w:rFonts w:ascii="Times New Roman" w:hAnsi="Times New Roman" w:eastAsia="Times New Roman" w:cs="Times New Roman"/>
        </w:rPr>
        <w:t xml:space="preserve"> </w:t>
      </w:r>
      <w:r>
        <w:rPr>
          <w:rFonts w:ascii="Nirmala UI" w:hAnsi="Nirmala UI" w:eastAsia="Nirmala UI" w:cs="Nirmala UI"/>
        </w:rPr>
        <w:t>করূবগণের</w:t>
      </w:r>
      <w:r>
        <w:rPr>
          <w:rFonts w:ascii="Times New Roman" w:hAnsi="Times New Roman" w:eastAsia="Times New Roman" w:cs="Times New Roman"/>
        </w:rPr>
        <w:t xml:space="preserve"> </w:t>
      </w:r>
      <w:r>
        <w:rPr>
          <w:rFonts w:ascii="Nirmala UI" w:hAnsi="Nirmala UI" w:eastAsia="Nirmala UI" w:cs="Nirmala UI"/>
        </w:rPr>
        <w:t>পক্ষতলের</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হস্তের</w:t>
      </w:r>
      <w:r>
        <w:rPr>
          <w:rFonts w:ascii="Times New Roman" w:hAnsi="Times New Roman" w:eastAsia="Times New Roman" w:cs="Times New Roman"/>
        </w:rPr>
        <w:t xml:space="preserve"> </w:t>
      </w:r>
      <w:r>
        <w:rPr>
          <w:rFonts w:ascii="Nirmala UI" w:hAnsi="Nirmala UI" w:eastAsia="Nirmala UI" w:cs="Nirmala UI"/>
        </w:rPr>
        <w:t>নির্দেশনায়</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হচ্ছিল</w:t>
      </w:r>
      <w:r>
        <w:rPr>
          <w:rFonts w:ascii="Times New Roman" w:hAnsi="Times New Roman" w:eastAsia="Times New Roman" w:cs="Times New Roman"/>
        </w:rPr>
        <w:t xml:space="preserve">, </w:t>
      </w:r>
      <w:r>
        <w:rPr>
          <w:rFonts w:ascii="Nirmala UI" w:hAnsi="Nirmala UI" w:eastAsia="Nirmala UI" w:cs="Nirmala UI"/>
        </w:rPr>
        <w:t>সেইরূপ</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ঘটনাবলীর</w:t>
      </w:r>
      <w:r>
        <w:rPr>
          <w:rFonts w:ascii="Times New Roman" w:hAnsi="Times New Roman" w:eastAsia="Times New Roman" w:cs="Times New Roman"/>
        </w:rPr>
        <w:t xml:space="preserve"> </w:t>
      </w:r>
      <w:r>
        <w:rPr>
          <w:rFonts w:ascii="Nirmala UI" w:hAnsi="Nirmala UI" w:eastAsia="Nirmala UI" w:cs="Nirmala UI"/>
        </w:rPr>
        <w:t>জটিল</w:t>
      </w:r>
      <w:r>
        <w:rPr>
          <w:rFonts w:ascii="Times New Roman" w:hAnsi="Times New Roman" w:eastAsia="Times New Roman" w:cs="Times New Roman"/>
        </w:rPr>
        <w:t xml:space="preserve"> </w:t>
      </w:r>
      <w:r>
        <w:rPr>
          <w:rFonts w:ascii="Nirmala UI" w:hAnsi="Nirmala UI" w:eastAsia="Nirmala UI" w:cs="Nirmala UI"/>
        </w:rPr>
        <w:t>গতিপ্রবাহও</w:t>
      </w:r>
      <w:r>
        <w:rPr>
          <w:rFonts w:ascii="Times New Roman" w:hAnsi="Times New Roman" w:eastAsia="Times New Roman" w:cs="Times New Roman"/>
        </w:rPr>
        <w:t xml:space="preserve"> </w:t>
      </w:r>
      <w:r>
        <w:rPr>
          <w:rFonts w:ascii="Nirmala UI" w:hAnsi="Nirmala UI" w:eastAsia="Nirmala UI" w:cs="Nirmala UI"/>
        </w:rPr>
        <w:t>ঐশ্বরিক</w:t>
      </w:r>
      <w:r>
        <w:rPr>
          <w:rFonts w:ascii="Times New Roman" w:hAnsi="Times New Roman" w:eastAsia="Times New Roman" w:cs="Times New Roman"/>
        </w:rPr>
        <w:t xml:space="preserve"> </w:t>
      </w:r>
      <w:r>
        <w:rPr>
          <w:rFonts w:ascii="Nirmala UI" w:hAnsi="Nirmala UI" w:eastAsia="Nirmala UI" w:cs="Nirmala UI"/>
        </w:rPr>
        <w:t>নিয়ন্ত্রণাধীন।</w:t>
      </w:r>
      <w:r>
        <w:rPr>
          <w:rFonts w:ascii="Times New Roman" w:hAnsi="Times New Roman" w:eastAsia="Times New Roman" w:cs="Times New Roman"/>
        </w:rPr>
        <w:t xml:space="preserve"> </w:t>
      </w:r>
      <w:r>
        <w:rPr>
          <w:rFonts w:ascii="Nirmala UI" w:hAnsi="Nirmala UI" w:eastAsia="Nirmala UI" w:cs="Nirmala UI"/>
        </w:rPr>
        <w:t>জাতিসমূহের</w:t>
      </w:r>
      <w:r>
        <w:rPr>
          <w:rFonts w:ascii="Times New Roman" w:hAnsi="Times New Roman" w:eastAsia="Times New Roman" w:cs="Times New Roman"/>
        </w:rPr>
        <w:t xml:space="preserve"> </w:t>
      </w:r>
      <w:r>
        <w:rPr>
          <w:rFonts w:ascii="Nirmala UI" w:hAnsi="Nirmala UI" w:eastAsia="Nirmala UI" w:cs="Nirmala UI"/>
        </w:rPr>
        <w:t>বিরোধ</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আলোড়নের</w:t>
      </w:r>
      <w:r>
        <w:rPr>
          <w:rFonts w:ascii="Times New Roman" w:hAnsi="Times New Roman" w:eastAsia="Times New Roman" w:cs="Times New Roman"/>
        </w:rPr>
        <w:t xml:space="preserve"> </w:t>
      </w:r>
      <w:r>
        <w:rPr>
          <w:rFonts w:ascii="Nirmala UI" w:hAnsi="Nirmala UI" w:eastAsia="Nirmala UI" w:cs="Nirmala UI"/>
        </w:rPr>
        <w:t>মধ্যেও</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করূবগণের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আসীন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এখনও</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কার্যাবলি</w:t>
      </w:r>
      <w:r>
        <w:rPr>
          <w:rFonts w:ascii="Times New Roman" w:hAnsi="Times New Roman" w:eastAsia="Times New Roman" w:cs="Times New Roman"/>
        </w:rPr>
        <w:t xml:space="preserve"> </w:t>
      </w:r>
      <w:r>
        <w:rPr>
          <w:rFonts w:ascii="Nirmala UI" w:hAnsi="Nirmala UI" w:eastAsia="Nirmala UI" w:cs="Nirmala UI"/>
        </w:rPr>
        <w:t>পরিচালনা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চলেছেন।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ঐতিহ্যৰ</w:t>
      </w:r>
      <w:r>
        <w:rPr>
          <w:rFonts w:ascii="Times New Roman" w:hAnsi="Times New Roman" w:eastAsia="Times New Roman" w:cs="Times New Roman"/>
        </w:rPr>
        <w:t xml:space="preserve"> </w:t>
      </w:r>
      <w:r>
        <w:rPr>
          <w:rFonts w:ascii="Nirmala UI" w:hAnsi="Nirmala UI" w:eastAsia="Nirmala UI" w:cs="Nirmala UI"/>
        </w:rPr>
        <w:t>ধাৰাত</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এটাকৈ</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নিৰ্দিষ্ট</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অধিকার</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যোৱা</w:t>
      </w:r>
      <w:r>
        <w:rPr>
          <w:rFonts w:ascii="Times New Roman" w:hAnsi="Times New Roman" w:eastAsia="Times New Roman" w:cs="Times New Roman"/>
        </w:rPr>
        <w:t xml:space="preserve"> </w:t>
      </w:r>
      <w:r>
        <w:rPr>
          <w:rFonts w:ascii="Nirmala UI" w:hAnsi="Nirmala UI" w:eastAsia="Nirmala UI" w:cs="Nirmala UI"/>
        </w:rPr>
        <w:t>জাতিসমূহৰ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অজ্ঞাতসাৰে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সত্যৰ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যাৰ</w:t>
      </w:r>
      <w:r>
        <w:rPr>
          <w:rFonts w:ascii="Times New Roman" w:hAnsi="Times New Roman" w:eastAsia="Times New Roman" w:cs="Times New Roman"/>
        </w:rPr>
        <w:t xml:space="preserve"> </w:t>
      </w:r>
      <w:r>
        <w:rPr>
          <w:rFonts w:ascii="Nirmala UI" w:hAnsi="Nirmala UI" w:eastAsia="Nirmala UI" w:cs="Nirmala UI"/>
        </w:rPr>
        <w:t>অৰ্থ</w:t>
      </w:r>
      <w:r>
        <w:rPr>
          <w:rFonts w:ascii="Times New Roman" w:hAnsi="Times New Roman" w:eastAsia="Times New Roman" w:cs="Times New Roman"/>
        </w:rPr>
        <w:t xml:space="preserve"> </w:t>
      </w:r>
      <w:r>
        <w:rPr>
          <w:rFonts w:ascii="Nirmala UI" w:hAnsi="Nirmala UI" w:eastAsia="Nirmala UI" w:cs="Nirmala UI"/>
        </w:rPr>
        <w:t>তেওঁলোকেই</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বুজি</w:t>
      </w:r>
      <w:r>
        <w:rPr>
          <w:rFonts w:ascii="Times New Roman" w:hAnsi="Times New Roman" w:eastAsia="Times New Roman" w:cs="Times New Roman"/>
        </w:rPr>
        <w:t xml:space="preserve"> </w:t>
      </w:r>
      <w:r>
        <w:rPr>
          <w:rFonts w:ascii="Nirmala UI" w:hAnsi="Nirmala UI" w:eastAsia="Nirmala UI" w:cs="Nirmala UI"/>
        </w:rPr>
        <w:t>নাছিল</w:t>
      </w:r>
      <w:r>
        <w:rPr>
          <w:rFonts w:ascii="Times New Roman" w:hAnsi="Times New Roman" w:eastAsia="Times New Roman" w:cs="Times New Roman"/>
        </w:rPr>
        <w:t>—</w:t>
      </w:r>
      <w:r>
        <w:rPr>
          <w:rFonts w:ascii="Nirmala UI" w:hAnsi="Nirmala UI" w:eastAsia="Nirmala UI" w:cs="Nirmala UI"/>
        </w:rPr>
        <w:t>আমালৈ</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কয়।</w:t>
      </w:r>
      <w:r>
        <w:rPr>
          <w:rFonts w:ascii="Times New Roman" w:hAnsi="Times New Roman" w:eastAsia="Times New Roman" w:cs="Times New Roman"/>
        </w:rPr>
        <w:t xml:space="preserve"> </w:t>
      </w:r>
      <w:r>
        <w:rPr>
          <w:rFonts w:ascii="Nirmala UI" w:hAnsi="Nirmala UI" w:eastAsia="Nirmala UI" w:cs="Nirmala UI"/>
        </w:rPr>
        <w:t>আজিৰ</w:t>
      </w:r>
      <w:r>
        <w:rPr>
          <w:rFonts w:ascii="Times New Roman" w:hAnsi="Times New Roman" w:eastAsia="Times New Roman" w:cs="Times New Roman"/>
        </w:rPr>
        <w:t xml:space="preserve"> </w:t>
      </w:r>
      <w:r>
        <w:rPr>
          <w:rFonts w:ascii="Nirmala UI" w:hAnsi="Nirmala UI" w:eastAsia="Nirmala UI" w:cs="Nirmala UI"/>
        </w:rPr>
        <w:t>প্ৰতিটো</w:t>
      </w:r>
      <w:r>
        <w:rPr>
          <w:rFonts w:ascii="Times New Roman" w:hAnsi="Times New Roman" w:eastAsia="Times New Roman" w:cs="Times New Roman"/>
        </w:rPr>
        <w:t xml:space="preserve"> </w:t>
      </w:r>
      <w:r>
        <w:rPr>
          <w:rFonts w:ascii="Nirmala UI" w:hAnsi="Nirmala UI" w:eastAsia="Nirmala UI" w:cs="Nirmala UI"/>
        </w:rPr>
        <w:t>জাতি</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প্ৰতিজন</w:t>
      </w:r>
      <w:r>
        <w:rPr>
          <w:rFonts w:ascii="Times New Roman" w:hAnsi="Times New Roman" w:eastAsia="Times New Roman" w:cs="Times New Roman"/>
        </w:rPr>
        <w:t xml:space="preserve"> </w:t>
      </w:r>
      <w:r>
        <w:rPr>
          <w:rFonts w:ascii="Nirmala UI" w:hAnsi="Nirmala UI" w:eastAsia="Nirmala UI" w:cs="Nirmala UI"/>
        </w:rPr>
        <w:t>ব্যক্তিৰ</w:t>
      </w:r>
      <w:r>
        <w:rPr>
          <w:rFonts w:ascii="Times New Roman" w:hAnsi="Times New Roman" w:eastAsia="Times New Roman" w:cs="Times New Roman"/>
        </w:rPr>
        <w:t xml:space="preserve"> </w:t>
      </w:r>
      <w:r>
        <w:rPr>
          <w:rFonts w:ascii="Nirmala UI" w:hAnsi="Nirmala UI" w:eastAsia="Nirmala UI" w:cs="Nirmala UI"/>
        </w:rPr>
        <w:t>বাবেও</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পৰিকল্পনাত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নিৰ্ধাৰণ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দিছে।</w:t>
      </w:r>
      <w:r>
        <w:rPr>
          <w:rFonts w:ascii="Times New Roman" w:hAnsi="Times New Roman" w:eastAsia="Times New Roman" w:cs="Times New Roman"/>
        </w:rPr>
        <w:t xml:space="preserve"> </w:t>
      </w:r>
      <w:r>
        <w:rPr>
          <w:rFonts w:ascii="Nirmala UI" w:hAnsi="Nirmala UI" w:eastAsia="Nirmala UI" w:cs="Nirmala UI"/>
        </w:rPr>
        <w:t>আজি</w:t>
      </w:r>
      <w:r>
        <w:rPr>
          <w:rFonts w:ascii="Times New Roman" w:hAnsi="Times New Roman" w:eastAsia="Times New Roman" w:cs="Times New Roman"/>
        </w:rPr>
        <w:t xml:space="preserve"> </w:t>
      </w:r>
      <w:r>
        <w:rPr>
          <w:rFonts w:ascii="Nirmala UI" w:hAnsi="Nirmala UI" w:eastAsia="Nirmala UI" w:cs="Nirmala UI"/>
        </w:rPr>
        <w:t>মানুহ</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জাতিসমূহক</w:t>
      </w:r>
      <w:r>
        <w:rPr>
          <w:rFonts w:ascii="Times New Roman" w:hAnsi="Times New Roman" w:eastAsia="Times New Roman" w:cs="Times New Roman"/>
        </w:rPr>
        <w:t xml:space="preserve"> </w:t>
      </w:r>
      <w:r>
        <w:rPr>
          <w:rFonts w:ascii="Nirmala UI" w:hAnsi="Nirmala UI" w:eastAsia="Nirmala UI" w:cs="Nirmala UI"/>
        </w:rPr>
        <w:t>সেইজনৰ</w:t>
      </w:r>
      <w:r>
        <w:rPr>
          <w:rFonts w:ascii="Times New Roman" w:hAnsi="Times New Roman" w:eastAsia="Times New Roman" w:cs="Times New Roman"/>
        </w:rPr>
        <w:t xml:space="preserve"> </w:t>
      </w:r>
      <w:r>
        <w:rPr>
          <w:rFonts w:ascii="Nirmala UI" w:hAnsi="Nirmala UI" w:eastAsia="Nirmala UI" w:cs="Nirmala UI"/>
        </w:rPr>
        <w:t>হাতত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উলম্ব</w:t>
      </w:r>
      <w:r>
        <w:rPr>
          <w:rFonts w:ascii="Times New Roman" w:hAnsi="Times New Roman" w:eastAsia="Times New Roman" w:cs="Times New Roman"/>
        </w:rPr>
        <w:t>-</w:t>
      </w:r>
      <w:r>
        <w:rPr>
          <w:rFonts w:ascii="Nirmala UI" w:hAnsi="Nirmala UI" w:eastAsia="Nirmala UI" w:cs="Nirmala UI"/>
        </w:rPr>
        <w:t>দণ্ডেৰে</w:t>
      </w:r>
      <w:r>
        <w:rPr>
          <w:rFonts w:ascii="Times New Roman" w:hAnsi="Times New Roman" w:eastAsia="Times New Roman" w:cs="Times New Roman"/>
        </w:rPr>
        <w:t xml:space="preserve"> </w:t>
      </w:r>
      <w:r>
        <w:rPr>
          <w:rFonts w:ascii="Nirmala UI" w:hAnsi="Nirmala UI" w:eastAsia="Nirmala UI" w:cs="Nirmala UI"/>
        </w:rPr>
        <w:t>জোখা</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যিজনে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নকৰে।</w:t>
      </w:r>
      <w:r>
        <w:rPr>
          <w:rFonts w:ascii="Times New Roman" w:hAnsi="Times New Roman" w:eastAsia="Times New Roman" w:cs="Times New Roman"/>
        </w:rPr>
        <w:t xml:space="preserve"> </w:t>
      </w:r>
      <w:r>
        <w:rPr>
          <w:rFonts w:ascii="Nirmala UI" w:hAnsi="Nirmala UI" w:eastAsia="Nirmala UI" w:cs="Nirmala UI"/>
        </w:rPr>
        <w:t>সকলোৱে</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পছন্দৰ</w:t>
      </w:r>
      <w:r>
        <w:rPr>
          <w:rFonts w:ascii="Times New Roman" w:hAnsi="Times New Roman" w:eastAsia="Times New Roman" w:cs="Times New Roman"/>
        </w:rPr>
        <w:t xml:space="preserve"> </w:t>
      </w:r>
      <w:r>
        <w:rPr>
          <w:rFonts w:ascii="Nirmala UI" w:hAnsi="Nirmala UI" w:eastAsia="Nirmala UI" w:cs="Nirmala UI"/>
        </w:rPr>
        <w:t>দ্বাৰাই</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গন্তব্য</w:t>
      </w:r>
      <w:r>
        <w:rPr>
          <w:rFonts w:ascii="Times New Roman" w:hAnsi="Times New Roman" w:eastAsia="Times New Roman" w:cs="Times New Roman"/>
        </w:rPr>
        <w:t xml:space="preserve"> </w:t>
      </w:r>
      <w:r>
        <w:rPr>
          <w:rFonts w:ascii="Nirmala UI" w:hAnsi="Nirmala UI" w:eastAsia="Nirmala UI" w:cs="Nirmala UI"/>
        </w:rPr>
        <w:t>নিৰ্ধাৰণ</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উদ্দেশ্যসমূহ</w:t>
      </w:r>
      <w:r>
        <w:rPr>
          <w:rFonts w:ascii="Times New Roman" w:hAnsi="Times New Roman" w:eastAsia="Times New Roman" w:cs="Times New Roman"/>
        </w:rPr>
        <w:t xml:space="preserve"> </w:t>
      </w:r>
      <w:r>
        <w:rPr>
          <w:rFonts w:ascii="Nirmala UI" w:hAnsi="Nirmala UI" w:eastAsia="Nirmala UI" w:cs="Nirmala UI"/>
        </w:rPr>
        <w:t>সিদ্ধ</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নিমিত্তে</w:t>
      </w:r>
      <w:r>
        <w:rPr>
          <w:rFonts w:ascii="Times New Roman" w:hAnsi="Times New Roman" w:eastAsia="Times New Roman" w:cs="Times New Roman"/>
        </w:rPr>
        <w:t xml:space="preserve"> </w:t>
      </w:r>
      <w:r>
        <w:rPr>
          <w:rFonts w:ascii="Nirmala UI" w:hAnsi="Nirmala UI" w:eastAsia="Nirmala UI" w:cs="Nirmala UI"/>
        </w:rPr>
        <w:t>সকলোকে</w:t>
      </w:r>
      <w:r>
        <w:rPr>
          <w:rFonts w:ascii="Times New Roman" w:hAnsi="Times New Roman" w:eastAsia="Times New Roman" w:cs="Times New Roman"/>
        </w:rPr>
        <w:t xml:space="preserve"> </w:t>
      </w:r>
      <w:r>
        <w:rPr>
          <w:rFonts w:ascii="Nirmala UI" w:hAnsi="Nirmala UI" w:eastAsia="Nirmala UI" w:cs="Nirmala UI"/>
        </w:rPr>
        <w:t>শাসন</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kasaysayan na itinakda ng dakilang AKO NGA sa Kaniyang salita, na pinagdurugtong ang bawat kawing sa tanikala ng hula, mula sa kawalang-hanggan ng nakaraan hanggang sa kawalang-hanggan ng hinaharap, ay nagsasabi sa atin kung nasaan tayo ngayon sa takbo ng mga kapanahunan, at kung ano ang maaaring asahan sa panahong darating. Ang lahat ng inihula ng propesiya na mangyayari, hanggang sa kasalukuyang panahon, ay natunton sa mga pahina ng kasaysayan, at makatitiyak tayo na ang lahat ng hindi pa dumarating ay matutupad ayon sa kaniyang pagkakasunud-sunod.</w:t>
      </w:r>
    </w:p>
    <w:p>
      <w:pPr>
        <w:pStyle w:val="ArticleScripture"/>
        <w:jc w:val="left"/>
      </w:pPr>
      <w:r>
        <w:rPr>
          <w:rFonts w:ascii="Times New Roman" w:hAnsi="Times New Roman" w:eastAsia="Times New Roman" w:cs="Times New Roman"/>
        </w:rPr>
        <w:t>“Ɔsɛe a etwa to a wɔbɛsɛe asase so ahenni nyinaa no, wɔaka ho asɛm pefee wɔ nokware asɛm no mu. Nkɔmhyɛ a wɔkae bere a wɔde atemmu a efi Onyankopɔn hɔ too Israel hene a ɔtwa to no so mu no, wɔde nkrasɛm no mae.” Education, 178, 179.</w:t>
      </w:r>
    </w:p>
    <w:p>
      <w:pPr>
        <w:pStyle w:val="ArticleBody"/>
        <w:jc w:val="left"/>
      </w:pPr>
      <w:r>
        <w:rPr>
          <w:rFonts w:ascii="Times New Roman" w:hAnsi="Times New Roman" w:eastAsia="Times New Roman" w:cs="Times New Roman"/>
        </w:rPr>
        <w:t>Zur Klarheit der Sache: „ff“ ist als Zielsprache nicht eindeutig bezeichnet. Bitte geben Sie die gewünschte Sprache an, dann liefere ich ausschließlich die Übersetzung.</w:t>
      </w:r>
    </w:p>
    <w:p>
      <w:pPr>
        <w:pStyle w:val="ArticleBody"/>
        <w:jc w:val="left"/>
      </w:pPr>
      <w:r>
        <w:rPr>
          <w:rFonts w:ascii="Times New Roman" w:hAnsi="Times New Roman" w:eastAsia="Times New Roman" w:cs="Times New Roman"/>
        </w:rPr>
        <w:t>Les guerres dans le pays produisent de la tristesse chez ceux qui voient et entendent ce que ces guerres représentent. L’histoire du scellement identifie le renversement final de tous les royaumes terrestres, et le renversement de ces royaumes a été retracé dans l’histoire prophétique du passé. Lorsque Ésaïe, au chapitre six, vit la même vision que Jean, Daniel, Ézéchiel, Job et Paul, il se porta volontaire pour présenter le message destiné à ce temps-là, mais il demanda combien de temps il lui faudrait présenter le message.</w:t>
      </w:r>
    </w:p>
    <w:p>
      <w:pPr>
        <w:pStyle w:val="ArticleScripture"/>
        <w:jc w:val="left"/>
      </w:pPr>
      <w:r>
        <w:rPr>
          <w:rFonts w:ascii="Times New Roman" w:hAnsi="Times New Roman" w:eastAsia="Times New Roman" w:cs="Times New Roman"/>
        </w:rPr>
        <w:t>Bovendien hoorde ik de stem van de Heere, Die zei: Wie zal Ik zenden, en wie zal voor Ons gaan? Toen zei ik: Zie, hier ben ik, zend mij. En Hij zei: Ga, en zeg tot dit volk: Horende hoort gij, maar verstaat niet; en ziende ziet gij, maar merkt niet op. Maak het hart van dit volk vet, maak hun oren zwaar en sluit hun ogen; opdat het niet met zijn ogen ziet, noch met zijn oren hoort, noch met zijn hart verstaat, en zich bekeert en genezen wordt. Toen zei ik: Heere, hoe lang? En Hij antwoordde: Totdat de steden verwoest zijn, zodat er geen inwoner meer is, en de huizen zonder mens, en het land volkomen verwoest is, en de Heere de mensen ver heeft weggevoerd, en de verlatenheid groot is in het midden van het land. Jesaja 6:8–12.</w:t>
      </w:r>
    </w:p>
    <w:p>
      <w:pPr>
        <w:pStyle w:val="ArticleBody"/>
        <w:jc w:val="left"/>
      </w:pPr>
      <w:r>
        <w:rPr>
          <w:rFonts w:ascii="Nirmala UI" w:hAnsi="Nirmala UI" w:eastAsia="Nirmala UI" w:cs="Nirmala UI"/>
        </w:rPr>
        <w:t>जवाब</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मराह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नबियों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सुनेंगे।</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Связь папской прокси-армии нацистов во Второй мировой войне, строка за строкой, соответствует второй прокси-армии во второй прокси-войне, и сама Вторая мировая война также соответствует второй прокси-войне. Связь второй прокси-войны с пограничной войной при Рафии, которая ныне повторяется в Украине, географически связана со вторым ударом ислама третьего горя, начавшимся 7 октября 2023 года, и представляет собой пророческие колёса внутри колёс.</w:t>
      </w:r>
    </w:p>
    <w:p>
      <w:pPr>
        <w:pStyle w:val="ArticleBody"/>
        <w:jc w:val="left"/>
      </w:pPr>
      <w:r>
        <w:rPr>
          <w:rFonts w:ascii="Times New Roman" w:hAnsi="Times New Roman" w:eastAsia="Times New Roman" w:cs="Times New Roman"/>
        </w:rPr>
        <w:t>En 1999 fut publié un livre écrit par John Cornwell. À cette époque, John Cornwell était Senior Research Fellow à Jesus College, à Cambridge, en Angleterre, et il était un journaliste et auteur primé. Le livre traitait du rôle du pape de Rome qui régna durant la Seconde Guerre mondiale. Le livre commence par le grand-père du futur pape, qui était le bras droit du pape Pie IX, connu sous le nom de Pio Nono. En 1849, une foule républicaine attaqua l’enceinte du Vatican, et le pape Pie IX s’enfuit de la ville de Rome. L’homme qu’il emmena avec lui en exil était le grand-père d’Eugenio Pacelli. Eugenio Pacelli était le petit-fils du bras droit du pape Pie IX, et il devint plus tard Pie XII, et le livre consacré à Eugenio Pacelli s’intitulait Le Pape de Hitler, l’histoire secrète de Pie XII.</w:t>
      </w:r>
    </w:p>
    <w:p>
      <w:pPr>
        <w:pStyle w:val="ArticleBody"/>
        <w:jc w:val="left"/>
      </w:pPr>
      <w:r>
        <w:rPr>
          <w:rFonts w:ascii="Times New Roman" w:hAnsi="Times New Roman" w:eastAsia="Times New Roman" w:cs="Times New Roman"/>
        </w:rPr>
        <w:t>בַּסֵּפֶר בּוֹחֵן קוֹרְנוֶול אֶת הַמִּדָּה שֶׁבָּהּ הָיָה הָאַפִּיפְיוֹר פִּיוּס הַשְּׁנֵים־עָשָׂר, לְשֶׁעָבַר הַקַּרְדִּינָל אֵאוּגֶנְיוֹ פָּאצֶ'לִי, מוּדָע לִרְדִיפַת הַיְּהוּדִים בִּידֵי הַמִּשְׁטָר הַנָּאצִי בְּמַהֲלַךְ מִלְחֶמֶת הָעוֹלָם הַשְּׁנִיָּה, וְכֵיצַד הֵגִיב לָהּ. הוּא מַרְאֶה כִּי שְׁתִיקָתוֹ הַצִּבּוּרִית שֶׁל פִּיוּס הַשְּׁנֵים־עָשָׂר וְהֶעְדֵּר פְּעֻלָּה מִצִּדּוֹ לְגַנּוֹת אֶת הַשּׁוֹאָה הִמְחִישׁוּ אֶת מַנְהִיגוּתוֹ הַבִּלְתִּי־מוּסָרִית בִּימֵי הַמִּלְחָמָה.</w:t>
      </w:r>
    </w:p>
    <w:p>
      <w:pPr>
        <w:pStyle w:val="ArticleBody"/>
        <w:jc w:val="left"/>
      </w:pPr>
      <w:r>
        <w:rPr>
          <w:rFonts w:ascii="Times New Roman" w:hAnsi="Times New Roman" w:eastAsia="Times New Roman" w:cs="Times New Roman"/>
        </w:rPr>
        <w:t>Cornwell présente le contexte historique du pontificat de Pie XII, y compris sa formation diplomatique et les dynamiques politiques complexes de l’époque. Il examine l’approche du Vatican face à l’Allemagne nazie. Cornwell affirme que Pie XII a manqué à dénoncer l’Holocauste et à intervenir en faveur des Juifs persécutés, car c’est lui qui, alors qu’il était cardinal en 1933, avait conclu avec Hitler un concordat promettant la soumission catholique à l’œuvre de Hitler.</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Lẹ́yìn Ogun Àgbáyé Kejì, àwọn ọ̀daràn ogun Nazi kan ṣàṣeyọrí láti sá fún ìdájọ́ nípa sísálọ sí onírúurú orílẹ̀-èdè, pẹ̀lú ọ̀pọ̀ ní Gúúsù Amẹ́ríkà. Àwọn ọ̀nà pàtàkì tí wọ́n lò láti sá àti láti dé Gúúsù Amẹ́ríkà ní wọ̀nyí:</w:t>
      </w:r>
    </w:p>
    <w:p>
      <w:pPr>
        <w:pStyle w:val="ArticleScripture"/>
        <w:jc w:val="left"/>
      </w:pPr>
      <w:r>
        <w:rPr>
          <w:rFonts w:ascii="Times New Roman" w:hAnsi="Times New Roman" w:eastAsia="Times New Roman" w:cs="Times New Roman"/>
        </w:rPr>
        <w:t>Ratlines: Ratlines eran rutas clandestinas de fuga establecidas por diversas organizaciones, entre ellas la Iglesia Católica y agencias de inteligencia afines, para ayudar a nazis y a otros fugitivos a escapar de Europa. Estas rutas solían implicar el uso de identidades falsas, documentos falsificados y redes de contrabando para facilitar su traslado a refugios seguros, incluida América del Sur.</w:t>
      </w:r>
    </w:p>
    <w:p>
      <w:pPr>
        <w:pStyle w:val="ArticleScripture"/>
        <w:jc w:val="left"/>
      </w:pPr>
      <w:r>
        <w:rPr>
          <w:rFonts w:ascii="Times New Roman" w:hAnsi="Times New Roman" w:eastAsia="Times New Roman" w:cs="Times New Roman"/>
        </w:rPr>
        <w:t>Documents falsifiés : De nombreux fugitifs nazis se procurèrent de faux passeports, visas et autres documents de voyage afin de dissimuler leur véritable identité et d’échapper à leur arrestation. Ils utilisèrent ces documents pour traverser des pays neutres ou acquis à leur cause avant d’atteindre l’Amérique du Sud.</w:t>
      </w:r>
    </w:p>
    <w:p>
      <w:pPr>
        <w:pStyle w:val="ArticleScripture"/>
        <w:jc w:val="left"/>
      </w:pPr>
      <w:r>
        <w:rPr>
          <w:rFonts w:ascii="Times New Roman" w:hAnsi="Times New Roman" w:eastAsia="Times New Roman" w:cs="Times New Roman"/>
        </w:rPr>
        <w:t>Complicité des autorités : Dans certains cas, des responsables bien disposés dans des pays d’Amérique du Sud fermèrent les yeux sur la présence de fugitifs nazis ou les aidèrent activement à échapper à la capture. Certains gouvernements, en particulier ceux dont les régimes autoritaires étaient favorables à l’idéologie nazie, accordèrent refuge à ces individus.</w:t>
      </w:r>
    </w:p>
    <w:p>
      <w:pPr>
        <w:pStyle w:val="ArticleScripture"/>
        <w:jc w:val="left"/>
      </w:pPr>
      <w:r>
        <w:rPr>
          <w:rFonts w:ascii="Times New Roman" w:hAnsi="Times New Roman" w:eastAsia="Times New Roman" w:cs="Times New Roman"/>
        </w:rPr>
        <w:t>Nazi war criminals mam biuim ol legal loopholes o ol extradition law we i no strict tumas long ol kantri bilong South America bilong abrusim extradition i go long Europe, we bai ol i fesim kot long ol krimen bilong ol.</w:t>
      </w:r>
    </w:p>
    <w:p>
      <w:pPr>
        <w:pStyle w:val="ArticleScripture"/>
        <w:jc w:val="left"/>
      </w:pPr>
      <w:r>
        <w:rPr>
          <w:rFonts w:ascii="Times New Roman" w:hAnsi="Times New Roman" w:eastAsia="Times New Roman" w:cs="Times New Roman"/>
        </w:rPr>
        <w:t>Dans l’ensemble, la combinaison des filières d’exfiltration, des faux documents, de la complicité des autorités et des failles juridiques a permis à des criminels de guerre nazis de s’enfuir vers l’Amérique du Sud et d’échapper à la justice pendant de nombreuses années après la fin de la Seconde Guerre mondiale. ChatGPT, mars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soixante-douze</dc:title>
  <dc:subject>ছায়া: ক্যাথলিক চার্চের নবীসুলভ দর্শনের অন্তরালে থাকা শয়তানিক প্রভাবের উন্মোচন</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