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soixante-treize</w:t>
      </w:r>
    </w:p>
    <w:p>
      <w:pPr>
        <w:pStyle w:val="ArticleSubtitle"/>
        <w:jc w:val="left"/>
      </w:pPr>
      <w:r>
        <w:rPr>
          <w:rFonts w:ascii="Arial" w:hAnsi="Arial" w:eastAsia="Arial" w:cs="Arial"/>
        </w:rPr>
        <w:t>Les Ombres papales : dévoiler l’influence et les intentions derrière « le pape de Hitler »</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Fuula mata-duree Hitler’s Pope jedhu keessatti, barreessaan John Cornwell, seenaa phaaphaasii gara fuulduraa isa yeroo Hitler Jarmanii bulchaa turetti mootummaa isaa geggeesse sanaa, akaakayyuu isaa fi Phaaphaasii Pius IX kanneen Magaalaa Roomaa keessaa ari’amanii turan irraa jalqaba. Yommuu Pius IX uffata dubartii qulqulluu fakkaatuun of dhokfatee magaalaa Roomaa keessaa baqate, nama isa wajjin geesse tokkicha akaakayyuu phaaphaasii gara fuulduraa sanaa ture. Cornwell hariiroo dhihoo namoota lamaan sanaa ilaallata; achiis abbaa phaaphaasii gara fuulduraa sanaas akkamitti giddugala aangoo Waldaa Kaatolikii wajjin walitti hidhata qaba ture akka ta’e ibsa. Kana gochuudhaanis, haala hawaasummaa, siyaasaa fi amantii seenaa yeroo Pius IX irraa kaasee hanga lola Addunyaa Lammaffaatti ture adda baasa. Ilaalchi waliigalaa seenaa kanaa baay’ee odeeffannoo qabeessa dha.</w:t>
      </w:r>
    </w:p>
    <w:p>
      <w:pPr>
        <w:pStyle w:val="ArticleScripture"/>
        <w:jc w:val="left"/>
      </w:pPr>
      <w:r>
        <w:rPr>
          <w:rFonts w:ascii="Times New Roman" w:hAnsi="Times New Roman" w:eastAsia="Times New Roman" w:cs="Times New Roman"/>
        </w:rPr>
        <w:t>«Հերթական քայլը պապական յուրացման ճանապարհին կատարվեց, երբ տասնմեկերորդ դարում Հռոմի Գրիգոր VII պապը հռչակեց Հռոմեական եկեղեցու կատարելությունը։ Նրա առաջադրած դրույթների մեջ կար նաև մեկը, ըստ որի՝ եկեղեցին երբեք չէր սխալվել և, Սուրբ Գրքերի համաձայն, երբեք էլ չէր սխալվելու։ Բայց այդ պնդմանը Սուրբ Գրքից բերված ապացույցներ չէին ուղեկցում։ Հպարտ քահանայապետը նաև իրեն վերագրում էր կայսրերին գահընկեց անելու իշխանություն և հայտարարում էր, որ իր արձակած որևէ վճիռ ոչ ոք չի կարող չեղարկել, մինչդեռ իր արտոնությունն էր չեղարկել բոլոր մյուսների որոշումները»։</w:t>
      </w:r>
    </w:p>
    <w:p>
      <w:pPr>
        <w:pStyle w:val="ArticleScripture"/>
        <w:jc w:val="left"/>
      </w:pPr>
      <w:r>
        <w:rPr>
          <w:rFonts w:ascii="Times New Roman" w:hAnsi="Times New Roman" w:eastAsia="Times New Roman" w:cs="Times New Roman"/>
        </w:rPr>
        <w:t>“</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अचूकता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प्रभावशाली</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IV,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अवहेलना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बहिष्कृत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पदच्युत</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राजकुमारों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धमकियों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आतंकित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उकसाया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मध्यशीत</w:t>
      </w:r>
      <w:r>
        <w:rPr>
          <w:rFonts w:ascii="Times New Roman" w:hAnsi="Times New Roman" w:eastAsia="Times New Roman" w:cs="Times New Roman"/>
        </w:rPr>
        <w:t xml:space="preserve"> </w:t>
      </w:r>
      <w:r>
        <w:rPr>
          <w:rFonts w:ascii="Nirmala UI" w:hAnsi="Nirmala UI" w:eastAsia="Nirmala UI" w:cs="Nirmala UI"/>
        </w:rPr>
        <w:t>ऋतु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आल्प्स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ग्रेगरी</w:t>
      </w:r>
      <w:r>
        <w:rPr>
          <w:rFonts w:ascii="Times New Roman" w:hAnsi="Times New Roman" w:eastAsia="Times New Roman" w:cs="Times New Roman"/>
        </w:rPr>
        <w:t xml:space="preserve"> </w:t>
      </w:r>
      <w:r>
        <w:rPr>
          <w:rFonts w:ascii="Nirmala UI" w:hAnsi="Nirmala UI" w:eastAsia="Nirmala UI" w:cs="Nirmala UI"/>
        </w:rPr>
        <w:t>एकान्त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रक्षकों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प्रांगण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ठंड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उघाड़े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दयनीय</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उपवास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परमाध्यक्ष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क्षमा</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शर्त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राजचिह्नों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राजसत्ता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ग्रेगरी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उन्मत्त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डींग</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The Great Controversy, 57.</w:t>
      </w:r>
    </w:p>
    <w:p>
      <w:pPr>
        <w:pStyle w:val="ArticleBody"/>
        <w:jc w:val="left"/>
      </w:pPr>
      <w:r>
        <w:rPr>
          <w:rFonts w:ascii="Times New Roman" w:hAnsi="Times New Roman" w:eastAsia="Times New Roman" w:cs="Times New Roman"/>
        </w:rPr>
        <w:t>Gregory VII dia “mpanohana ny tsy mety diso”, kanefa io filazana mahatsikaiky io dia tsy natao ho foto-pampianarana ofisialy (dogma) raha tsy tamin’i Pius IX, izay nametraka io filazana adaladala io ho foto-pampianarana raikitra tamin’ny Konsily Vatikana Voalohany. Nankatoavina tamin’ny 18 Jolay 1870 io foto-pampianarana io, zato sy dimampolo taona katroka talohan’ny fahadisoam-panantenana voalohan’ny iray hetsy sy efatra alina sy efatra arivo.</w:t>
      </w:r>
    </w:p>
    <w:p>
      <w:pPr>
        <w:pStyle w:val="ArticleBody"/>
        <w:jc w:val="left"/>
      </w:pPr>
      <w:r>
        <w:rPr>
          <w:rFonts w:ascii="Times New Roman" w:hAnsi="Times New Roman" w:eastAsia="Times New Roman" w:cs="Times New Roman"/>
        </w:rPr>
        <w:t>Ce qui est instructif dans cette histoire, c’est que lorsque Pie IX organisa le premier concile du Vatican et mit en œuvre sa doctrine de l’infaillibilité, sa motivation fut suscitée par sa haine de ce que l’on appelait le « modernisme ». Elle n’était pas enracinée dans l’idée qu’un pape ne pouvait commettre aucune erreur lorsqu’il définissait des doctrines bibliques ; elle constituait une défense de l’opposition papale à l’influence qu’avait produite la Révolution française. Elle était dirigée contre ce qui finirait par être connu sous le nom de communisme.</w:t>
      </w:r>
    </w:p>
    <w:p>
      <w:pPr>
        <w:pStyle w:val="ArticleBody"/>
        <w:jc w:val="left"/>
      </w:pPr>
      <w:r>
        <w:rPr>
          <w:rFonts w:ascii="Times New Roman" w:hAnsi="Times New Roman" w:eastAsia="Times New Roman" w:cs="Times New Roman"/>
        </w:rPr>
        <w:t>La Révolution française provoqua un bouleversement dans la structure dirigeante des nations européennes, avec une haine particulière pour la monarchie qu’est la papauté. Ce fut une révolte républicaine italienne qui chassa temporairement Pie IX et son bras droit de Rome. Le « modernisme », représenté par les diverses philosophies issues de la Révolution française, était l’ennemi juré de Pie IX, et sa doctrine de l’infaillibilité était destinée à soutenir toutes les prétentions que le pape formulait contre les idées modernistes produites par la Révolution française.</w:t>
      </w:r>
    </w:p>
    <w:p>
      <w:pPr>
        <w:pStyle w:val="ArticleBody"/>
        <w:jc w:val="left"/>
      </w:pPr>
      <w:r>
        <w:rPr>
          <w:rFonts w:ascii="Times New Roman" w:hAnsi="Times New Roman" w:eastAsia="Times New Roman" w:cs="Times New Roman"/>
        </w:rPr>
        <w:t>Daniel chapit onz, vèsè karant, idantifye ke an 1798, wa sid la (Lafrans ateyis) te bay wa nò a (papote a) blesi mòtèl la.</w:t>
      </w:r>
    </w:p>
    <w:p>
      <w:pPr>
        <w:pStyle w:val="ArticleBody"/>
        <w:jc w:val="left"/>
      </w:pPr>
      <w:r>
        <w:rPr>
          <w:rFonts w:ascii="Times New Roman" w:hAnsi="Times New Roman" w:eastAsia="Times New Roman" w:cs="Times New Roman"/>
        </w:rPr>
        <w:t>Ke thuto ya go se palelwe ga Pius IX e ne e amana le ntwa e e emelwang ke temana ya masome a mane ya Daniele kgaolo ya bolesome le bongwe, mme go tloga kwa karolong ya bofelo ya ngwaga wa 1869 go fitlha mo ngwageng o o latelang, Pius IX o ne a bitsa Lekgotla la ntlha la Vatican, le le itsiweng e le Vatican I, ka maikaelelo a go tlhomamisa gore mopapa e ne e le tlhogo ya Bokatholika, le gore Bokatholika e ne e le tlhogo ya dikereke tsotlhe, jaaka go ne go begilwe mo taolong ya Justinian ya ngwaga wa 533.</w:t>
      </w:r>
    </w:p>
    <w:p>
      <w:pPr>
        <w:pStyle w:val="ArticleBody"/>
        <w:jc w:val="left"/>
      </w:pPr>
      <w:r>
        <w:rPr>
          <w:rFonts w:ascii="Times New Roman" w:hAnsi="Times New Roman" w:eastAsia="Times New Roman" w:cs="Times New Roman"/>
        </w:rPr>
        <w:t>Ko Warmi Kanɓe Fatikan ɗiɗaɓo, mo anndiri kadi e inde Vatican II, waɗaama daga 1962 haa 1965. Noon woni waɗɗere mawnde e tariika Ekklesiya Katolika, e gooto e nder konngi ekumenikaji ɓurɗi teddude e jamanuuji kesɗitini. Kongol ngol hawriti ley dow laamu Papa Yohanna XXIII, e ɗum jokkondiri e nder pontifikaa Papa Bulus VI caggal maayde Yohanna XXIII e 1963. Ena muhimmi maaɗa faamu ceede mum keewnde hakkunde ɗii konngi ɗiɗi.</w:t>
      </w:r>
    </w:p>
    <w:p>
      <w:pPr>
        <w:pStyle w:val="ArticleBody"/>
        <w:jc w:val="left"/>
      </w:pPr>
      <w:r>
        <w:rPr>
          <w:rFonts w:ascii="Times New Roman" w:hAnsi="Times New Roman" w:eastAsia="Times New Roman" w:cs="Times New Roman"/>
        </w:rPr>
        <w:t>A primeira konsílyu foi pa establi loke ta yamá e “primacía” di e papa, ku ta nifiká ku e papa ta e gobernante, maestro i pastor supremo di e Iglesia, responsabel pa preservá i interpretá e doctrinan di fe. Su outoridat tabata konsistí den definí dogmanan, emití dekretunan doktrinal, i hasi pronunsiamientunan outoritativo tokante asuntunan di fe i moral, konosí komo infalibilidat papal. Esaki ta inkluí tambe e outoridat jurisdikshonal di e papa riba e iglesia universal, inkluyendo e poder pa nombrá obispunan, regulá e sakramentunan, i goberná e administrashon di e iglesia.</w:t>
      </w:r>
    </w:p>
    <w:p>
      <w:pPr>
        <w:pStyle w:val="ArticleBody"/>
        <w:jc w:val="left"/>
      </w:pPr>
      <w:r>
        <w:rPr>
          <w:rFonts w:ascii="Times New Roman" w:hAnsi="Times New Roman" w:eastAsia="Times New Roman" w:cs="Times New Roman"/>
        </w:rPr>
        <w:t>Kuṅxoxo lwa vumbirhi a ri ta kongomisa kereke leswaku yi va nhlangano wa vumun’we bya tikereke. Mintsombano leyi a yi ri swivulwa leswi kanetanaka hi ku kongoma. Kuṅxoxo ro sungula, ra vuhlayiseki bya ndhavuko, ri kanetiwe hi kuṅxoxo ra vumbirhi, ra ntshunxeko. Mavandla wolawo mambirhi a ma hambane ku fana ni vusiku ni nhlikanhi, naswona vuprofeta lebyi vitaniwaka swihundla swinharhu swa Fatima byi kombisa nyimpi ya le ndzeni leyi yimeleriweke hi mfanelo hi mintsombano leyi mimbirhi.</w:t>
      </w:r>
    </w:p>
    <w:p>
      <w:pPr>
        <w:pStyle w:val="ArticleBody"/>
        <w:jc w:val="left"/>
      </w:pPr>
      <w:r>
        <w:rPr>
          <w:rFonts w:ascii="Times New Roman" w:hAnsi="Times New Roman" w:eastAsia="Times New Roman" w:cs="Times New Roman"/>
        </w:rPr>
        <w:t>Profetiam exhibet ordinem quendam, qui primatum, quem Pius IX repraesentat, tuetur, tamquam eo significari qui sive “papa albus”, sive “bonus papa”, sive “bonus episcopus” appellatur; alter vero ordo, cum Vaticano II coniunctus, significatur per “papam nigrum”, sive “malum papam”, sive “malum episcopum.” Contentio horum duorum conceptuum politicorum repraesentatur, cum sanctuarium miraculi Fatimae, Fatimae in Lusitania, visitas. Ingredienti deambulacrum inter statuam papae nigri ex una parte et papae albi ex altera disponitur.</w:t>
      </w:r>
    </w:p>
    <w:p>
      <w:pPr>
        <w:pStyle w:val="ArticleBody"/>
        <w:jc w:val="left"/>
      </w:pPr>
      <w:r>
        <w:rPr>
          <w:rFonts w:ascii="Times New Roman" w:hAnsi="Times New Roman" w:eastAsia="Times New Roman" w:cs="Times New Roman"/>
        </w:rPr>
        <w:t>لهٰذا یہ اس شخص کے ورثے کا ایک حصہ بن جاتا ہے جو بالآخر وہ بنا جسے کتاب ہٹلر کا پوپ قرار دیتی ہے، کہ اس کی جڑیں جدیدیت (جنوب کے بادشاہ) اور پاپائی بالادستی (شمال کے بادشاہ) کے مابین کشمکش میں پیوست ہیں۔</w:t>
      </w:r>
    </w:p>
    <w:p>
      <w:pPr>
        <w:pStyle w:val="ArticleBody"/>
        <w:jc w:val="left"/>
      </w:pPr>
      <w:r>
        <w:rPr>
          <w:rFonts w:ascii="Microsoft YaHei" w:hAnsi="Microsoft YaHei" w:eastAsia="Microsoft YaHei" w:cs="Microsoft YaHei"/>
        </w:rPr>
        <w:t>要理解的是</w:t>
      </w:r>
      <w:r>
        <w:rPr>
          <w:rFonts w:ascii="Times New Roman" w:hAnsi="Times New Roman" w:eastAsia="Times New Roman" w:cs="Times New Roman"/>
        </w:rPr>
        <w:t>,</w:t>
      </w:r>
      <w:r>
        <w:rPr>
          <w:rFonts w:ascii="Microsoft YaHei" w:hAnsi="Microsoft YaHei" w:eastAsia="Microsoft YaHei" w:cs="Microsoft YaHei"/>
        </w:rPr>
        <w:t>我们所考察之书的作者乃是一位声誉良好的天主教徒</w:t>
      </w:r>
      <w:r>
        <w:rPr>
          <w:rFonts w:ascii="Times New Roman" w:hAnsi="Times New Roman" w:eastAsia="Times New Roman" w:cs="Times New Roman"/>
        </w:rPr>
        <w:t>,</w:t>
      </w:r>
      <w:r>
        <w:rPr>
          <w:rFonts w:ascii="Microsoft YaHei" w:hAnsi="Microsoft YaHei" w:eastAsia="Microsoft YaHei" w:cs="Microsoft YaHei"/>
        </w:rPr>
        <w:t>而他写作此书所宣示的目的</w:t>
      </w:r>
      <w:r>
        <w:rPr>
          <w:rFonts w:ascii="Times New Roman" w:hAnsi="Times New Roman" w:eastAsia="Times New Roman" w:cs="Times New Roman"/>
        </w:rPr>
        <w:t>,</w:t>
      </w:r>
      <w:r>
        <w:rPr>
          <w:rFonts w:ascii="Microsoft YaHei" w:hAnsi="Microsoft YaHei" w:eastAsia="Microsoft YaHei" w:cs="Microsoft YaHei"/>
        </w:rPr>
        <w:t>是要阐明这样一种指控：即在第二次世界大战期间在位的教皇曾支持希特勒、纳粹</w:t>
      </w:r>
      <w:r>
        <w:rPr>
          <w:rFonts w:ascii="Times New Roman" w:hAnsi="Times New Roman" w:eastAsia="Times New Roman" w:cs="Times New Roman"/>
        </w:rPr>
        <w:t>,</w:t>
      </w:r>
      <w:r>
        <w:rPr>
          <w:rFonts w:ascii="Microsoft YaHei" w:hAnsi="Microsoft YaHei" w:eastAsia="Microsoft YaHei" w:cs="Microsoft YaHei"/>
        </w:rPr>
        <w:t>或对针对犹太人及其他人的大屠杀负有任何罪责</w:t>
      </w:r>
      <w:r>
        <w:rPr>
          <w:rFonts w:ascii="Times New Roman" w:hAnsi="Times New Roman" w:eastAsia="Times New Roman" w:cs="Times New Roman"/>
        </w:rPr>
        <w:t xml:space="preserve">. </w:t>
      </w:r>
      <w:r>
        <w:rPr>
          <w:rFonts w:ascii="Microsoft YaHei" w:hAnsi="Microsoft YaHei" w:eastAsia="Microsoft YaHei" w:cs="Microsoft YaHei"/>
        </w:rPr>
        <w:t>当康威尔论及庇护十二世的祖父</w:t>
      </w:r>
      <w:r>
        <w:rPr>
          <w:rFonts w:ascii="Times New Roman" w:hAnsi="Times New Roman" w:eastAsia="Times New Roman" w:cs="Times New Roman"/>
        </w:rPr>
        <w:t>——</w:t>
      </w:r>
      <w:r>
        <w:rPr>
          <w:rFonts w:ascii="Microsoft YaHei" w:hAnsi="Microsoft YaHei" w:eastAsia="Microsoft YaHei" w:cs="Microsoft YaHei"/>
        </w:rPr>
        <w:t>那位主持筹划梵蒂冈第一届大公会议的得力助手</w:t>
      </w:r>
      <w:r>
        <w:rPr>
          <w:rFonts w:ascii="Times New Roman" w:hAnsi="Times New Roman" w:eastAsia="Times New Roman" w:cs="Times New Roman"/>
        </w:rPr>
        <w:t>——</w:t>
      </w:r>
      <w:r>
        <w:rPr>
          <w:rFonts w:ascii="Microsoft YaHei" w:hAnsi="Microsoft YaHei" w:eastAsia="Microsoft YaHei" w:cs="Microsoft YaHei"/>
        </w:rPr>
        <w:t>之时</w:t>
      </w:r>
      <w:r>
        <w:rPr>
          <w:rFonts w:ascii="Times New Roman" w:hAnsi="Times New Roman" w:eastAsia="Times New Roman" w:cs="Times New Roman"/>
        </w:rPr>
        <w:t>,</w:t>
      </w:r>
      <w:r>
        <w:rPr>
          <w:rFonts w:ascii="Microsoft YaHei" w:hAnsi="Microsoft YaHei" w:eastAsia="Microsoft YaHei" w:cs="Microsoft YaHei"/>
        </w:rPr>
        <w:t>南方王与北方王斗争的历史</w:t>
      </w:r>
      <w:r>
        <w:rPr>
          <w:rFonts w:ascii="Times New Roman" w:hAnsi="Times New Roman" w:eastAsia="Times New Roman" w:cs="Times New Roman"/>
        </w:rPr>
        <w:t>,</w:t>
      </w:r>
      <w:r>
        <w:rPr>
          <w:rFonts w:ascii="Microsoft YaHei" w:hAnsi="Microsoft YaHei" w:eastAsia="Microsoft YaHei" w:cs="Microsoft YaHei"/>
        </w:rPr>
        <w:t>正是在那段历史之中上演</w:t>
      </w:r>
      <w:r>
        <w:rPr>
          <w:rFonts w:ascii="Times New Roman" w:hAnsi="Times New Roman" w:eastAsia="Times New Roman" w:cs="Times New Roman"/>
        </w:rPr>
        <w:t xml:space="preserve">. </w:t>
      </w:r>
      <w:r>
        <w:rPr>
          <w:rFonts w:ascii="Microsoft YaHei" w:hAnsi="Microsoft YaHei" w:eastAsia="Microsoft YaHei" w:cs="Microsoft YaHei"/>
        </w:rPr>
        <w:t>当</w:t>
      </w:r>
      <w:r>
        <w:rPr>
          <w:rFonts w:ascii="Times New Roman" w:hAnsi="Times New Roman" w:eastAsia="Times New Roman" w:cs="Times New Roman"/>
        </w:rPr>
        <w:t>“</w:t>
      </w:r>
      <w:r>
        <w:rPr>
          <w:rFonts w:ascii="Microsoft YaHei" w:hAnsi="Microsoft YaHei" w:eastAsia="Microsoft YaHei" w:cs="Microsoft YaHei"/>
        </w:rPr>
        <w:t>共和主义</w:t>
      </w:r>
      <w:r>
        <w:rPr>
          <w:rFonts w:ascii="Times New Roman" w:hAnsi="Times New Roman" w:eastAsia="Times New Roman" w:cs="Times New Roman"/>
        </w:rPr>
        <w:t>”</w:t>
      </w:r>
      <w:r>
        <w:rPr>
          <w:rFonts w:ascii="Microsoft YaHei" w:hAnsi="Microsoft YaHei" w:eastAsia="Microsoft YaHei" w:cs="Microsoft YaHei"/>
        </w:rPr>
        <w:t>的革命蔓延到意大利时</w:t>
      </w:r>
      <w:r>
        <w:rPr>
          <w:rFonts w:ascii="Times New Roman" w:hAnsi="Times New Roman" w:eastAsia="Times New Roman" w:cs="Times New Roman"/>
        </w:rPr>
        <w:t>,</w:t>
      </w:r>
      <w:r>
        <w:rPr>
          <w:rFonts w:ascii="Microsoft YaHei" w:hAnsi="Microsoft YaHei" w:eastAsia="Microsoft YaHei" w:cs="Microsoft YaHei"/>
        </w:rPr>
        <w:t>意大利人在大约一年的时间里将庇护九世逐出罗马城</w:t>
      </w:r>
      <w:r>
        <w:rPr>
          <w:rFonts w:ascii="Times New Roman" w:hAnsi="Times New Roman" w:eastAsia="Times New Roman" w:cs="Times New Roman"/>
        </w:rPr>
        <w:t>;</w:t>
      </w:r>
      <w:r>
        <w:rPr>
          <w:rFonts w:ascii="Microsoft YaHei" w:hAnsi="Microsoft YaHei" w:eastAsia="Microsoft YaHei" w:cs="Microsoft YaHei"/>
        </w:rPr>
        <w:t>自那时起</w:t>
      </w:r>
      <w:r>
        <w:rPr>
          <w:rFonts w:ascii="Times New Roman" w:hAnsi="Times New Roman" w:eastAsia="Times New Roman" w:cs="Times New Roman"/>
        </w:rPr>
        <w:t>,</w:t>
      </w:r>
      <w:r>
        <w:rPr>
          <w:rFonts w:ascii="Microsoft YaHei" w:hAnsi="Microsoft YaHei" w:eastAsia="Microsoft YaHei" w:cs="Microsoft YaHei"/>
        </w:rPr>
        <w:t>即便他后来返回</w:t>
      </w:r>
      <w:r>
        <w:rPr>
          <w:rFonts w:ascii="Times New Roman" w:hAnsi="Times New Roman" w:eastAsia="Times New Roman" w:cs="Times New Roman"/>
        </w:rPr>
        <w:t>,</w:t>
      </w:r>
      <w:r>
        <w:rPr>
          <w:rFonts w:ascii="Microsoft YaHei" w:hAnsi="Microsoft YaHei" w:eastAsia="Microsoft YaHei" w:cs="Microsoft YaHei"/>
        </w:rPr>
        <w:t>教皇制度所拥有的一切</w:t>
      </w:r>
      <w:r>
        <w:rPr>
          <w:rFonts w:ascii="Times New Roman" w:hAnsi="Times New Roman" w:eastAsia="Times New Roman" w:cs="Times New Roman"/>
        </w:rPr>
        <w:t>,</w:t>
      </w:r>
      <w:r>
        <w:rPr>
          <w:rFonts w:ascii="Microsoft YaHei" w:hAnsi="Microsoft YaHei" w:eastAsia="Microsoft YaHei" w:cs="Microsoft YaHei"/>
        </w:rPr>
        <w:t>也不过是那一百一十英亩、被称为梵蒂冈城的土地而已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Il ne put même retourner au Vatican qu’avec l’aide des troupes françaises et grâce à un prêt des Rothschild, les tristement célèbres banquiers juifs. Pour comprendre avec intelligence la complicité de la papauté dans l’holocauste durant la Seconde Guerre mondiale, il faut avoir une connaissance élémentaire de l’attitude de l’Europe envers les Juifs depuis la crucifixion du Christ. Le livre laisse entendre que l’antisémitisme et le racisme sont deux attitudes différentes, soutenant que la haine d’Hitler envers les Juifs était de nature raciale, car Hitler considérait les Juifs comme une catégorie inférieure d’êtres humains, tandis que l’antisémitisme était la haine des Juifs parce qu’ils avaient tué Dieu. Qu’ils soient une seule et même chose, ou qu’il existe réellement une distinction entre les deux, la réalité de la condition des Juifs mérite d’être comprise.</w:t>
      </w:r>
    </w:p>
    <w:p>
      <w:pPr>
        <w:pStyle w:val="ArticleBody"/>
        <w:jc w:val="left"/>
      </w:pPr>
      <w:r>
        <w:rPr>
          <w:rFonts w:ascii="Times New Roman" w:hAnsi="Times New Roman" w:eastAsia="Times New Roman" w:cs="Times New Roman"/>
        </w:rPr>
        <w:t>Par exemple, en Amérique aujourd’hui, si l’on emploie le mot « ghetto », la plupart pensent qu’il désigne le quartier pauvre et délabré de la ville. Mais le terme « ghetto » désignait à l’origine une partie d’une ville, particulièrement à Venise, en Italie, où les Juifs étaient contraints de vivre durant le Moyen Âge. Le premier ghetto fut établi à Venise en 1516, lorsque la République de Venise confina les Juifs dans un secteur déterminé de la ville connu sous le nom de « geto nuovo » (nouvelle fonderie), qui finit par être appelé le ghetto.</w:t>
      </w:r>
    </w:p>
    <w:p>
      <w:pPr>
        <w:pStyle w:val="ArticleBody"/>
        <w:jc w:val="left"/>
      </w:pPr>
      <w:r>
        <w:rPr>
          <w:rFonts w:ascii="Times New Roman" w:hAnsi="Times New Roman" w:eastAsia="Times New Roman" w:cs="Times New Roman"/>
        </w:rPr>
        <w:t>Tout au long du Moyen Âge en Europe, les Juifs furent soumis à des restrictions quant aux lieux où ils pouvaient résider, ainsi qu’aux professions qu’il leur était permis d’exercer. Ces restrictions reposaient sur l’ancienne définition de l’antisémitisme, selon laquelle les Juifs avaient tué Dieu et que tous leurs malheurs ultérieurs s’étaient attirés sur eux par leurs propres actes.</w:t>
      </w:r>
    </w:p>
    <w:p>
      <w:pPr>
        <w:pStyle w:val="ArticleBody"/>
        <w:jc w:val="left"/>
      </w:pPr>
      <w:r>
        <w:rPr>
          <w:rFonts w:ascii="Nirmala UI" w:hAnsi="Nirmala UI" w:eastAsia="Nirmala UI" w:cs="Nirmala UI"/>
        </w:rPr>
        <w:t>আপনি</w:t>
      </w:r>
      <w:r>
        <w:rPr>
          <w:rFonts w:ascii="Times New Roman" w:hAnsi="Times New Roman" w:eastAsia="Times New Roman" w:cs="Times New Roman"/>
        </w:rPr>
        <w:t xml:space="preserve"> “ff”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চেয়েছেন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“ff”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ভাষাকে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লক্ষ্যভাষার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জানান।</w:t>
      </w:r>
    </w:p>
    <w:p>
      <w:pPr>
        <w:pStyle w:val="ArticleBody"/>
        <w:jc w:val="left"/>
      </w:pPr>
      <w:r>
        <w:rPr>
          <w:rFonts w:ascii="Times New Roman" w:hAnsi="Times New Roman" w:eastAsia="Times New Roman" w:cs="Times New Roman"/>
        </w:rPr>
        <w:t>قبل أن يُطرَد بيوس التاسع من روما، بدا وكأنه ينتمي إلى أحد معسكرين فيما يتعلق باليهود وبعلاقة الكنيسة باليهود. وكان المعسكران يتألفان من أولئك الذين كانوا يعتقدون أن اليهود، مهما يحدث لهم، إنما ينالون ما يستحقونه فحسب، ومن المعسكر الآخر الذي كان يميل إلى إظهار شيء من الرحمة نحو اليهود. وعندما عاد بيوس التاسع إلى الفاتيكان بعد أن أُخرِج منه، فإن الرحمة التي كان قد أظهرها أحيانًا قبل منفاه لم تظهر مرة أخرى قط. فقبل منفاه كان قد أغلق الحي اليهودي في مدينة روما، وبعد عودته أعاد إنشاء الحي اليهودي، وشرع في فرض ضريبة على اليهود من أجل تعويض خسائره المالية.</w:t>
      </w:r>
    </w:p>
    <w:p>
      <w:pPr>
        <w:pStyle w:val="ArticleBody"/>
        <w:jc w:val="left"/>
      </w:pP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पायस</w:t>
      </w:r>
      <w:r>
        <w:rPr>
          <w:rFonts w:ascii="Times New Roman" w:hAnsi="Times New Roman" w:eastAsia="Times New Roman" w:cs="Times New Roman"/>
        </w:rPr>
        <w:t xml:space="preserve"> </w:t>
      </w:r>
      <w:r>
        <w:rPr>
          <w:rFonts w:ascii="Nirmala UI" w:hAnsi="Nirmala UI" w:eastAsia="Nirmala UI" w:cs="Nirmala UI"/>
        </w:rPr>
        <w:t>नवम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मारकान्तोनियो</w:t>
      </w:r>
      <w:r>
        <w:rPr>
          <w:rFonts w:ascii="Times New Roman" w:hAnsi="Times New Roman" w:eastAsia="Times New Roman" w:cs="Times New Roman"/>
        </w:rPr>
        <w:t xml:space="preserve"> </w:t>
      </w:r>
      <w:r>
        <w:rPr>
          <w:rFonts w:ascii="Nirmala UI" w:hAnsi="Nirmala UI" w:eastAsia="Nirmala UI" w:cs="Nirmala UI"/>
        </w:rPr>
        <w:t>पाचेलेी</w:t>
      </w:r>
      <w:r>
        <w:rPr>
          <w:rFonts w:ascii="Times New Roman" w:hAnsi="Times New Roman" w:eastAsia="Times New Roman" w:cs="Times New Roman"/>
        </w:rPr>
        <w:t xml:space="preserve">, </w:t>
      </w:r>
      <w:r>
        <w:rPr>
          <w:rFonts w:ascii="Nirmala UI" w:hAnsi="Nirmala UI" w:eastAsia="Nirmala UI" w:cs="Nirmala UI"/>
        </w:rPr>
        <w:t>हिटलर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अधिवक्ता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अधिवक्ताओं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अधिवक्तावर्ग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हिटलर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यूजेनियो</w:t>
      </w:r>
      <w:r>
        <w:rPr>
          <w:rFonts w:ascii="Times New Roman" w:hAnsi="Times New Roman" w:eastAsia="Times New Roman" w:cs="Times New Roman"/>
        </w:rPr>
        <w:t xml:space="preserve"> </w:t>
      </w:r>
      <w:r>
        <w:rPr>
          <w:rFonts w:ascii="Nirmala UI" w:hAnsi="Nirmala UI" w:eastAsia="Nirmala UI" w:cs="Nirmala UI"/>
        </w:rPr>
        <w:t>पाचेलेी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युवाकाल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पाचेलेी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अधिवक्ता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अधिवक्ताओं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वंशपरम्परा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अनुबन्धों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विशेषज्ञ</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कॉनकॉर्ड्स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सचिवालय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Pacelli devint l’envoyé auprès des nations. Prophétiquement, Pacelli devint le point de contact juridique qui consomma la fornication des rois de la terre avec la papauté. En 1903, Pie X fut couronné pape. Aussitôt, il commença à s’attaquer au « poison intellectuel » qui engendrait « le relativisme et le scepticisme ». L’homme qui dirigea l’effort de Pie X pour éradiquer le « modernisme » était Umberto Benigni, qui travaillait dans le même bureau que Pacelli. Benigni déclara un jour, à propos d’un groupe d’historiens de renommée mondiale, qu’ils étaient des hommes pour qui « l’histoire n’est rien d’autre qu’une continuelle et désespérée tentative de vomir. Pour cette sorte d’êtres humains, il n’est qu’un seul remède : l’Inquisition ! » Pour Benigni, tout historien qui exprimait la moindre sympathie à l’égard des idées issues de la Révolution française devait être exécuté.</w:t>
      </w:r>
    </w:p>
    <w:p>
      <w:pPr>
        <w:pStyle w:val="ArticleBody"/>
        <w:jc w:val="left"/>
      </w:pPr>
      <w:r>
        <w:rPr>
          <w:rFonts w:ascii="Times New Roman" w:hAnsi="Times New Roman" w:eastAsia="Times New Roman" w:cs="Times New Roman"/>
        </w:rPr>
        <w:t>بنینی به‌طور رسمی ادارهٔ وزارت تبلیغات پاپی را بر عهده داشت، اما به‌طور غیررسمی همچنین یک شبکهٔ مخفی جاسوسی را نیز اداره می‌کرد که برای شناسایی هر کاتولیکی طراحی شده بود که کوچک‌ترین همدلی‌ای با «مدرنیسم» داشت؛ مدرنیسمی که از پادشاه جنوب سرچشمه گرفته بود. سرانجام، در سال ۱۹۱۰، کار او به صدور دستوری انجامید که کارکنان دستگاه پاپی را ملزم می‌ساخت سوگندی یاد کنند که «سوگند ضدّ مدرنیستی» نامیده می‌شد. این سوگند هنوز هم به قوّت خود باقی است. برای آنکه در واتیکان به کار گماشته شوید، باید به بیزاری از افکار مدرنیستی سوگند بخورید؛ افکاری که امروز آن‌ها را اندیشه‌های کمونیستی می‌نامیم.</w:t>
      </w:r>
    </w:p>
    <w:p>
      <w:pPr>
        <w:pStyle w:val="ArticleBody"/>
        <w:jc w:val="left"/>
      </w:pP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फ्लायलिफ़</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वैटिकन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प्रतिभाशाली</w:t>
      </w:r>
      <w:r>
        <w:rPr>
          <w:rFonts w:ascii="Times New Roman" w:hAnsi="Times New Roman" w:eastAsia="Times New Roman" w:cs="Times New Roman"/>
        </w:rPr>
        <w:t xml:space="preserve"> </w:t>
      </w:r>
      <w:r>
        <w:rPr>
          <w:rFonts w:ascii="Nirmala UI" w:hAnsi="Nirmala UI" w:eastAsia="Nirmala UI" w:cs="Nirmala UI"/>
        </w:rPr>
        <w:t>युवा</w:t>
      </w:r>
      <w:r>
        <w:rPr>
          <w:rFonts w:ascii="Times New Roman" w:hAnsi="Times New Roman" w:eastAsia="Times New Roman" w:cs="Times New Roman"/>
        </w:rPr>
        <w:t xml:space="preserve"> </w:t>
      </w:r>
      <w:r>
        <w:rPr>
          <w:rFonts w:ascii="Nirmala UI" w:hAnsi="Nirmala UI" w:eastAsia="Nirmala UI" w:cs="Nirmala UI"/>
        </w:rPr>
        <w:t>विधिवेत्ता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पाचेल्ली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अभूतपूर्व</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विचारधारा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गढ़ने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चातुर्य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ब्लैकमेल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1933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हिटलर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आदर्श</w:t>
      </w:r>
      <w:r>
        <w:rPr>
          <w:rFonts w:ascii="Times New Roman" w:hAnsi="Times New Roman" w:eastAsia="Times New Roman" w:cs="Times New Roman"/>
        </w:rPr>
        <w:t xml:space="preserve"> </w:t>
      </w:r>
      <w:r>
        <w:rPr>
          <w:rFonts w:ascii="Nirmala UI" w:hAnsi="Nirmala UI" w:eastAsia="Nirmala UI" w:cs="Nirmala UI"/>
        </w:rPr>
        <w:t>वार्ताकार</w:t>
      </w:r>
      <w:r>
        <w:rPr>
          <w:rFonts w:ascii="Times New Roman" w:hAnsi="Times New Roman" w:eastAsia="Times New Roman" w:cs="Times New Roman"/>
        </w:rPr>
        <w:t>-</w:t>
      </w:r>
      <w:r>
        <w:rPr>
          <w:rFonts w:ascii="Nirmala UI" w:hAnsi="Nirmala UI" w:eastAsia="Nirmala UI" w:cs="Nirmala UI"/>
        </w:rPr>
        <w:t>सहभागी</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कॉनकॉर्डेट</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सामाजिक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क्रियाकलापों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आरोपित</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कैथोलिकवाद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स्वैच्छिक</w:t>
      </w:r>
      <w:r>
        <w:rPr>
          <w:rFonts w:ascii="Times New Roman" w:hAnsi="Times New Roman" w:eastAsia="Times New Roman" w:cs="Times New Roman"/>
        </w:rPr>
        <w:t xml:space="preserve">’ </w:t>
      </w:r>
      <w:r>
        <w:rPr>
          <w:rFonts w:ascii="Nirmala UI" w:hAnsi="Nirmala UI" w:eastAsia="Nirmala UI" w:cs="Nirmala UI"/>
        </w:rPr>
        <w:t>परित्याग</w:t>
      </w:r>
      <w:r>
        <w:rPr>
          <w:rFonts w:ascii="Times New Roman" w:hAnsi="Times New Roman" w:eastAsia="Times New Roman" w:cs="Times New Roman"/>
        </w:rPr>
        <w:t xml:space="preserve"> </w:t>
      </w:r>
      <w:r>
        <w:rPr>
          <w:rFonts w:ascii="Nirmala UI" w:hAnsi="Nirmala UI" w:eastAsia="Nirmala UI" w:cs="Nirmala UI"/>
        </w:rPr>
        <w:t>नाज़ीवाद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Tha aig coinneamh a’ chaibineit air 14 Iuchar 1933, chuir Adolph Hitler an cèill a bheachd, anns a’ mhìos sin fhèin, gun do chruthaich an co-chòrdadh a chuir Pacelli air chois leis na Nàsaich agus a thug dhan Ghearmailt “raon earbsa…. Anns an strì a bha a’ sìor-fhàs an aghaidh Iùdhachd eadar-nàiseanta.”</w:t>
      </w:r>
    </w:p>
    <w:p>
      <w:pPr>
        <w:pStyle w:val="ArticleBody"/>
        <w:jc w:val="left"/>
      </w:pPr>
      <w:r>
        <w:rPr>
          <w:rFonts w:ascii="Times New Roman" w:hAnsi="Times New Roman" w:eastAsia="Times New Roman" w:cs="Times New Roman"/>
        </w:rPr>
        <w:t>Le livre de Cornwell ne fut pas bien accueilli par les catholiques qui refusèrent d’accepter les preuves selon lesquelles Pacelli fut la raison principale pour laquelle Hitler put accéder au pouvoir, car l’Allemagne était majoritairement catholique. Pacelli avait conclu un accord qui empêchait la maison d’édition catholique, les agences de presse catholiques et les écoles catholiques de dire quoi que ce soit au sujet de l’orientation prise par Hitler à partir de 1933. Le livre met en évidence l’inclination manifestement antisémite de Pacelli, qui devint ensuite pape durant la Seconde Guerre mondiale. Au moins trois éléments peuvent être établis à partir de sources historiques très fiables d’après ce livre.</w:t>
      </w:r>
    </w:p>
    <w:p>
      <w:pPr>
        <w:pStyle w:val="ArticleBody"/>
        <w:jc w:val="left"/>
      </w:pPr>
      <w:r>
        <w:rPr>
          <w:rFonts w:ascii="Times New Roman" w:hAnsi="Times New Roman" w:eastAsia="Times New Roman" w:cs="Times New Roman"/>
        </w:rPr>
        <w:t>A farko akwai yaƙin sarkin arewa da sarkin kudu, kamar yadda aka wakilta a Daniyel sura ta goma sha ɗaya. A cikin wannan yaƙi, maƙiyan su ne Katolika da rashin yarda da Allah, wato fafaroma da Kwaminisanci. Wani muhimmin batu kuma shi ne cewa fafaroma ya yi amfani da Naziyanci a matsayin rundunarsa ta wakilci wajen yaƙi da rashin yarda da Allah a lokacin Yaƙin Duniya na Biyu, kamar yadda fafaroma ya yi amfani da Furotesta masu ridda a shekara ta 1989 a matsayin rundunarsa ta wakilci wajen yaƙi da rashin yarda da Allah na Tarayyar Soviet ta USSR. Littafin kuma yana bayyana tsarin annabci na ciki da na waje da aka wakilta ta saƙonnin shaidan da suka fito daga mu’ujizar Fatima.</w:t>
      </w:r>
    </w:p>
    <w:p>
      <w:pPr>
        <w:pStyle w:val="ArticleBody"/>
        <w:jc w:val="left"/>
      </w:pPr>
      <w:r>
        <w:rPr>
          <w:rFonts w:ascii="Leelawadee UI" w:hAnsi="Leelawadee UI" w:eastAsia="Leelawadee UI" w:cs="Leelawadee UI"/>
        </w:rPr>
        <w:t>ថែរទាំសង្គ្រាមព្រំដែននៅរ៉ាហ្វ៊ីយ៉ា</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ដែលត្រូវបានតំណាងនៅក្នុងខណ្ឌទីដប់មួយ</w:t>
      </w:r>
      <w:r>
        <w:rPr>
          <w:rFonts w:ascii="Times New Roman" w:hAnsi="Times New Roman" w:eastAsia="Times New Roman" w:cs="Times New Roman"/>
        </w:rPr>
        <w:t xml:space="preserve"> </w:t>
      </w:r>
      <w:r>
        <w:rPr>
          <w:rFonts w:ascii="Leelawadee UI" w:hAnsi="Leelawadee UI" w:eastAsia="Leelawadee UI" w:cs="Leelawadee UI"/>
        </w:rPr>
        <w:t>និងទីដប់ពីរ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គឺតំណាងឱ្យសង្គ្រាមព្រំដែនដែលកំពុងកើតឡើងសព្វថ្ងៃនៅអ៊ុយក្រែន។</w:t>
      </w:r>
      <w:r>
        <w:rPr>
          <w:rFonts w:ascii="Times New Roman" w:hAnsi="Times New Roman" w:eastAsia="Times New Roman" w:cs="Times New Roman"/>
        </w:rPr>
        <w:t xml:space="preserve"> </w:t>
      </w:r>
      <w:r>
        <w:rPr>
          <w:rFonts w:ascii="Leelawadee UI" w:hAnsi="Leelawadee UI" w:eastAsia="Leelawadee UI" w:cs="Leelawadee UI"/>
        </w:rPr>
        <w:t>សង្គ្រាមបុរាណនោះជាសង្គ្រាមក្តៅ</w:t>
      </w:r>
      <w:r>
        <w:rPr>
          <w:rFonts w:ascii="Times New Roman" w:hAnsi="Times New Roman" w:eastAsia="Times New Roman" w:cs="Times New Roman"/>
        </w:rPr>
        <w:t xml:space="preserve">; </w:t>
      </w:r>
      <w:r>
        <w:rPr>
          <w:rFonts w:ascii="Leelawadee UI" w:hAnsi="Leelawadee UI" w:eastAsia="Leelawadee UI" w:cs="Leelawadee UI"/>
        </w:rPr>
        <w:t>សង្គ្រាមទីពីរនេះជាសង្គ្រាមប្រូកស៊ីទីពីរ</w:t>
      </w:r>
      <w:r>
        <w:rPr>
          <w:rFonts w:ascii="Times New Roman" w:hAnsi="Times New Roman" w:eastAsia="Times New Roman" w:cs="Times New Roman"/>
        </w:rPr>
        <w:t xml:space="preserve"> </w:t>
      </w:r>
      <w:r>
        <w:rPr>
          <w:rFonts w:ascii="Leelawadee UI" w:hAnsi="Leelawadee UI" w:eastAsia="Leelawadee UI" w:cs="Leelawadee UI"/>
        </w:rPr>
        <w:t>ដោយកងទ័ពប្រូកស៊ីដែលពាក់ព័ន្ធកំពុងចូលរួមក្នុងការប្រឈមមុខដាក់ជីវិតគ្នា។</w:t>
      </w:r>
      <w:r>
        <w:rPr>
          <w:rFonts w:ascii="Times New Roman" w:hAnsi="Times New Roman" w:eastAsia="Times New Roman" w:cs="Times New Roman"/>
        </w:rPr>
        <w:t xml:space="preserve"> </w:t>
      </w:r>
      <w:r>
        <w:rPr>
          <w:rFonts w:ascii="Leelawadee UI" w:hAnsi="Leelawadee UI" w:eastAsia="Leelawadee UI" w:cs="Leelawadee UI"/>
        </w:rPr>
        <w:t>រ៉ាហ្វ៊ីយ៉ាបញ្ជាក់ថា</w:t>
      </w:r>
      <w:r>
        <w:rPr>
          <w:rFonts w:ascii="Times New Roman" w:hAnsi="Times New Roman" w:eastAsia="Times New Roman" w:cs="Times New Roman"/>
        </w:rPr>
        <w:t xml:space="preserve"> </w:t>
      </w:r>
      <w:r>
        <w:rPr>
          <w:rFonts w:ascii="Leelawadee UI" w:hAnsi="Leelawadee UI" w:eastAsia="Leelawadee UI" w:cs="Leelawadee UI"/>
        </w:rPr>
        <w:t>សង្គ្រាមព្រំដែននោះកើតមានរវាងស្តេចខាងជើង</w:t>
      </w:r>
      <w:r>
        <w:rPr>
          <w:rFonts w:ascii="Times New Roman" w:hAnsi="Times New Roman" w:eastAsia="Times New Roman" w:cs="Times New Roman"/>
        </w:rPr>
        <w:t xml:space="preserve"> </w:t>
      </w:r>
      <w:r>
        <w:rPr>
          <w:rFonts w:ascii="Leelawadee UI" w:hAnsi="Leelawadee UI" w:eastAsia="Leelawadee UI" w:cs="Leelawadee UI"/>
        </w:rPr>
        <w:t>និងស្តេចខាងត្បូង</w:t>
      </w:r>
      <w:r>
        <w:rPr>
          <w:rFonts w:ascii="Times New Roman" w:hAnsi="Times New Roman" w:eastAsia="Times New Roman" w:cs="Times New Roman"/>
        </w:rPr>
        <w:t xml:space="preserve"> </w:t>
      </w:r>
      <w:r>
        <w:rPr>
          <w:rFonts w:ascii="Leelawadee UI" w:hAnsi="Leelawadee UI" w:eastAsia="Leelawadee UI" w:cs="Leelawadee UI"/>
        </w:rPr>
        <w:t>ប៉ុន្តែទំនាយបង្រៀនថា</w:t>
      </w:r>
      <w:r>
        <w:rPr>
          <w:rFonts w:ascii="Times New Roman" w:hAnsi="Times New Roman" w:eastAsia="Times New Roman" w:cs="Times New Roman"/>
        </w:rPr>
        <w:t xml:space="preserve"> </w:t>
      </w:r>
      <w:r>
        <w:rPr>
          <w:rFonts w:ascii="Leelawadee UI" w:hAnsi="Leelawadee UI" w:eastAsia="Leelawadee UI" w:cs="Leelawadee UI"/>
        </w:rPr>
        <w:t>រហូតដល់ច្បាប់ថ្ងៃអាទិត្យដែលនឹងមកដល់ឆាប់ៗនេះ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ស្រីពេស្យានៃទីរ៉ុសត្រូវបានបំភ្លេច</w:t>
      </w:r>
      <w:r>
        <w:rPr>
          <w:rFonts w:ascii="Times New Roman" w:hAnsi="Times New Roman" w:eastAsia="Times New Roman" w:cs="Times New Roman"/>
        </w:rPr>
        <w:t xml:space="preserve"> </w:t>
      </w:r>
      <w:r>
        <w:rPr>
          <w:rFonts w:ascii="Leelawadee UI" w:hAnsi="Leelawadee UI" w:eastAsia="Leelawadee UI" w:cs="Leelawadee UI"/>
        </w:rPr>
        <w:t>យេសេបិលស្ថិតនៅសាម៉ារី</w:t>
      </w:r>
      <w:r>
        <w:rPr>
          <w:rFonts w:ascii="Times New Roman" w:hAnsi="Times New Roman" w:eastAsia="Times New Roman" w:cs="Times New Roman"/>
        </w:rPr>
        <w:t xml:space="preserve"> </w:t>
      </w:r>
      <w:r>
        <w:rPr>
          <w:rFonts w:ascii="Leelawadee UI" w:hAnsi="Leelawadee UI" w:eastAsia="Leelawadee UI" w:cs="Leelawadee UI"/>
        </w:rPr>
        <w:t>ហើយហេរ៉ូឌាសមិនបានចូលរួមពិធីខួបកំណើតរបស់ហេរ៉ូឌទេ។</w:t>
      </w:r>
      <w:r>
        <w:rPr>
          <w:rFonts w:ascii="Times New Roman" w:hAnsi="Times New Roman" w:eastAsia="Times New Roman" w:cs="Times New Roman"/>
        </w:rPr>
        <w:t xml:space="preserve"> </w:t>
      </w:r>
      <w:r>
        <w:rPr>
          <w:rFonts w:ascii="Leelawadee UI" w:hAnsi="Leelawadee UI" w:eastAsia="Leelawadee UI" w:cs="Leelawadee UI"/>
        </w:rPr>
        <w:t>សាក្សីទាំងបីនោះ</w:t>
      </w:r>
      <w:r>
        <w:rPr>
          <w:rFonts w:ascii="Times New Roman" w:hAnsi="Times New Roman" w:eastAsia="Times New Roman" w:cs="Times New Roman"/>
        </w:rPr>
        <w:t xml:space="preserve"> </w:t>
      </w:r>
      <w:r>
        <w:rPr>
          <w:rFonts w:ascii="Leelawadee UI" w:hAnsi="Leelawadee UI" w:eastAsia="Leelawadee UI" w:cs="Leelawadee UI"/>
        </w:rPr>
        <w:t>ស្តីអំពីតួនាទីរបស់ស្តេចខាងជើងក្នុងប្រវត្តិសាស្ត្របច្ចុប្បន្ននេះ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នាងស្ថិតនៅពីក្រោយឆាក</w:t>
      </w:r>
      <w:r>
        <w:rPr>
          <w:rFonts w:ascii="Times New Roman" w:hAnsi="Times New Roman" w:eastAsia="Times New Roman" w:cs="Times New Roman"/>
        </w:rPr>
        <w:t xml:space="preserve"> </w:t>
      </w:r>
      <w:r>
        <w:rPr>
          <w:rFonts w:ascii="Leelawadee UI" w:hAnsi="Leelawadee UI" w:eastAsia="Leelawadee UI" w:cs="Leelawadee UI"/>
        </w:rPr>
        <w:t>ដើម្បីទាញខ្សែបញ្ជា។</w:t>
      </w:r>
      <w:r>
        <w:rPr>
          <w:rFonts w:ascii="Times New Roman" w:hAnsi="Times New Roman" w:eastAsia="Times New Roman" w:cs="Times New Roman"/>
        </w:rPr>
        <w:t xml:space="preserve"> </w:t>
      </w:r>
      <w:r>
        <w:rPr>
          <w:rFonts w:ascii="Leelawadee UI" w:hAnsi="Leelawadee UI" w:eastAsia="Leelawadee UI" w:cs="Leelawadee UI"/>
        </w:rPr>
        <w:t>សង្គ្រាមក្តៅ</w:t>
      </w:r>
      <w:r>
        <w:rPr>
          <w:rFonts w:ascii="Times New Roman" w:hAnsi="Times New Roman" w:eastAsia="Times New Roman" w:cs="Times New Roman"/>
        </w:rPr>
        <w:t xml:space="preserve"> </w:t>
      </w:r>
      <w:r>
        <w:rPr>
          <w:rFonts w:ascii="Leelawadee UI" w:hAnsi="Leelawadee UI" w:eastAsia="Leelawadee UI" w:cs="Leelawadee UI"/>
        </w:rPr>
        <w:t>សង្គ្រាមប្រូកស៊ី</w:t>
      </w:r>
      <w:r>
        <w:rPr>
          <w:rFonts w:ascii="Times New Roman" w:hAnsi="Times New Roman" w:eastAsia="Times New Roman" w:cs="Times New Roman"/>
        </w:rPr>
        <w:t xml:space="preserve"> </w:t>
      </w:r>
      <w:r>
        <w:rPr>
          <w:rFonts w:ascii="Leelawadee UI" w:hAnsi="Leelawadee UI" w:eastAsia="Leelawadee UI" w:cs="Leelawadee UI"/>
        </w:rPr>
        <w:t>និងសង្គ្រាមត្រជាក់</w:t>
      </w:r>
      <w:r>
        <w:rPr>
          <w:rFonts w:ascii="Times New Roman" w:hAnsi="Times New Roman" w:eastAsia="Times New Roman" w:cs="Times New Roman"/>
        </w:rPr>
        <w:t xml:space="preserve"> </w:t>
      </w:r>
      <w:r>
        <w:rPr>
          <w:rFonts w:ascii="Leelawadee UI" w:hAnsi="Leelawadee UI" w:eastAsia="Leelawadee UI" w:cs="Leelawadee UI"/>
        </w:rPr>
        <w:t>ដែលកើតឡើងខណៈពេលដែលនាងត្រូវបានបំភ្លេច</w:t>
      </w:r>
      <w:r>
        <w:rPr>
          <w:rFonts w:ascii="Times New Roman" w:hAnsi="Times New Roman" w:eastAsia="Times New Roman" w:cs="Times New Roman"/>
        </w:rPr>
        <w:t xml:space="preserve"> </w:t>
      </w:r>
      <w:r>
        <w:rPr>
          <w:rFonts w:ascii="Leelawadee UI" w:hAnsi="Leelawadee UI" w:eastAsia="Leelawadee UI" w:cs="Leelawadee UI"/>
        </w:rPr>
        <w:t>នោះត្រូវបានអនុវត្តដោយកងទ័ពប្រូកស៊ីរបស់នាង។</w:t>
      </w:r>
    </w:p>
    <w:p>
      <w:pPr>
        <w:pStyle w:val="ArticleBody"/>
        <w:jc w:val="left"/>
      </w:pPr>
      <w:r>
        <w:rPr>
          <w:rFonts w:ascii="Times New Roman" w:hAnsi="Times New Roman" w:eastAsia="Times New Roman" w:cs="Times New Roman"/>
        </w:rPr>
        <w:t>Ruushshaan mootii kibbaa ti; yeroo ammaa immoo waraana daangaa irratti adeemsifamaa jiru keessatti hirmaachaa jirti; waraanni sunis addunyaawwanistota biyya Lixaa, addumaan Demokraatota fooyya’oo fi Ripabilikaanota RINO (maqaa qofaan Republican) Ameerikaa keessatti argaman irraa maallaqaan deeggaramaa jira. Yommuu Ameerikaan Daani’el boqonnaa kudha tokko, lakkoofsa afurtamaa keessatti akka loltoota bakka-bu’oota mootii kaabaa taatee fakkeeffamtu, amala raajii ishee lamaan humna waraanaa fi humna maallaqaa dha. Ameerikaan hojiiuma wal fakkaataa kan bara 1989 hojjettee ture Yukireen keessatti raawwachaa jirti; jechuunis, Ruushshaa irratti Paaphaasiif gargaaraa jirti; loltoonni bakka-bu’oota lafaa irratti Yukireen ittisaa jiranis hamma deggertoota Naazii guutamanii waan jiraniif, miidiyaaleen gurguddoon illee kana haalu hin danda’an. Roomaan amma loltoota bakka-bu’oota isuma isheen waraana hoo’aa jechuunis Waraana Addunyaa Lammaffaa keessatti, akkasumas bara 1989tti fayyadamte, Ruushshaa irratti waraanuuf deebitee fayyadamaa jirti. Kitaaba kana dubbisi: Hitler’s Pope, the Secret History of Pius XII.</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དེ་དང་འདྲ་བར།</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མ་འོངས་པའི་དུས་རབས་རྣམས་ཀྱི་ཆོས་ཚོགས་ཀྱི་ལོ་རྒྱུས་དགའ་ལྡན་ཡོ་ཧ་ནན་ལ་ཕྱེ་བར་འགྱུར་བའི་སྐབས།</w:t>
      </w:r>
      <w:r>
        <w:rPr>
          <w:rFonts w:ascii="Times New Roman" w:hAnsi="Times New Roman" w:eastAsia="Times New Roman" w:cs="Times New Roman"/>
        </w:rPr>
        <w:t xml:space="preserve"> </w:t>
      </w:r>
      <w:r>
        <w:rPr>
          <w:rFonts w:ascii="Microsoft Himalaya" w:hAnsi="Microsoft Himalaya" w:eastAsia="Microsoft Himalaya" w:cs="Microsoft Himalaya"/>
        </w:rPr>
        <w:t>ཁོང་ལ་སྐྱབས་མགོན་གྱིས་རང་གི་མི་སྡེར་བཅངས་པའི་དགོངས་པ་དང་ཐུགས་སྐྱོང་ཡོད་པའི་ངེས་བརྟན་ཞིག་གནང་བ་ནི།</w:t>
      </w:r>
      <w:r>
        <w:rPr>
          <w:rFonts w:ascii="Times New Roman" w:hAnsi="Times New Roman" w:eastAsia="Times New Roman" w:cs="Times New Roman"/>
        </w:rPr>
        <w:t xml:space="preserve"> ‘</w:t>
      </w:r>
      <w:r>
        <w:rPr>
          <w:rFonts w:ascii="Microsoft Himalaya" w:hAnsi="Microsoft Himalaya" w:eastAsia="Microsoft Himalaya" w:cs="Microsoft Himalaya"/>
        </w:rPr>
        <w:t>མིའི་བུ་དང་འདྲ་བ་གཅིག</w:t>
      </w:r>
      <w:r>
        <w:rPr>
          <w:rFonts w:ascii="Times New Roman" w:hAnsi="Times New Roman" w:eastAsia="Times New Roman" w:cs="Times New Roman"/>
        </w:rPr>
        <w:t xml:space="preserve">’ </w:t>
      </w:r>
      <w:r>
        <w:rPr>
          <w:rFonts w:ascii="Microsoft Himalaya" w:hAnsi="Microsoft Himalaya" w:eastAsia="Microsoft Himalaya" w:cs="Microsoft Himalaya"/>
        </w:rPr>
        <w:t>ཁོང་ལ་མངོན་པར་བྱས་པ་དེས་ཡིན།</w:t>
      </w:r>
      <w:r>
        <w:rPr>
          <w:rFonts w:ascii="Times New Roman" w:hAnsi="Times New Roman" w:eastAsia="Times New Roman" w:cs="Times New Roman"/>
        </w:rPr>
        <w:t xml:space="preserve"> </w:t>
      </w:r>
      <w:r>
        <w:rPr>
          <w:rFonts w:ascii="Microsoft Himalaya" w:hAnsi="Microsoft Himalaya" w:eastAsia="Microsoft Himalaya" w:cs="Microsoft Himalaya"/>
        </w:rPr>
        <w:t>ཁོང་ནི་སྒྲོན་སྟེགས་རྣམས་ཀྱི་དབུས་སུ་ཕེབས་ཤིང་།</w:t>
      </w:r>
      <w:r>
        <w:rPr>
          <w:rFonts w:ascii="Times New Roman" w:hAnsi="Times New Roman" w:eastAsia="Times New Roman" w:cs="Times New Roman"/>
        </w:rPr>
        <w:t xml:space="preserve"> </w:t>
      </w:r>
      <w:r>
        <w:rPr>
          <w:rFonts w:ascii="Microsoft Himalaya" w:hAnsi="Microsoft Himalaya" w:eastAsia="Microsoft Himalaya" w:cs="Microsoft Himalaya"/>
        </w:rPr>
        <w:t>དེ་དག་གིས་ཆོས་ཚོགས་བདུན་མཚོན་པ་ཡིན།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ཡོ་ཧ་ནན་ལ་ཆོས་ཚོགས་ཀྱིས་ས་གཞིའི་དབང་ཤུགས་རྣམས་དང་བཅས་པའི་མཐའ་མའི་འཐབ་འཛིང་ཆེན་པོ་རྣམས་མཐོང་དུ་བཅུག་པའི་དུས་སུ།</w:t>
      </w:r>
      <w:r>
        <w:rPr>
          <w:rFonts w:ascii="Times New Roman" w:hAnsi="Times New Roman" w:eastAsia="Times New Roman" w:cs="Times New Roman"/>
        </w:rPr>
        <w:t xml:space="preserve"> </w:t>
      </w:r>
      <w:r>
        <w:rPr>
          <w:rFonts w:ascii="Microsoft Himalaya" w:hAnsi="Microsoft Himalaya" w:eastAsia="Microsoft Himalaya" w:cs="Microsoft Himalaya"/>
        </w:rPr>
        <w:t>དེ་དང་མཉམ་དུ་དད་ལྡན་རྣམས་ཀྱི་མཐའ་མའི་རྒྱལ་ཁ་དང་ཐར་པ་ཡང་མཐོང་བའི་གནང་བ་ཐོབ།</w:t>
      </w:r>
      <w:r>
        <w:rPr>
          <w:rFonts w:ascii="Times New Roman" w:hAnsi="Times New Roman" w:eastAsia="Times New Roman" w:cs="Times New Roman"/>
        </w:rPr>
        <w:t xml:space="preserve"> </w:t>
      </w:r>
      <w:r>
        <w:rPr>
          <w:rFonts w:ascii="Microsoft Himalaya" w:hAnsi="Microsoft Himalaya" w:eastAsia="Microsoft Himalaya" w:cs="Microsoft Himalaya"/>
        </w:rPr>
        <w:t>ཁོང་གིས་ཆོས་ཚོགས་དེ་གཅན་གཟན་དང་དེའི་གཟུགས་བརྙན་དང་ལྡན་པའི་འཆི་བའི་ཉེན་ཁར་གྱི་འཐབ་འཛིང་ནང་དུ་ཁྲིད་པ་མཐོང་།</w:t>
      </w:r>
      <w:r>
        <w:rPr>
          <w:rFonts w:ascii="Times New Roman" w:hAnsi="Times New Roman" w:eastAsia="Times New Roman" w:cs="Times New Roman"/>
        </w:rPr>
        <w:t xml:space="preserve"> </w:t>
      </w:r>
      <w:r>
        <w:rPr>
          <w:rFonts w:ascii="Microsoft Himalaya" w:hAnsi="Microsoft Himalaya" w:eastAsia="Microsoft Himalaya" w:cs="Microsoft Himalaya"/>
        </w:rPr>
        <w:t>དེ་གཅན་གཟན་དེའི་མཆོད་པ་ཡང་འཆི་བའི་ཉེས་ཆད་ཀྱིས་བཙན་བཀོད་བྱེད་པ་མཐོང་།</w:t>
      </w:r>
      <w:r>
        <w:rPr>
          <w:rFonts w:ascii="Times New Roman" w:hAnsi="Times New Roman" w:eastAsia="Times New Roman" w:cs="Times New Roman"/>
        </w:rPr>
        <w:t xml:space="preserve"> </w:t>
      </w:r>
      <w:r>
        <w:rPr>
          <w:rFonts w:ascii="Microsoft Himalaya" w:hAnsi="Microsoft Himalaya" w:eastAsia="Microsoft Himalaya" w:cs="Microsoft Himalaya"/>
        </w:rPr>
        <w:t>འོན་ཀྱང་འཐབ་མོའི་དུ་བ་དང་ཟང་ཟིང་ལས་ཕར་ལྟས་པས།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ཁོང་གིས་རྩི་ཨོན་རི་ལ་ལུག་ཕྲུག་དང་མཉམ་དུ་གནས་པའི་ཚོགས་པ་ཞིག་མཐོང་།</w:t>
      </w:r>
      <w:r>
        <w:rPr>
          <w:rFonts w:ascii="Times New Roman" w:hAnsi="Times New Roman" w:eastAsia="Times New Roman" w:cs="Times New Roman"/>
        </w:rPr>
        <w:t xml:space="preserve"> </w:t>
      </w:r>
      <w:r>
        <w:rPr>
          <w:rFonts w:ascii="Microsoft Himalaya" w:hAnsi="Microsoft Himalaya" w:eastAsia="Microsoft Himalaya" w:cs="Microsoft Himalaya"/>
        </w:rPr>
        <w:t>དེ་ཚོའི་དཔྲལ་བར་གཅན་གཟན་གྱི་རྟགས་ཀྱི་ཚབ་ཏུ་</w:t>
      </w:r>
      <w:r>
        <w:rPr>
          <w:rFonts w:ascii="Times New Roman" w:hAnsi="Times New Roman" w:eastAsia="Times New Roman" w:cs="Times New Roman"/>
        </w:rPr>
        <w:t xml:space="preserve"> ‘</w:t>
      </w:r>
      <w:r>
        <w:rPr>
          <w:rFonts w:ascii="Microsoft Himalaya" w:hAnsi="Microsoft Himalaya" w:eastAsia="Microsoft Himalaya" w:cs="Microsoft Himalaya"/>
        </w:rPr>
        <w:t>ཡབ་ཀྱི་མཚན་བྲིས་པ</w:t>
      </w:r>
      <w:r>
        <w:rPr>
          <w:rFonts w:ascii="Times New Roman" w:hAnsi="Times New Roman" w:eastAsia="Times New Roman" w:cs="Times New Roman"/>
        </w:rPr>
        <w:t xml:space="preserve">’ </w:t>
      </w:r>
      <w:r>
        <w:rPr>
          <w:rFonts w:ascii="Microsoft Himalaya" w:hAnsi="Microsoft Himalaya" w:eastAsia="Microsoft Himalaya" w:cs="Microsoft Himalaya"/>
        </w:rPr>
        <w:t>ཡོད།</w:t>
      </w:r>
      <w:r>
        <w:rPr>
          <w:rFonts w:ascii="Times New Roman" w:hAnsi="Times New Roman" w:eastAsia="Times New Roman" w:cs="Times New Roman"/>
        </w:rPr>
        <w:t xml:space="preserve"> </w:t>
      </w:r>
      <w:r>
        <w:rPr>
          <w:rFonts w:ascii="Microsoft Himalaya" w:hAnsi="Microsoft Himalaya" w:eastAsia="Microsoft Himalaya" w:cs="Microsoft Himalaya"/>
        </w:rPr>
        <w:t>ཡང་བསྐྱར།</w:t>
      </w:r>
      <w:r>
        <w:rPr>
          <w:rFonts w:ascii="Times New Roman" w:hAnsi="Times New Roman" w:eastAsia="Times New Roman" w:cs="Times New Roman"/>
        </w:rPr>
        <w:t xml:space="preserve"> </w:t>
      </w:r>
      <w:r>
        <w:rPr>
          <w:rFonts w:ascii="Microsoft Himalaya" w:hAnsi="Microsoft Himalaya" w:eastAsia="Microsoft Himalaya" w:cs="Microsoft Himalaya"/>
        </w:rPr>
        <w:t>ཁོང་གིས</w:t>
      </w:r>
      <w:r>
        <w:rPr>
          <w:rFonts w:ascii="Times New Roman" w:hAnsi="Times New Roman" w:eastAsia="Times New Roman" w:cs="Times New Roman"/>
        </w:rPr>
        <w:t xml:space="preserve"> ‘</w:t>
      </w:r>
      <w:r>
        <w:rPr>
          <w:rFonts w:ascii="Microsoft Himalaya" w:hAnsi="Microsoft Himalaya" w:eastAsia="Microsoft Himalaya" w:cs="Microsoft Himalaya"/>
        </w:rPr>
        <w:t>གཅན་གཟན་ལས་དང་།</w:t>
      </w:r>
      <w:r>
        <w:rPr>
          <w:rFonts w:ascii="Times New Roman" w:hAnsi="Times New Roman" w:eastAsia="Times New Roman" w:cs="Times New Roman"/>
        </w:rPr>
        <w:t xml:space="preserve"> </w:t>
      </w:r>
      <w:r>
        <w:rPr>
          <w:rFonts w:ascii="Microsoft Himalaya" w:hAnsi="Microsoft Himalaya" w:eastAsia="Microsoft Himalaya" w:cs="Microsoft Himalaya"/>
        </w:rPr>
        <w:t>དེའི་གཟུགས་བརྙན་ལས་དང་།</w:t>
      </w:r>
      <w:r>
        <w:rPr>
          <w:rFonts w:ascii="Times New Roman" w:hAnsi="Times New Roman" w:eastAsia="Times New Roman" w:cs="Times New Roman"/>
        </w:rPr>
        <w:t xml:space="preserve"> </w:t>
      </w:r>
      <w:r>
        <w:rPr>
          <w:rFonts w:ascii="Microsoft Himalaya" w:hAnsi="Microsoft Himalaya" w:eastAsia="Microsoft Himalaya" w:cs="Microsoft Himalaya"/>
        </w:rPr>
        <w:t>དེའི་རྟགས་ལས་དང་།</w:t>
      </w:r>
      <w:r>
        <w:rPr>
          <w:rFonts w:ascii="Times New Roman" w:hAnsi="Times New Roman" w:eastAsia="Times New Roman" w:cs="Times New Roman"/>
        </w:rPr>
        <w:t xml:space="preserve"> </w:t>
      </w:r>
      <w:r>
        <w:rPr>
          <w:rFonts w:ascii="Microsoft Himalaya" w:hAnsi="Microsoft Himalaya" w:eastAsia="Microsoft Himalaya" w:cs="Microsoft Himalaya"/>
        </w:rPr>
        <w:t>དེའི་མཚན་གྱི་ཨང་གྲངས་ལས་རྒྱལ་ཁ་ཐོབ་པ་རྣམས</w:t>
      </w:r>
      <w:r>
        <w:rPr>
          <w:rFonts w:ascii="Times New Roman" w:hAnsi="Times New Roman" w:eastAsia="Times New Roman" w:cs="Times New Roman"/>
        </w:rPr>
        <w:t xml:space="preserve">’ </w:t>
      </w:r>
      <w:r>
        <w:rPr>
          <w:rFonts w:ascii="Microsoft Himalaya" w:hAnsi="Microsoft Himalaya" w:eastAsia="Microsoft Himalaya" w:cs="Microsoft Himalaya"/>
        </w:rPr>
        <w:t>ཤེལ་གྱི་མཚོའི་སྟེང་དུ་ལངས་ཏེ།</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དཀོན་མཆོག་གི་རྒྱུད་མངས་ཐོགས་ནས།</w:t>
      </w:r>
      <w:r>
        <w:rPr>
          <w:rFonts w:ascii="Times New Roman" w:hAnsi="Times New Roman" w:eastAsia="Times New Roman" w:cs="Times New Roman"/>
        </w:rPr>
        <w:t xml:space="preserve"> </w:t>
      </w:r>
      <w:r>
        <w:rPr>
          <w:rFonts w:ascii="Microsoft Himalaya" w:hAnsi="Microsoft Himalaya" w:eastAsia="Microsoft Himalaya" w:cs="Microsoft Himalaya"/>
        </w:rPr>
        <w:t>མོ་ཤེ་དང་ལུག་ཕྲུག་གི་གླུ་ལེན་པ་ཡང་མཐོང་།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«ئەو وانەیەکان بۆ سوودی ئێمەین. پێویستە باوەڕمان بە خودا پشت‌بەستنەوەی تێدا بکرێت، چونکە کاتێک لە پێشمانەوەیە کە گیانی مرۆڤان تاقی دەکاتەوە. مەسیح، لەسەر شاخی زەیتون، ئەو سزایە ترسناکانی دووبارە گوتەوە کە پێش هاتنی دووەمی ئەو دەهاتن: “گوێتان لە جەنگەکان و هەواڵی جەنگەکان دەبێت.” “نەتەوەیەک دژ بە نەتەوەیەک هەڵدەستێت، و شانشینێک دژ بە شانشینێک؛ و برسێتی و دەردەکانی کوشندە و بوومەلەرزە لە شوێنە جیاوازەکاندا دەبن. هەموو ئەمانە سەرەتای دەردەکانن.” لەگەڵ ئەوەی ئەم پێشبینییانە بە شێوەیەکی بەشی هاتنە دی لە کاتی وێرانبوونی ئۆرشەلیم، بەڵام بە شێوەیەکی ڕاستەوخۆتر پەیوەندییان بە ڕۆژانی دواوە هەیە.»</w:t>
      </w:r>
    </w:p>
    <w:p>
      <w:pPr>
        <w:pStyle w:val="ArticleScripture"/>
        <w:jc w:val="left"/>
      </w:pPr>
      <w:r>
        <w:rPr>
          <w:rFonts w:ascii="Times New Roman" w:hAnsi="Times New Roman" w:eastAsia="Times New Roman" w:cs="Times New Roman"/>
        </w:rPr>
        <w:t>«Мы стоим на пороге великих и торжественных событий. Пророчество быстро исполняется. Господь у дверей. Вскоре перед нами откроется период, исполненный всепоглощающего значения для всех живущих. Споры прошлого будут возобновлены; возникнут новые противоречия. Сцены, которые должны разыграться в нашем мире, ещё даже не снились людям. Сатана действует через человеческие орудия. Те, кто прилагает усилия, чтобы изменить Конституцию и добиться закона, предписывающего соблюдение воскресенья, мало сознают, каков будет результат. Кризис уже надвигается на нас.»</w:t>
      </w:r>
    </w:p>
    <w:p>
      <w:pPr>
        <w:pStyle w:val="ArticleScripture"/>
        <w:jc w:val="left"/>
      </w:pPr>
      <w:r>
        <w:rPr>
          <w:rFonts w:ascii="Times New Roman" w:hAnsi="Times New Roman" w:eastAsia="Times New Roman" w:cs="Times New Roman"/>
        </w:rPr>
        <w:t>« Mais, dans cette grande crise, les serviteurs de Dieu ne doivent pas se fier à eux-mêmes. Dans les visions données à Ésaïe, à Ézéchiel et à Jean, nous voyons combien étroit est le lien entre le ciel et les événements qui se déroulent sur la terre, et combien grande est la sollicitude de Dieu pour ceux qui Lui sont fidèles. Le monde n’est pas sans souverain. Le déroulement des événements à venir est entre les mains du Seigneur. La Majesté du ciel tient sous sa propre garde la destinée des nations, aussi bien que les intérêts de son Église. »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soixante-treize</dc:title>
  <dc:subject>Les Ombres papales : dévoiler l’influence et les intentions derrière « le pape de Hitler »</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