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soixante-quatorze</w:t>
      </w:r>
    </w:p>
    <w:p>
      <w:pPr>
        <w:pStyle w:val="ArticleSubtitle"/>
        <w:jc w:val="left"/>
      </w:pPr>
      <w:r>
        <w:rPr>
          <w:rFonts w:ascii="Arial" w:hAnsi="Arial" w:eastAsia="Arial" w:cs="Arial"/>
        </w:rPr>
        <w:t>Aperçus prophétiques et révélations divines : comprendre la vision de Daniel et ses implications pour les derniers jours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À mesure que nous abordons la troisième guerre par procuration, représentée aux versets treize à quinze, nous nous rappellerons ce qui a conduit jusqu’à ces versets. Au chapitre dix, Daniel reçoit sa vision finale, et, ce faisant, il est présenté comme comprenant à la fois les visions prophétiques internes et externes. Le mot hébreu « dabar », qui signifie « parole », est traduit par « chose ». Au chapitre neuf, lorsque Gabriel vint faire comprendre à Daniel la vision des deux mille trois cents jours, le mot hébreu « dabar » fut traduit par « affaire ».</w:t>
      </w:r>
    </w:p>
    <w:p>
      <w:pPr>
        <w:pStyle w:val="ArticleScripture"/>
        <w:jc w:val="left"/>
      </w:pPr>
      <w:r>
        <w:rPr>
          <w:rFonts w:ascii="Times New Roman" w:hAnsi="Times New Roman" w:eastAsia="Times New Roman" w:cs="Times New Roman"/>
        </w:rPr>
        <w:t>Да, докато още говорех в молитва, мъжът Гавриил, когото бях видял във видението отначало, понесен в бърз полет, се допря до мене около времето на вечерната жертва. И ме настави, говори с мене и рече: Данииле, сега излязох, за да ти дам разумение и разбиране. В началото на твоите молби излезе повелението, и аз дойдох, за да ти възвестя; защото си много възлюбен; затова вникни в думата и разбери видението. Данаил 9:21–23.</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“biyn”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“dabar”,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“mareh”,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“mareh”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“dabar”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“mareh”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Trong chương mười của Đa-ni-ên, lẽ thật đầu tiên được bày tỏ cho người nghiên cứu lời tiên tri là Đa-ni-ên tượng trưng cho dân sự của Đức Chúa Trời trong những ngày sau rốt, là những người hiểu cả các đường lối tiên tri bên trong lẫn bên ngoài.</w:t>
      </w:r>
    </w:p>
    <w:p>
      <w:pPr>
        <w:pStyle w:val="ArticleScripture"/>
        <w:jc w:val="left"/>
      </w:pPr>
      <w:r>
        <w:rPr>
          <w:rFonts w:ascii="Times New Roman" w:hAnsi="Times New Roman" w:eastAsia="Times New Roman" w:cs="Times New Roman"/>
        </w:rPr>
        <w:t>In het derde jaar van Kores, de koning van Perzië, werd aan Daniël, die Beltsassar genoemd werd, een woord geopenbaard; en dat woord was waarheid, maar de vastgestelde tijd was lang; en hij begreep het woord en had inzicht in het gezicht. Daniël 10:1.</w:t>
      </w:r>
    </w:p>
    <w:p>
      <w:pPr>
        <w:pStyle w:val="ArticleBody"/>
        <w:jc w:val="left"/>
      </w:pPr>
      <w:r>
        <w:rPr>
          <w:rFonts w:ascii="Times New Roman" w:hAnsi="Times New Roman" w:eastAsia="Times New Roman" w:cs="Times New Roman"/>
        </w:rPr>
        <w:t>“</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हिब्रू</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दाबार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w:t>
      </w:r>
      <w:r>
        <w:rPr>
          <w:rFonts w:ascii="Nirmala UI" w:hAnsi="Nirmala UI" w:eastAsia="Nirmala UI" w:cs="Nirmala UI"/>
        </w:rPr>
        <w:t>मारेह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सड़क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सड़क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कहलाता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Во десятой главе Даниил преображается в образ Христа и троекратно получает прикосновение прежде, нежели Гавриил истолкует видение, которое Даниил увидел. Это видение произвело разделение на два рода поклоняющихся. Вечное Евангелие всегда производит два рода поклоняющихся. Даниил представлял тот род поклоняющихся, который представлен как сто сорок четыре тысячи, в противоположность тому роду, который в страхе бежал от видения.</w:t>
      </w:r>
    </w:p>
    <w:p>
      <w:pPr>
        <w:pStyle w:val="ArticleBody"/>
        <w:jc w:val="left"/>
      </w:pPr>
      <w:r>
        <w:rPr>
          <w:rFonts w:ascii="Times New Roman" w:hAnsi="Times New Roman" w:eastAsia="Times New Roman" w:cs="Times New Roman"/>
        </w:rPr>
        <w:t>Avant le chapitre dix, Gabriel vint à Daniel à trois reprises pour interpréter une vision. Il interpréta les visions des chapitres sept et huit, qui illustraient les royaumes de la prophétie biblique tant dans leur manifestation politique (chapitre sept) que dans leur manifestation religieuse (chapitre huit). Puis, au chapitre neuf, Gabriel interpréta la prophétie des deux mille trois cents ans. Gabriel arrive au chapitre dix pour achever l’interprétation laissée incomplète au chapitre neuf et pour fournir à Daniel l’interprétation de la vision qui produisit les deux catégories d’adorateurs. Gabriel donne d’abord à Daniel un aperçu général de la vision au verset quatorze.</w:t>
      </w:r>
    </w:p>
    <w:p>
      <w:pPr>
        <w:pStyle w:val="ArticleScripture"/>
        <w:jc w:val="left"/>
      </w:pPr>
      <w:r>
        <w:rPr>
          <w:rFonts w:ascii="Times New Roman" w:hAnsi="Times New Roman" w:eastAsia="Times New Roman" w:cs="Times New Roman"/>
        </w:rPr>
        <w:t>Fordi nu er jeg kommet for at lade dig forstå, hvad der skal tilstøde dit folk i de sidste dage; thi synet gælder endnu mange dage. Daniel 10:14.</w:t>
      </w:r>
    </w:p>
    <w:p>
      <w:pPr>
        <w:pStyle w:val="ArticleBody"/>
        <w:jc w:val="left"/>
      </w:pPr>
      <w:r>
        <w:rPr>
          <w:rFonts w:ascii="Times New Roman" w:hAnsi="Times New Roman" w:eastAsia="Times New Roman" w:cs="Times New Roman"/>
        </w:rPr>
        <w:t>Ko ﬁeɖe Kristo ŋu, si hea subɔlawo ƒe hatsotso eve va, la, etsɔ nu si ava Mawu ƒe amewo dzi le ŋkekeaƒe mamlɛtɔwo me. Taɖododo si le taɖa enyi kple atadɔwo me la nye ame ŋutinya si le Bible ƒe nyagblɔɖilaƒe fiafiao ƒe fifi kple wɔnɔnɔ me, abe alẽsiawo kple Kɔkɔeƒe ƒe lãwo siwo wowɔ nɔnɔmetata na wo la ene. Taɖododo si le taɖa asiekɛ me la nye mawuɖeɖe le nyagblɔɖilaƒe ɣeyiɣi vovovowo ŋu siwo le ƒe nyagblɔɖilaƒe ƒe atafɔli alafa eve kple alafa etɔ me. Mɔ aɖe nu, Kristo si wokɔe ɖe dzi le taɖa ewo me ƒe ko ﬁeɖeɖe la etsɔ nu si ava Mawu ƒe amewo dzi le ŋkekeaƒe mamlɛtɔwo me. Hafi Gabriel aɖo ŋutinya ƒe taɖodzinu fafɛa gɔme, si nye Kristo si wokɔe ɖe dzi ƒe ko ﬁeɖeɖe la ƒe taɖododo, la, eɖo ŋku na Daniel be yele eme xoxo be yeɖe fia Daniel nu si taɖododo la nɔ tsɔ ge ɖe.</w:t>
      </w:r>
    </w:p>
    <w:p>
      <w:pPr>
        <w:pStyle w:val="ArticleScripture"/>
        <w:jc w:val="left"/>
      </w:pPr>
      <w:r>
        <w:rPr>
          <w:rFonts w:ascii="Times New Roman" w:hAnsi="Times New Roman" w:eastAsia="Times New Roman" w:cs="Times New Roman"/>
        </w:rPr>
        <w:t>دا هغه وفرمايل: ايا ته پوهېږې چې زه ولې تاته راغلی يم؟ او اوس به بېرته لاړ شم چې د فارس له شهزاده سره جګړه وکړم؛ او کله چې زه ووځم، ګوره، د يونان شهزاده به راشي. Daniel 10:20.</w:t>
      </w:r>
    </w:p>
    <w:p>
      <w:pPr>
        <w:pStyle w:val="ArticleBody"/>
        <w:jc w:val="left"/>
      </w:pPr>
      <w:r>
        <w:rPr>
          <w:rFonts w:ascii="Times New Roman" w:hAnsi="Times New Roman" w:eastAsia="Times New Roman" w:cs="Times New Roman"/>
        </w:rPr>
        <w:t>Gabriel rappelle à Daniel qu’il lui avait dit, au verset quatorze, qu’il était venu pour lui faire comprendre ce qui arrivera au peuple de Dieu dans les derniers jours, et il s’attendait à ce que Daniel situe l’exposé suivant de l’histoire prophétique dans ce contexte. Daniel recherchait une compréhension précise dès le premier jour où il avait commencé à s’affliger.</w:t>
      </w:r>
    </w:p>
    <w:p>
      <w:pPr>
        <w:pStyle w:val="ArticleScripture"/>
        <w:jc w:val="left"/>
      </w:pPr>
      <w:r>
        <w:rPr>
          <w:rFonts w:ascii="Leelawadee UI" w:hAnsi="Leelawadee UI" w:eastAsia="Leelawadee UI" w:cs="Leelawadee UI"/>
        </w:rPr>
        <w:t>แล้วท่านกล่าวแก่ข้าพเจ้าว่า</w:t>
      </w:r>
      <w:r>
        <w:rPr>
          <w:rFonts w:ascii="Times New Roman" w:hAnsi="Times New Roman" w:eastAsia="Times New Roman" w:cs="Times New Roman"/>
        </w:rPr>
        <w:t xml:space="preserve"> </w:t>
      </w:r>
      <w:r>
        <w:rPr>
          <w:rFonts w:ascii="Leelawadee UI" w:hAnsi="Leelawadee UI" w:eastAsia="Leelawadee UI" w:cs="Leelawadee UI"/>
        </w:rPr>
        <w:t>อย่ากลัวเลย</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w:t>
      </w:r>
      <w:r>
        <w:rPr>
          <w:rFonts w:ascii="Leelawadee UI" w:hAnsi="Leelawadee UI" w:eastAsia="Leelawadee UI" w:cs="Leelawadee UI"/>
        </w:rPr>
        <w:t>เพราะตั้งแต่วันแรกที่ท่านได้ตั้งใจจะเข้าใจ</w:t>
      </w:r>
      <w:r>
        <w:rPr>
          <w:rFonts w:ascii="Times New Roman" w:hAnsi="Times New Roman" w:eastAsia="Times New Roman" w:cs="Times New Roman"/>
        </w:rPr>
        <w:t xml:space="preserve"> </w:t>
      </w:r>
      <w:r>
        <w:rPr>
          <w:rFonts w:ascii="Leelawadee UI" w:hAnsi="Leelawadee UI" w:eastAsia="Leelawadee UI" w:cs="Leelawadee UI"/>
        </w:rPr>
        <w:t>และถ่อมตัวลงต่อพระพักตร์พระเจ้าของท่าน</w:t>
      </w:r>
      <w:r>
        <w:rPr>
          <w:rFonts w:ascii="Times New Roman" w:hAnsi="Times New Roman" w:eastAsia="Times New Roman" w:cs="Times New Roman"/>
        </w:rPr>
        <w:t xml:space="preserve"> </w:t>
      </w:r>
      <w:r>
        <w:rPr>
          <w:rFonts w:ascii="Leelawadee UI" w:hAnsi="Leelawadee UI" w:eastAsia="Leelawadee UI" w:cs="Leelawadee UI"/>
        </w:rPr>
        <w:t>ถ้อยคำของท่านก็ได้รับการสดับแล้ว</w:t>
      </w:r>
      <w:r>
        <w:rPr>
          <w:rFonts w:ascii="Times New Roman" w:hAnsi="Times New Roman" w:eastAsia="Times New Roman" w:cs="Times New Roman"/>
        </w:rPr>
        <w:t xml:space="preserve"> </w:t>
      </w:r>
      <w:r>
        <w:rPr>
          <w:rFonts w:ascii="Leelawadee UI" w:hAnsi="Leelawadee UI" w:eastAsia="Leelawadee UI" w:cs="Leelawadee UI"/>
        </w:rPr>
        <w:t>และข้าพเจ้ามาก็เพราะถ้อยคำของท่าน</w:t>
      </w:r>
      <w:r>
        <w:rPr>
          <w:rFonts w:ascii="Times New Roman" w:hAnsi="Times New Roman" w:eastAsia="Times New Roman" w:cs="Times New Roman"/>
        </w:rPr>
        <w:t xml:space="preserve"> </w:t>
      </w:r>
      <w:r>
        <w:rPr>
          <w:rFonts w:ascii="Leelawadee UI" w:hAnsi="Leelawadee UI" w:eastAsia="Leelawadee UI" w:cs="Leelawadee UI"/>
        </w:rPr>
        <w:t>แต่องค์ผู้ครอบครองแห่งราชอาณาจักรเปอร์เซียได้ขัดขวางข้าพเจ้าอยู่ยี่สิบเอ็ดวัน</w:t>
      </w:r>
      <w:r>
        <w:rPr>
          <w:rFonts w:ascii="Times New Roman" w:hAnsi="Times New Roman" w:eastAsia="Times New Roman" w:cs="Times New Roman"/>
        </w:rPr>
        <w:t xml:space="preserve"> </w:t>
      </w:r>
      <w:r>
        <w:rPr>
          <w:rFonts w:ascii="Leelawadee UI" w:hAnsi="Leelawadee UI" w:eastAsia="Leelawadee UI" w:cs="Leelawadee UI"/>
        </w:rPr>
        <w:t>แต่ดูเถิด</w:t>
      </w:r>
      <w:r>
        <w:rPr>
          <w:rFonts w:ascii="Times New Roman" w:hAnsi="Times New Roman" w:eastAsia="Times New Roman" w:cs="Times New Roman"/>
        </w:rPr>
        <w:t xml:space="preserve"> </w:t>
      </w:r>
      <w:r>
        <w:rPr>
          <w:rFonts w:ascii="Leelawadee UI" w:hAnsi="Leelawadee UI" w:eastAsia="Leelawadee UI" w:cs="Leelawadee UI"/>
        </w:rPr>
        <w:t>มีคาเอล</w:t>
      </w:r>
      <w:r>
        <w:rPr>
          <w:rFonts w:ascii="Times New Roman" w:hAnsi="Times New Roman" w:eastAsia="Times New Roman" w:cs="Times New Roman"/>
        </w:rPr>
        <w:t xml:space="preserve"> </w:t>
      </w:r>
      <w:r>
        <w:rPr>
          <w:rFonts w:ascii="Leelawadee UI" w:hAnsi="Leelawadee UI" w:eastAsia="Leelawadee UI" w:cs="Leelawadee UI"/>
        </w:rPr>
        <w:t>ผู้เป็นหนึ่งในบรรดาเจ้านายชั้นผู้ใหญ่</w:t>
      </w:r>
      <w:r>
        <w:rPr>
          <w:rFonts w:ascii="Times New Roman" w:hAnsi="Times New Roman" w:eastAsia="Times New Roman" w:cs="Times New Roman"/>
        </w:rPr>
        <w:t xml:space="preserve"> </w:t>
      </w:r>
      <w:r>
        <w:rPr>
          <w:rFonts w:ascii="Leelawadee UI" w:hAnsi="Leelawadee UI" w:eastAsia="Leelawadee UI" w:cs="Leelawadee UI"/>
        </w:rPr>
        <w:t>ได้มาช่วยข้าพเจ้า</w:t>
      </w:r>
      <w:r>
        <w:rPr>
          <w:rFonts w:ascii="Times New Roman" w:hAnsi="Times New Roman" w:eastAsia="Times New Roman" w:cs="Times New Roman"/>
        </w:rPr>
        <w:t xml:space="preserve"> </w:t>
      </w:r>
      <w:r>
        <w:rPr>
          <w:rFonts w:ascii="Leelawadee UI" w:hAnsi="Leelawadee UI" w:eastAsia="Leelawadee UI" w:cs="Leelawadee UI"/>
        </w:rPr>
        <w:t>และข้าพเจ้าก็คงอยู่ที่นั่นกับบรรดากษัตริย์แห่งเปอร์เซีย</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10:12, 13</w:t>
      </w:r>
    </w:p>
    <w:p>
      <w:pPr>
        <w:pStyle w:val="ArticleBody"/>
        <w:jc w:val="left"/>
      </w:pPr>
      <w:r>
        <w:rPr>
          <w:rFonts w:ascii="Times New Roman" w:hAnsi="Times New Roman" w:eastAsia="Times New Roman" w:cs="Times New Roman"/>
        </w:rPr>
        <w:t>Après les trois semaines de deuil de Daniel, celui-ci vit la vision du Christ, laquelle s’accordait prophétiquement avec la vision du Christ dont Jean, à Patmos, avait été témoin.</w:t>
      </w:r>
    </w:p>
    <w:p>
      <w:pPr>
        <w:pStyle w:val="ArticleScripture"/>
        <w:jc w:val="left"/>
      </w:pPr>
      <w:r>
        <w:rPr>
          <w:rFonts w:ascii="Times New Roman" w:hAnsi="Times New Roman" w:eastAsia="Times New Roman" w:cs="Times New Roman"/>
        </w:rPr>
        <w:t>“Nan yon pèsonaj ki pa t mwens pase Pitit Bondye a menm te parèt devan Danyèl. Deskripsyon sa a sanble ak sa Jan te bay lè Kris la te revele l devan li sou zile Patmòs. Kounye a, Seyè nou an vini ansanm ak yon lòt mesaje selès pou anseye Danyèl sa ki t ap rive nan dènye jou yo. Konesans sa a te bay Danyèl, epi li te ekri pa enspirasyon pou nou menm sou ki fen tan yo rive.</w:t>
      </w:r>
    </w:p>
    <w:p>
      <w:pPr>
        <w:pStyle w:val="ArticleScripture"/>
        <w:jc w:val="left"/>
      </w:pPr>
      <w:r>
        <w:rPr>
          <w:rFonts w:ascii="Times New Roman" w:hAnsi="Times New Roman" w:eastAsia="Times New Roman" w:cs="Times New Roman"/>
        </w:rPr>
        <w:t>„Die großen Wahrheiten, die durch den Erlöser der Welt offenbart wurden, sind für diejenigen bestimmt, die nach der Wahrheit suchen wie nach verborgenen Schätzen. Daniel war ein betagter Mann. Sein Leben war inmitten der Verlockungen eines heidnischen Hofes vergangen, sein Geist beschwert mit den Angelegenheiten eines großen Reiches; und doch wendet er sich von all diesem ab, um seine Seele vor Gott zu demütigen und Erkenntnis über die Ratschlüsse des Höchsten zu suchen. Und als Antwort auf seine Bitten wurde Licht aus den himmlischen Vorhöfen mitgeteilt für diejenigen, die in den letzten Tagen leben sollten. Mit welchem Ernst sollten wir also Gott suchen, damit er unser Verständnis öffne, um die Wahrheiten zu begreifen, die uns vom Himmel gebracht werden. “</w:t>
      </w:r>
    </w:p>
    <w:p>
      <w:pPr>
        <w:pStyle w:val="ArticleScripture"/>
        <w:jc w:val="left"/>
      </w:pPr>
      <w:r>
        <w:rPr>
          <w:rFonts w:ascii="Times New Roman" w:hAnsi="Times New Roman" w:eastAsia="Times New Roman" w:cs="Times New Roman"/>
        </w:rPr>
        <w:t>“‘Nami, ako lamang si Daniel, ang nakakita ng pangitain; sapagkat ang mga lalaking kasama ko ay hindi nakita ang pangitain; ngunit isang malaking panginginig ang sumapit sa kanila, anupa’t sila’y nagsitakas upang magkubli…. At walang lakas na natira sa akin; sapagkat ang aking kagandahan ay napalitan sa akin ng kabulukan, at wala akong natirang lakas.’ Ganyan ang magiging karanasan ng bawat isang tunay na pinabanal. Habang lalong luminaw ang kanilang pagkakilala sa kadakilaan, kaluwalhatian, at kasakdalan ni Cristo, lalo nilang malinaw na makikita ang sarili nilang kahinaan at di-kasakdalan. Wala silang hilig na mag-angkin ng isang likas na walang kasalanan; yaong inakala nilang matuwid at marangal sa kanilang sarili ay, kung ihahambing sa kadalisayan at kaluwalhatian ni Cristo, mahahayag na karapat-dapat lamang sa pagtanggi at may kabulukan. Kapag ang mga tao ay nahiwalay sa Diyos, kapag malabo ang kanilang pagkakilala kay Cristo, saka nila sinasabi, ‘Ako’y walang kasalanan; ako’y pinabanal.’”</w:t>
      </w:r>
    </w:p>
    <w:p>
      <w:pPr>
        <w:pStyle w:val="ArticleScripture"/>
        <w:jc w:val="left"/>
      </w:pP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後、</w:t>
      </w:r>
      <w:r>
        <w:rPr>
          <w:rFonts w:ascii="MS Gothic" w:hAnsi="MS Gothic" w:eastAsia="MS Gothic" w:cs="MS Gothic"/>
        </w:rPr>
        <w:t>ガブリエルがその</w:t>
      </w:r>
      <w:r>
        <w:rPr>
          <w:rFonts w:ascii="Microsoft YaHei" w:hAnsi="Microsoft YaHei" w:eastAsia="Microsoft YaHei" w:cs="Microsoft YaHei"/>
        </w:rPr>
        <w:t>預言者</w:t>
      </w:r>
      <w:r>
        <w:rPr>
          <w:rFonts w:ascii="MS Gothic" w:hAnsi="MS Gothic" w:eastAsia="MS Gothic" w:cs="MS Gothic"/>
        </w:rPr>
        <w:t>に</w:t>
      </w:r>
      <w:r>
        <w:rPr>
          <w:rFonts w:ascii="Microsoft YaHei" w:hAnsi="Microsoft YaHei" w:eastAsia="Microsoft YaHei" w:cs="Microsoft YaHei"/>
        </w:rPr>
        <w:t>現</w:t>
      </w:r>
      <w:r>
        <w:rPr>
          <w:rFonts w:ascii="MS Gothic" w:hAnsi="MS Gothic" w:eastAsia="MS Gothic" w:cs="MS Gothic"/>
        </w:rPr>
        <w:t>れて</w:t>
      </w:r>
      <w:r>
        <w:rPr>
          <w:rFonts w:ascii="Microsoft YaHei" w:hAnsi="Microsoft YaHei" w:eastAsia="Microsoft YaHei" w:cs="Microsoft YaHei"/>
        </w:rPr>
        <w:t>、彼</w:t>
      </w:r>
      <w:r>
        <w:rPr>
          <w:rFonts w:ascii="MS Gothic" w:hAnsi="MS Gothic" w:eastAsia="MS Gothic" w:cs="MS Gothic"/>
        </w:rPr>
        <w:t>にこう</w:t>
      </w:r>
      <w:r>
        <w:rPr>
          <w:rFonts w:ascii="Microsoft YaHei" w:hAnsi="Microsoft YaHei" w:eastAsia="Microsoft YaHei" w:cs="Microsoft YaHei"/>
        </w:rPr>
        <w:t>告</w:t>
      </w:r>
      <w:r>
        <w:rPr>
          <w:rFonts w:ascii="MS Gothic" w:hAnsi="MS Gothic" w:eastAsia="MS Gothic" w:cs="MS Gothic"/>
        </w:rPr>
        <w:t>げた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ダニエルよ</w:t>
      </w:r>
      <w:r>
        <w:rPr>
          <w:rFonts w:ascii="Microsoft YaHei" w:hAnsi="Microsoft YaHei" w:eastAsia="Microsoft YaHei" w:cs="Microsoft YaHei"/>
        </w:rPr>
        <w:t>、大</w:t>
      </w:r>
      <w:r>
        <w:rPr>
          <w:rFonts w:ascii="MS Gothic" w:hAnsi="MS Gothic" w:eastAsia="MS Gothic" w:cs="MS Gothic"/>
        </w:rPr>
        <w:t>いに</w:t>
      </w:r>
      <w:r>
        <w:rPr>
          <w:rFonts w:ascii="Microsoft YaHei" w:hAnsi="Microsoft YaHei" w:eastAsia="Microsoft YaHei" w:cs="Microsoft YaHei"/>
        </w:rPr>
        <w:t>愛</w:t>
      </w:r>
      <w:r>
        <w:rPr>
          <w:rFonts w:ascii="MS Gothic" w:hAnsi="MS Gothic" w:eastAsia="MS Gothic" w:cs="MS Gothic"/>
        </w:rPr>
        <w:t>されている</w:t>
      </w:r>
      <w:r>
        <w:rPr>
          <w:rFonts w:ascii="Microsoft YaHei" w:hAnsi="Microsoft YaHei" w:eastAsia="Microsoft YaHei" w:cs="Microsoft YaHei"/>
        </w:rPr>
        <w:t>者</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わたしがあなたに</w:t>
      </w:r>
      <w:r>
        <w:rPr>
          <w:rFonts w:ascii="Microsoft YaHei" w:hAnsi="Microsoft YaHei" w:eastAsia="Microsoft YaHei" w:cs="Microsoft YaHei"/>
        </w:rPr>
        <w:t>語</w:t>
      </w:r>
      <w:r>
        <w:rPr>
          <w:rFonts w:ascii="MS Gothic" w:hAnsi="MS Gothic" w:eastAsia="MS Gothic" w:cs="MS Gothic"/>
        </w:rPr>
        <w:t>る</w:t>
      </w:r>
      <w:r>
        <w:rPr>
          <w:rFonts w:ascii="Microsoft YaHei" w:hAnsi="Microsoft YaHei" w:eastAsia="Microsoft YaHei" w:cs="Microsoft YaHei"/>
        </w:rPr>
        <w:t>言葉</w:t>
      </w:r>
      <w:r>
        <w:rPr>
          <w:rFonts w:ascii="MS Gothic" w:hAnsi="MS Gothic" w:eastAsia="MS Gothic" w:cs="MS Gothic"/>
        </w:rPr>
        <w:t>を</w:t>
      </w:r>
      <w:r>
        <w:rPr>
          <w:rFonts w:ascii="Microsoft YaHei" w:hAnsi="Microsoft YaHei" w:eastAsia="Microsoft YaHei" w:cs="Microsoft YaHei"/>
        </w:rPr>
        <w:t>悟</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まっすぐに</w:t>
      </w:r>
      <w:r>
        <w:rPr>
          <w:rFonts w:ascii="Microsoft YaHei" w:hAnsi="Microsoft YaHei" w:eastAsia="Microsoft YaHei" w:cs="Microsoft YaHei"/>
        </w:rPr>
        <w:t>立</w:t>
      </w:r>
      <w:r>
        <w:rPr>
          <w:rFonts w:ascii="MS Gothic" w:hAnsi="MS Gothic" w:eastAsia="MS Gothic" w:cs="MS Gothic"/>
        </w:rPr>
        <w:t>ちなさい</w:t>
      </w:r>
      <w:r>
        <w:rPr>
          <w:rFonts w:ascii="Times New Roman" w:hAnsi="Times New Roman" w:eastAsia="Times New Roman" w:cs="Times New Roman"/>
        </w:rPr>
        <w:t>.</w:t>
      </w:r>
      <w:r>
        <w:rPr>
          <w:rFonts w:ascii="MS Gothic" w:hAnsi="MS Gothic" w:eastAsia="MS Gothic" w:cs="MS Gothic"/>
        </w:rPr>
        <w:t>わたしは</w:t>
      </w:r>
      <w:r>
        <w:rPr>
          <w:rFonts w:ascii="Microsoft YaHei" w:hAnsi="Microsoft YaHei" w:eastAsia="Microsoft YaHei" w:cs="Microsoft YaHei"/>
        </w:rPr>
        <w:t>今、</w:t>
      </w:r>
      <w:r>
        <w:rPr>
          <w:rFonts w:ascii="MS Gothic" w:hAnsi="MS Gothic" w:eastAsia="MS Gothic" w:cs="MS Gothic"/>
        </w:rPr>
        <w:t>あなたのもとに</w:t>
      </w:r>
      <w:r>
        <w:rPr>
          <w:rFonts w:ascii="Microsoft YaHei" w:hAnsi="Microsoft YaHei" w:eastAsia="Microsoft YaHei" w:cs="Microsoft YaHei"/>
        </w:rPr>
        <w:t>遣</w:t>
      </w:r>
      <w:r>
        <w:rPr>
          <w:rFonts w:ascii="MS Gothic" w:hAnsi="MS Gothic" w:eastAsia="MS Gothic" w:cs="MS Gothic"/>
        </w:rPr>
        <w:t>わされたのである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がこの</w:t>
      </w:r>
      <w:r>
        <w:rPr>
          <w:rFonts w:ascii="Microsoft YaHei" w:hAnsi="Microsoft YaHei" w:eastAsia="Microsoft YaHei" w:cs="Microsoft YaHei"/>
        </w:rPr>
        <w:t>言葉</w:t>
      </w:r>
      <w:r>
        <w:rPr>
          <w:rFonts w:ascii="MS Gothic" w:hAnsi="MS Gothic" w:eastAsia="MS Gothic" w:cs="MS Gothic"/>
        </w:rPr>
        <w:t>をわたしに</w:t>
      </w:r>
      <w:r>
        <w:rPr>
          <w:rFonts w:ascii="Microsoft YaHei" w:hAnsi="Microsoft YaHei" w:eastAsia="Microsoft YaHei" w:cs="Microsoft YaHei"/>
        </w:rPr>
        <w:t>語</w:t>
      </w:r>
      <w:r>
        <w:rPr>
          <w:rFonts w:ascii="MS Gothic" w:hAnsi="MS Gothic" w:eastAsia="MS Gothic" w:cs="MS Gothic"/>
        </w:rPr>
        <w:t>ったとき</w:t>
      </w: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震</w:t>
      </w:r>
      <w:r>
        <w:rPr>
          <w:rFonts w:ascii="MS Gothic" w:hAnsi="MS Gothic" w:eastAsia="MS Gothic" w:cs="MS Gothic"/>
        </w:rPr>
        <w:t>えながら</w:t>
      </w:r>
      <w:r>
        <w:rPr>
          <w:rFonts w:ascii="Microsoft YaHei" w:hAnsi="Microsoft YaHei" w:eastAsia="Microsoft YaHei" w:cs="Microsoft YaHei"/>
        </w:rPr>
        <w:t>立</w:t>
      </w:r>
      <w:r>
        <w:rPr>
          <w:rFonts w:ascii="MS Gothic" w:hAnsi="MS Gothic" w:eastAsia="MS Gothic" w:cs="MS Gothic"/>
        </w:rPr>
        <w:t>った</w:t>
      </w:r>
      <w:r>
        <w:rPr>
          <w:rFonts w:ascii="Times New Roman" w:hAnsi="Times New Roman" w:eastAsia="Times New Roman" w:cs="Times New Roman"/>
        </w:rPr>
        <w:t>.</w:t>
      </w:r>
      <w:r>
        <w:rPr>
          <w:rFonts w:ascii="MS Gothic" w:hAnsi="MS Gothic" w:eastAsia="MS Gothic" w:cs="MS Gothic"/>
        </w:rPr>
        <w:t>すると</w:t>
      </w:r>
      <w:r>
        <w:rPr>
          <w:rFonts w:ascii="Microsoft YaHei" w:hAnsi="Microsoft YaHei" w:eastAsia="Microsoft YaHei" w:cs="Microsoft YaHei"/>
        </w:rPr>
        <w:t>彼</w:t>
      </w:r>
      <w:r>
        <w:rPr>
          <w:rFonts w:ascii="MS Gothic" w:hAnsi="MS Gothic" w:eastAsia="MS Gothic" w:cs="MS Gothic"/>
        </w:rPr>
        <w:t>はわたしに</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『恐</w:t>
      </w:r>
      <w:r>
        <w:rPr>
          <w:rFonts w:ascii="MS Gothic" w:hAnsi="MS Gothic" w:eastAsia="MS Gothic" w:cs="MS Gothic"/>
        </w:rPr>
        <w:t>れるな</w:t>
      </w:r>
      <w:r>
        <w:rPr>
          <w:rFonts w:ascii="Microsoft YaHei" w:hAnsi="Microsoft YaHei" w:eastAsia="Microsoft YaHei" w:cs="Microsoft YaHei"/>
        </w:rPr>
        <w:t>、</w:t>
      </w:r>
      <w:r>
        <w:rPr>
          <w:rFonts w:ascii="MS Gothic" w:hAnsi="MS Gothic" w:eastAsia="MS Gothic" w:cs="MS Gothic"/>
        </w:rPr>
        <w:t>ダニエルよ</w:t>
      </w:r>
      <w:r>
        <w:rPr>
          <w:rFonts w:ascii="Times New Roman" w:hAnsi="Times New Roman" w:eastAsia="Times New Roman" w:cs="Times New Roman"/>
        </w:rPr>
        <w:t>.</w:t>
      </w:r>
      <w:r>
        <w:rPr>
          <w:rFonts w:ascii="MS Gothic" w:hAnsi="MS Gothic" w:eastAsia="MS Gothic" w:cs="MS Gothic"/>
        </w:rPr>
        <w:t>あなたが</w:t>
      </w:r>
      <w:r>
        <w:rPr>
          <w:rFonts w:ascii="Microsoft YaHei" w:hAnsi="Microsoft YaHei" w:eastAsia="Microsoft YaHei" w:cs="Microsoft YaHei"/>
        </w:rPr>
        <w:t>悟</w:t>
      </w:r>
      <w:r>
        <w:rPr>
          <w:rFonts w:ascii="MS Gothic" w:hAnsi="MS Gothic" w:eastAsia="MS Gothic" w:cs="MS Gothic"/>
        </w:rPr>
        <w:t>ろうとして</w:t>
      </w:r>
      <w:r>
        <w:rPr>
          <w:rFonts w:ascii="Microsoft YaHei" w:hAnsi="Microsoft YaHei" w:eastAsia="Microsoft YaHei" w:cs="Microsoft YaHei"/>
        </w:rPr>
        <w:t>心</w:t>
      </w:r>
      <w:r>
        <w:rPr>
          <w:rFonts w:ascii="MS Gothic" w:hAnsi="MS Gothic" w:eastAsia="MS Gothic" w:cs="MS Gothic"/>
        </w:rPr>
        <w:t>を</w:t>
      </w:r>
      <w:r>
        <w:rPr>
          <w:rFonts w:ascii="Microsoft YaHei" w:hAnsi="Microsoft YaHei" w:eastAsia="Microsoft YaHei" w:cs="Microsoft YaHei"/>
        </w:rPr>
        <w:t>定</w:t>
      </w:r>
      <w:r>
        <w:rPr>
          <w:rFonts w:ascii="MS Gothic" w:hAnsi="MS Gothic" w:eastAsia="MS Gothic" w:cs="MS Gothic"/>
        </w:rPr>
        <w:t>め</w:t>
      </w:r>
      <w:r>
        <w:rPr>
          <w:rFonts w:ascii="Microsoft YaHei" w:hAnsi="Microsoft YaHei" w:eastAsia="Microsoft YaHei" w:cs="Microsoft YaHei"/>
        </w:rPr>
        <w:t>、</w:t>
      </w:r>
      <w:r>
        <w:rPr>
          <w:rFonts w:ascii="MS Gothic" w:hAnsi="MS Gothic" w:eastAsia="MS Gothic" w:cs="MS Gothic"/>
        </w:rPr>
        <w:t>あなたの</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御前</w:t>
      </w:r>
      <w:r>
        <w:rPr>
          <w:rFonts w:ascii="MS Gothic" w:hAnsi="MS Gothic" w:eastAsia="MS Gothic" w:cs="MS Gothic"/>
        </w:rPr>
        <w:t>で</w:t>
      </w:r>
      <w:r>
        <w:rPr>
          <w:rFonts w:ascii="Microsoft YaHei" w:hAnsi="Microsoft YaHei" w:eastAsia="Microsoft YaHei" w:cs="Microsoft YaHei"/>
        </w:rPr>
        <w:t>身</w:t>
      </w:r>
      <w:r>
        <w:rPr>
          <w:rFonts w:ascii="MS Gothic" w:hAnsi="MS Gothic" w:eastAsia="MS Gothic" w:cs="MS Gothic"/>
        </w:rPr>
        <w:t>を</w:t>
      </w:r>
      <w:r>
        <w:rPr>
          <w:rFonts w:ascii="Microsoft YaHei" w:hAnsi="Microsoft YaHei" w:eastAsia="Microsoft YaHei" w:cs="Microsoft YaHei"/>
        </w:rPr>
        <w:t>低</w:t>
      </w:r>
      <w:r>
        <w:rPr>
          <w:rFonts w:ascii="MS Gothic" w:hAnsi="MS Gothic" w:eastAsia="MS Gothic" w:cs="MS Gothic"/>
        </w:rPr>
        <w:t>くしたその</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日</w:t>
      </w:r>
      <w:r>
        <w:rPr>
          <w:rFonts w:ascii="MS Gothic" w:hAnsi="MS Gothic" w:eastAsia="MS Gothic" w:cs="MS Gothic"/>
        </w:rPr>
        <w:t>から</w:t>
      </w:r>
      <w:r>
        <w:rPr>
          <w:rFonts w:ascii="Microsoft YaHei" w:hAnsi="Microsoft YaHei" w:eastAsia="Microsoft YaHei" w:cs="Microsoft YaHei"/>
        </w:rPr>
        <w:t>、</w:t>
      </w:r>
      <w:r>
        <w:rPr>
          <w:rFonts w:ascii="MS Gothic" w:hAnsi="MS Gothic" w:eastAsia="MS Gothic" w:cs="MS Gothic"/>
        </w:rPr>
        <w:t>あなたの</w:t>
      </w:r>
      <w:r>
        <w:rPr>
          <w:rFonts w:ascii="Microsoft YaHei" w:hAnsi="Microsoft YaHei" w:eastAsia="Microsoft YaHei" w:cs="Microsoft YaHei"/>
        </w:rPr>
        <w:t>言葉</w:t>
      </w:r>
      <w:r>
        <w:rPr>
          <w:rFonts w:ascii="MS Gothic" w:hAnsi="MS Gothic" w:eastAsia="MS Gothic" w:cs="MS Gothic"/>
        </w:rPr>
        <w:t>は</w:t>
      </w:r>
      <w:r>
        <w:rPr>
          <w:rFonts w:ascii="Microsoft YaHei" w:hAnsi="Microsoft YaHei" w:eastAsia="Microsoft YaHei" w:cs="Microsoft YaHei"/>
        </w:rPr>
        <w:t>聞</w:t>
      </w:r>
      <w:r>
        <w:rPr>
          <w:rFonts w:ascii="MS Gothic" w:hAnsi="MS Gothic" w:eastAsia="MS Gothic" w:cs="MS Gothic"/>
        </w:rPr>
        <w:t>き</w:t>
      </w:r>
      <w:r>
        <w:rPr>
          <w:rFonts w:ascii="Microsoft YaHei" w:hAnsi="Microsoft YaHei" w:eastAsia="Microsoft YaHei" w:cs="Microsoft YaHei"/>
        </w:rPr>
        <w:t>入</w:t>
      </w:r>
      <w:r>
        <w:rPr>
          <w:rFonts w:ascii="MS Gothic" w:hAnsi="MS Gothic" w:eastAsia="MS Gothic" w:cs="MS Gothic"/>
        </w:rPr>
        <w:t>れられていたのであり</w:t>
      </w:r>
      <w:r>
        <w:rPr>
          <w:rFonts w:ascii="Microsoft YaHei" w:hAnsi="Microsoft YaHei" w:eastAsia="Microsoft YaHei" w:cs="Microsoft YaHei"/>
        </w:rPr>
        <w:t>、</w:t>
      </w:r>
      <w:r>
        <w:rPr>
          <w:rFonts w:ascii="MS Gothic" w:hAnsi="MS Gothic" w:eastAsia="MS Gothic" w:cs="MS Gothic"/>
        </w:rPr>
        <w:t>わたしはあなたの</w:t>
      </w:r>
      <w:r>
        <w:rPr>
          <w:rFonts w:ascii="Microsoft YaHei" w:hAnsi="Microsoft YaHei" w:eastAsia="Microsoft YaHei" w:cs="Microsoft YaHei"/>
        </w:rPr>
        <w:t>言葉</w:t>
      </w:r>
      <w:r>
        <w:rPr>
          <w:rFonts w:ascii="MS Gothic" w:hAnsi="MS Gothic" w:eastAsia="MS Gothic" w:cs="MS Gothic"/>
        </w:rPr>
        <w:t>のゆえに</w:t>
      </w:r>
      <w:r>
        <w:rPr>
          <w:rFonts w:ascii="Microsoft YaHei" w:hAnsi="Microsoft YaHei" w:eastAsia="Microsoft YaHei" w:cs="Microsoft YaHei"/>
        </w:rPr>
        <w:t>来</w:t>
      </w:r>
      <w:r>
        <w:rPr>
          <w:rFonts w:ascii="MS Gothic" w:hAnsi="MS Gothic" w:eastAsia="MS Gothic" w:cs="MS Gothic"/>
        </w:rPr>
        <w:t>たのである</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«Τι μεγάλη τιμή αποδόθηκε στον Δανιήλ από τη Μεγαλειότητα του Ουρανού! Παρηγορεί τον τρέμοντα δούλο Του και τον διαβεβαιώνει ότι η προσευχή του εισακούσθηκε στον Ουρανό, και ότι, ως απάντηση σε εκείνη τη θερμή δέηση, ο άγγελος Γαβριήλ απεστάλη για να επηρεάσει την καρδιά του βασιλιά της Περσίας. Ο μονάρχης είχε αντισταθεί στις εντυπώσεις του Πνεύματος του Θεού κατά τη διάρκεια των τριών εβδομάδων ενώ ο Δανιήλ νήστευε και προσευχόταν· αλλά ο Άρχων του Ουρανού, ο αρχάγγελος Μιχαήλ, απεστάλη για να στρέψει την καρδιά του πεισματάρη βασιλιά, ώστε να προβεί σε κάποια αποφασιστική ενέργεια ως απάντηση στην προσευχή του Δανιήλ.»</w:t>
      </w:r>
    </w:p>
    <w:p>
      <w:pPr>
        <w:pStyle w:val="ArticleScripture"/>
        <w:jc w:val="left"/>
      </w:pPr>
      <w:r>
        <w:rPr>
          <w:rFonts w:ascii="Times New Roman" w:hAnsi="Times New Roman" w:eastAsia="Times New Roman" w:cs="Times New Roman"/>
        </w:rPr>
        <w:t>«Երբ նա այսպիսի խոսքեր ասաց ինձ, ես իմ երեսը դեպի գետին դարձրի և համրացա։ Եվ ահա՝ մարդու որդիների նմանության պես մեկը դիպավ իմ շուրթերին…. Եվ ասաց. «Ո՛վ շատ սիրված մարդ, մի՛ վախեցիր. խաղաղություն քեզ. զորացի՛ր, այո՛, զորացի՛ր»։ Եվ երբ նա խոսեց ինձ հետ, ես զորացա և ասացի. «Թող իմ տերը խոսի, որովհետև դու զորացրիր ինձ»»։ Աստվածային այն փառքը, որ հայտնվեց Դանիելին, այնքան մեծ էր, որ նա չկարողացավ տանել այդ տեսարանը։ Այն ժամանակ երկնքի պատգամաբերը ծածկեց իր ներկայության պայծառությունը և մարգարեին երևաց որպես «մարդու որդիների նմանության պես մեկը»։ Իր աստվածային զորությամբ նա զորացրեց այս անարատ և հավատի մարդուն, որպեսզի լսի այն պատգամը, որ Աստծուց ուղարկվել էր նրան։</w:t>
      </w:r>
    </w:p>
    <w:p>
      <w:pPr>
        <w:pStyle w:val="ArticleScripture"/>
        <w:jc w:val="left"/>
      </w:pPr>
      <w:r>
        <w:rPr>
          <w:rFonts w:ascii="Times New Roman" w:hAnsi="Times New Roman" w:eastAsia="Times New Roman" w:cs="Times New Roman"/>
        </w:rPr>
        <w:t>«Դանիելը Բարձրյալի նվիրված ծառան էր։ Նրա երկար կյանքը լցված էր իր Տիրոջը մատուցված ծառայության ազնիվ գործերով։ Նրա բնավորության մաքրությունը և անսասան հավատարմությունը հավասարվում են միայն նրա սրտի խոնարհությանը և Աստծո առաջ նրա ապաշխարությանը։ Մենք կրկնում ենք. Դանիելի կյանքը ճշմարիտ սրբագործության ներշնչյալ պատկերացումն է»։ Review and Herald, February 8, 1881.</w:t>
      </w:r>
    </w:p>
    <w:p>
      <w:pPr>
        <w:pStyle w:val="ArticleBody"/>
        <w:jc w:val="left"/>
      </w:pPr>
      <w:r>
        <w:rPr>
          <w:rFonts w:ascii="Times New Roman" w:hAnsi="Times New Roman" w:eastAsia="Times New Roman" w:cs="Times New Roman"/>
        </w:rPr>
        <w:t>Experiența lui Daniel din capitolul zece îi reprezintă pe cei din poporul lui Dumnezeu din zilele din urmă, care, asemenea lui Daniel și lui Ioan, înțeleg Descoperirea lui Isus Hristos. Cheia pentru a-l așeza pe Daniel în istoria profetică în care se află experiența sa se întemeiază pe faptul că el era în jale și că Mihail a fost trimis la încheierea celor douăzeci și una de zile. În primul verset, Daniel consemnează că avea înțelegere atât a viziunilor interne, cât și a celor externe ale profeției. Înainte de cele douăzeci și una de zile, Daniel avea o înțelegere incompletă a celor două viziuni, dar, prin interpretarea lui Gabriel, Daniel înțelege pe deplin „lucrul” și „vedenia” ca descoperiri diferite.</w:t>
      </w:r>
    </w:p>
    <w:p>
      <w:pPr>
        <w:pStyle w:val="ArticleScripture"/>
        <w:jc w:val="left"/>
      </w:pPr>
      <w:r>
        <w:rPr>
          <w:rFonts w:ascii="Times New Roman" w:hAnsi="Times New Roman" w:eastAsia="Times New Roman" w:cs="Times New Roman"/>
        </w:rPr>
        <w:t>“Barreeffamtuu waggaa torbaatamaa boojiʼamummaa sanaa yeroo xumuramuu isaa dhihaachaa dhufeetti, yaadni Daaniʼel raajii Ermiyaas irratti baayʼee raafame. Inni yeroo Waaqayyo sabasa filatamaa isaatiif qormaata biraa kennu gaʼe akka taʼe arge; soomanaa fi of gadi deebisuu, akkasumas kadhannaadhaan, Israaʼeliif bakka buʼee Waaqayyo Waaqa samii kana akkana jechuun cimsinee kadhate: ‘Yaa Gooftaa, Waaqa guddaa fi sodaachisaa, warra isa jaallatanii fi abboommii isaa eeganitti kakuu fi araara eegdu’; nu cubbuu hojjenneerra, jalʼina raawwanneerra, hammina hojjenneerra, fincilleerra, qajeelfama kee fi murtii kee irraa illee gorree jirra; akkasumas nu garboota kee raajota maqaa keetiin mootota keenya, bulchitoota keenya, abbootii keenya, fi uummata biyyattii hundumaatti dubbatan hin dhageenye.”</w:t>
      </w:r>
    </w:p>
    <w:p>
      <w:pPr>
        <w:pStyle w:val="ArticleScripture"/>
        <w:jc w:val="left"/>
      </w:pPr>
      <w:r>
        <w:rPr>
          <w:rFonts w:ascii="Times New Roman" w:hAnsi="Times New Roman" w:eastAsia="Times New Roman" w:cs="Times New Roman"/>
        </w:rPr>
        <w:t>“Notá estas palabras. Daniel no proclama su propia fidelidad delante del Señor. En vez de pretender ser puro y santo, se identifica con los verdaderamente pecadores de Israel. La sabiduría que Dios le impartió era tan superior a la sabiduría de los sabios del mundo como la luz del sol que resplandece en los cielos al mediodía es más brillante que la estrella más débil. Sin embargo, considerad la oración que brota de los labios de este hombre tan altamente favorecido por el Cielo. Con profunda humillación, con lágrimas y con quebrantamiento de corazón, suplica por sí mismo y por su pueblo. Abre su alma delante de Dios, confesando su propia vileza y reconociendo la grandeza y majestad del Señor.</w:t>
      </w:r>
    </w:p>
    <w:p>
      <w:pPr>
        <w:pStyle w:val="ArticleScripture"/>
        <w:jc w:val="left"/>
      </w:pPr>
      <w:r>
        <w:rPr>
          <w:rFonts w:ascii="Times New Roman" w:hAnsi="Times New Roman" w:eastAsia="Times New Roman" w:cs="Times New Roman"/>
        </w:rPr>
        <w:t>«Quanta serietà e quanto fervore caratterizzano le sue suppliche! Egli si avvicina sempre più a Dio. La mano della fede si protende verso l’alto per afferrare le promesse infallibili dell’Altissimo. La sua anima lotta nell’agonia. Ed egli ha la prova che la sua preghiera è ascoltata. Sente che la vittoria è sua. Se noi, come popolo, pregassimo come pregò Daniele e lottassimo come egli lottò, umiliando le nostre anime davanti a Dio, vedremmo risposte alle nostre suppliche tanto manifeste quanto quelle che furono concesse a Daniele. Udite come espone la sua causa presso il tribunale del Cielo:»</w:t>
      </w:r>
    </w:p>
    <w:p>
      <w:pPr>
        <w:pStyle w:val="ArticleScripture"/>
        <w:jc w:val="left"/>
      </w:pPr>
      <w:r>
        <w:rPr>
          <w:rFonts w:ascii="Times New Roman" w:hAnsi="Times New Roman" w:eastAsia="Times New Roman" w:cs="Times New Roman"/>
        </w:rPr>
        <w:t>«Өө Бурхан минь, чихээ хандуулж, сонсооч; нүдээ нээж, бидний сүйрэл болон Таны нэрээр нэрлэгддэг хотыг соёрхон үзээч. Учир нь бид өөрсдийн зөвт үйлсэд найдсан тулалдаа биш, харин Таны агуу өршөөлүүдийн төлөө гуйлтуудаа Таны өмнө өргөн барьж байна. Өө Эзэн, сонсооч; Өө Эзэн, уучлаач; Өө Эзэн, анхааран сонсоод үйлдэж өгөөч; Өөрийнхөө төлөө, Өө Бурхан минь, бүү хойшлуул, учир нь Таны хот, Таны ард түмэн Таны нэрээр нэрлэгддэг билээ. Тэгээд намайг ярьж, залбирч, өөрийн нүгэл болон ард түмнийхээ нүглийг хүлээн зөвшөөрч байхад, … эхэнд үзэгдэлд харсан тэр хүн Габриел хурдан нисэн ирж, оройн өргөлийн цагийн үед надад хүрэв.»</w:t>
      </w:r>
    </w:p>
    <w:p>
      <w:pPr>
        <w:pStyle w:val="ArticleScripture"/>
        <w:jc w:val="left"/>
      </w:pPr>
      <w:r>
        <w:rPr>
          <w:rFonts w:ascii="Times New Roman" w:hAnsi="Times New Roman" w:eastAsia="Times New Roman" w:cs="Times New Roman"/>
        </w:rPr>
        <w:t>« En même temps que la prière de Daniel s’élève, l’ange Gabriel descend en hâte des parvis célestes pour lui annoncer que ses supplications sont entendues et exaucées. Ce puissant ange a reçu mission de lui donner intelligence et compréhension, — d’ouvrir devant lui les mystères des siècles à venir. Ainsi, tandis qu’il cherchait avec ardeur à connaître et à comprendre la vérité, Daniel fut mis en communion avec le messager délégué du Ciel. »</w:t>
      </w:r>
    </w:p>
    <w:p>
      <w:pPr>
        <w:pStyle w:val="ArticleScripture"/>
        <w:jc w:val="left"/>
      </w:pPr>
      <w:r>
        <w:rPr>
          <w:rFonts w:ascii="Times New Roman" w:hAnsi="Times New Roman" w:eastAsia="Times New Roman" w:cs="Times New Roman"/>
        </w:rPr>
        <w:t>“Ang tawo han Dios nag-aampo, diri para ha usa nga paglupad han malipayon nga pagbati, kondi para han pagkilala han kaburut-on han Dios. Ngan ginhingyap niya ini nga kahibaro, diri la para ha iya ngahaw, kondi para han iya katawohan. An iya daku nga pinas-an amo an Israel, nga waray, ha pinakamahugot nga kahulogan, pagtuman han balaud han Dios. Iya inaako nga an ngatanan nira nga mga kasakitan in inabot ha ira tungod han ira mga paglapas hadto nga balaan nga balaud. Nasiring hiya, ‘Kami nakasala, kami nakagbuhat hin karat-an…. Kay tungod han amon mga sala ngan han mga kasal-anan han amon mga kaapoy-apoyan, an Jerusalem ngan an imo katawohan nahimo nga talamayon han ngatanan nga mga aadto ha palibot namon.’ Nawarayan hira han ira pinasahi, balaan nga kinaiya sugad nga pinili nga katawohan han Dios. ‘Yana ngan, O amon Dios, pamatia an pag-ampo han imo surugoon, ngan an iya mga pagpakimalooy, ngan pasanaga an imo nawong ngada ha imo santuaryo nga binayaan.’ An kasingkasing ni Daniel nabaya ngadto ha binayaan nga santuaryo han Dios pinaagi hin mapintas nga paghandom. Maaram hiya nga an kauswagan hito maipapanumbalik la kon an Israel magbasol han ira mga paglapas han balaud han Dios, ngan magin mapainubsanon, matinumanon, ngan masinugtanon.”</w:t>
      </w:r>
    </w:p>
    <w:p>
      <w:pPr>
        <w:pStyle w:val="ArticleScripture"/>
        <w:jc w:val="left"/>
      </w:pPr>
      <w:r>
        <w:rPr>
          <w:rFonts w:ascii="Times New Roman" w:hAnsi="Times New Roman" w:eastAsia="Times New Roman" w:cs="Times New Roman"/>
        </w:rPr>
        <w:t>“Na mee ịza arịrịọ ya, Daniel natara ọ bụghị naanị ìhè na eziokwu nke ya na ndị ya kacha chọọ, kama o nwekwara ọhụụ banyere nnukwu ihe ndị ga-eme n’ọdịnihu, ruo ọbụna n’ọbịbịa nke Onye Mgbapụta nke ụwa. Ndị na-ekwu na e doro ha nsọ, ebe ha enweghị ọchịchọ ịchọgharị Akwụkwọ Nsọ, ma ọ bụ ịlụso Chineke ọgụ n’ekpere ka ha nwee nghọta doro anya karịa banyere eziokwu nke Bible, amaghị ihe nsọcha n’eziokwu bụ.”</w:t>
      </w:r>
    </w:p>
    <w:p>
      <w:pPr>
        <w:pStyle w:val="ArticleScripture"/>
        <w:jc w:val="left"/>
      </w:pPr>
      <w:r>
        <w:rPr>
          <w:rFonts w:ascii="Times New Roman" w:hAnsi="Times New Roman" w:eastAsia="Times New Roman" w:cs="Times New Roman"/>
        </w:rPr>
        <w:t>«Все, кто сердцем верит слову Божию, будут алкать и жаждать познания воли Его. Бог есть Автор истины. Он просвещает помрачённый разум и дарует человеческому уму силу постигать и разуметь истины, которые Он открыл.</w:t>
      </w:r>
    </w:p>
    <w:p>
      <w:pPr>
        <w:pStyle w:val="ArticleScripture"/>
        <w:jc w:val="left"/>
      </w:pPr>
      <w:r>
        <w:rPr>
          <w:rFonts w:ascii="Times New Roman" w:hAnsi="Times New Roman" w:eastAsia="Times New Roman" w:cs="Times New Roman"/>
        </w:rPr>
        <w:t>Daniyele nang Pagari. Nabukasan sa harap niya ang langit. Ngunit ang matataas na karangalang iginawad sa kanya ay bunga ng pagpapakumbaba at taimtim na paghahanap. Hindi niya inisip, gaya ng ginagawa ng marami sa kasalukuyang panahon, na walang halaga kung ano ang ating pinaniniwalaan, basta’t tayo lamang ay tapat, at iniibig si Jesus. Ang tunay na pag-ibig kay Jesus ay aakay sa pinakamalapit at taimtim na pagsisiyasat kung ano ang katotohanan. Ipinanalangin ni Cristo na ang Kaniyang mga alagad ay mapabanal sa pamamagitan ng katotohanan. Siya na lubhang tamad upang gumawa ng masikap at may panalanging pagsasaliksik para sa katotohanan ay pababayaan na tumanggap ng mga kamalian na siyang magpapatunay na ikapapahamak ng kaniyang kaluluwa.</w:t>
      </w:r>
    </w:p>
    <w:p>
      <w:pPr>
        <w:pStyle w:val="ArticleScripture"/>
        <w:jc w:val="left"/>
      </w:pPr>
      <w:r>
        <w:rPr>
          <w:rFonts w:ascii="Times New Roman" w:hAnsi="Times New Roman" w:eastAsia="Times New Roman" w:cs="Times New Roman"/>
        </w:rPr>
        <w:t>«При посещении Гавриила пророк Даниил не был способен принять дальнейшее наставление; но спустя несколько лет, желая узнать больше о предметах, ещё не вполне разъяснённых, он вновь посвятил себя поиску света и мудрости от Бога. „В те дни я, Даниил, был в сетовании три седмицы дней. Вкусного хлеба я не ел; мясо и вино не входили в уста мои, и мастями я не умащал себя совсем…. И поднял я глаза мои, и увидел: вот, один муж, облечённый в льняную одежду, и чресла его опоясаны золотом из Уфаза. Тело его — как топаз, и лице его — как вид молнии; очи его — как горящие светильники, и руки его и ноги его по виду — как блестящая медь, и глас речей его — как голос множества“.»</w:t>
      </w:r>
    </w:p>
    <w:p>
      <w:pPr>
        <w:pStyle w:val="ArticleScripture"/>
        <w:jc w:val="left"/>
      </w:pPr>
      <w:r>
        <w:rPr>
          <w:rFonts w:ascii="Times New Roman" w:hAnsi="Times New Roman" w:eastAsia="Times New Roman" w:cs="Times New Roman"/>
        </w:rPr>
        <w:t>«Никој помал од самиот Син Божји му се јави на Даниел. Овој опис е сличен на оној што му беше даден на Јован кога Христос му се откри на островот Патмос. Нашиот Господ сега доаѓа со друг небесен гласник за да го поучи Даниел за она што ќе се случи во последните денови. Ова знаење му беше дадено на Даниел и, по вдахновение, запишано за нас, врз кои дојдоа краиштата на светот.» Review and Herald, February 8, 1881.</w:t>
      </w:r>
    </w:p>
    <w:p>
      <w:pPr>
        <w:pStyle w:val="ArticleBody"/>
        <w:jc w:val="left"/>
      </w:pPr>
      <w:r>
        <w:rPr>
          <w:rFonts w:ascii="Leelawadee UI" w:hAnsi="Leelawadee UI" w:eastAsia="Leelawadee UI" w:cs="Leelawadee UI"/>
        </w:rPr>
        <w:t>ការបកស្រាយដែលកាប្រ៊ីយ៉ែល</w:t>
      </w:r>
      <w:r>
        <w:rPr>
          <w:rFonts w:ascii="Times New Roman" w:hAnsi="Times New Roman" w:eastAsia="Times New Roman" w:cs="Times New Roman"/>
        </w:rPr>
        <w:t xml:space="preserve"> «</w:t>
      </w:r>
      <w:r>
        <w:rPr>
          <w:rFonts w:ascii="Leelawadee UI" w:hAnsi="Leelawadee UI" w:eastAsia="Leelawadee UI" w:cs="Leelawadee UI"/>
        </w:rPr>
        <w:t>អ្នកនាំសារដែលបានប្រគល់មកពីស្ថានសួគ៌</w:t>
      </w:r>
      <w:r>
        <w:rPr>
          <w:rFonts w:ascii="Times New Roman" w:hAnsi="Times New Roman" w:eastAsia="Times New Roman" w:cs="Times New Roman"/>
        </w:rPr>
        <w:t xml:space="preserve">» </w:t>
      </w:r>
      <w:r>
        <w:rPr>
          <w:rFonts w:ascii="Leelawadee UI" w:hAnsi="Leelawadee UI" w:eastAsia="Leelawadee UI" w:cs="Leelawadee UI"/>
        </w:rPr>
        <w:t>កំពុងនាំមកដល់ដានីយ៉ែល</w:t>
      </w:r>
      <w:r>
        <w:rPr>
          <w:rFonts w:ascii="Times New Roman" w:hAnsi="Times New Roman" w:eastAsia="Times New Roman" w:cs="Times New Roman"/>
        </w:rPr>
        <w:t xml:space="preserve"> </w:t>
      </w:r>
      <w:r>
        <w:rPr>
          <w:rFonts w:ascii="Leelawadee UI" w:hAnsi="Leelawadee UI" w:eastAsia="Leelawadee UI" w:cs="Leelawadee UI"/>
        </w:rPr>
        <w:t>គឺជាការបំពេញឲ្យគ្រប់លេញនៃការបកស្រាយដែលទ្រង់បានចាប់ផ្ដើមផ្ដល់ដល់ដានីយ៉ែលនៅក្នុងជំពូកទីប្រាំបួន។</w:t>
      </w:r>
      <w:r>
        <w:rPr>
          <w:rFonts w:ascii="Times New Roman" w:hAnsi="Times New Roman" w:eastAsia="Times New Roman" w:cs="Times New Roman"/>
        </w:rPr>
        <w:t xml:space="preserve"> </w:t>
      </w:r>
      <w:r>
        <w:rPr>
          <w:rFonts w:ascii="Leelawadee UI" w:hAnsi="Leelawadee UI" w:eastAsia="Leelawadee UI" w:cs="Leelawadee UI"/>
        </w:rPr>
        <w:t>វិធីសាស្ត្រ</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តម្រូវឲ្យយើងផ្គូផ្គងការបកស្រាយ</w:t>
      </w:r>
      <w:r>
        <w:rPr>
          <w:rFonts w:ascii="Times New Roman" w:hAnsi="Times New Roman" w:eastAsia="Times New Roman" w:cs="Times New Roman"/>
        </w:rPr>
        <w:t xml:space="preserve"> </w:t>
      </w:r>
      <w:r>
        <w:rPr>
          <w:rFonts w:ascii="Leelawadee UI" w:hAnsi="Leelawadee UI" w:eastAsia="Leelawadee UI" w:cs="Leelawadee UI"/>
        </w:rPr>
        <w:t>និងកាលៈទេសៈដែលពាក់ព័ន្ធនៃជំពូកទាំងប្រាំបួន</w:t>
      </w:r>
      <w:r>
        <w:rPr>
          <w:rFonts w:ascii="Times New Roman" w:hAnsi="Times New Roman" w:eastAsia="Times New Roman" w:cs="Times New Roman"/>
        </w:rPr>
        <w:t xml:space="preserve"> </w:t>
      </w:r>
      <w:r>
        <w:rPr>
          <w:rFonts w:ascii="Leelawadee UI" w:hAnsi="Leelawadee UI" w:eastAsia="Leelawadee UI" w:cs="Leelawadee UI"/>
        </w:rPr>
        <w:t>និងដប់</w:t>
      </w:r>
      <w:r>
        <w:rPr>
          <w:rFonts w:ascii="Times New Roman" w:hAnsi="Times New Roman" w:eastAsia="Times New Roman" w:cs="Times New Roman"/>
        </w:rPr>
        <w:t xml:space="preserve"> </w:t>
      </w:r>
      <w:r>
        <w:rPr>
          <w:rFonts w:ascii="Leelawadee UI" w:hAnsi="Leelawadee UI" w:eastAsia="Leelawadee UI" w:cs="Leelawadee UI"/>
        </w:rPr>
        <w:t>ទុកជាមួយគ្នា</w:t>
      </w:r>
      <w:r>
        <w:rPr>
          <w:rFonts w:ascii="Times New Roman" w:hAnsi="Times New Roman" w:eastAsia="Times New Roman" w:cs="Times New Roman"/>
        </w:rPr>
        <w:t xml:space="preserve"> </w:t>
      </w:r>
      <w:r>
        <w:rPr>
          <w:rFonts w:ascii="Leelawadee UI" w:hAnsi="Leelawadee UI" w:eastAsia="Leelawadee UI" w:cs="Leelawadee UI"/>
        </w:rPr>
        <w:t>ដើម្បីចែកចាយគំនូរព្យាករណ៍ឲ្យបានត្រឹមត្រូវ។</w:t>
      </w:r>
      <w:r>
        <w:rPr>
          <w:rFonts w:ascii="Times New Roman" w:hAnsi="Times New Roman" w:eastAsia="Times New Roman" w:cs="Times New Roman"/>
        </w:rPr>
        <w:t xml:space="preserve"> </w:t>
      </w:r>
      <w:r>
        <w:rPr>
          <w:rFonts w:ascii="Leelawadee UI" w:hAnsi="Leelawadee UI" w:eastAsia="Leelawadee UI" w:cs="Leelawadee UI"/>
        </w:rPr>
        <w:t>នៅក្នុងការបកស្រាយនេះហើយ</w:t>
      </w:r>
      <w:r>
        <w:rPr>
          <w:rFonts w:ascii="Times New Roman" w:hAnsi="Times New Roman" w:eastAsia="Times New Roman" w:cs="Times New Roman"/>
        </w:rPr>
        <w:t xml:space="preserve"> </w:t>
      </w:r>
      <w:r>
        <w:rPr>
          <w:rFonts w:ascii="Leelawadee UI" w:hAnsi="Leelawadee UI" w:eastAsia="Leelawadee UI" w:cs="Leelawadee UI"/>
        </w:rPr>
        <w:t>ដែលនិមិត្តនៃទន្លេអ៊ូឡាយ</w:t>
      </w:r>
      <w:r>
        <w:rPr>
          <w:rFonts w:ascii="Times New Roman" w:hAnsi="Times New Roman" w:eastAsia="Times New Roman" w:cs="Times New Roman"/>
        </w:rPr>
        <w:t xml:space="preserve"> </w:t>
      </w:r>
      <w:r>
        <w:rPr>
          <w:rFonts w:ascii="Leelawadee UI" w:hAnsi="Leelawadee UI" w:eastAsia="Leelawadee UI" w:cs="Leelawadee UI"/>
        </w:rPr>
        <w:t>និងហីដេកែល</w:t>
      </w:r>
      <w:r>
        <w:rPr>
          <w:rFonts w:ascii="Times New Roman" w:hAnsi="Times New Roman" w:eastAsia="Times New Roman" w:cs="Times New Roman"/>
        </w:rPr>
        <w:t xml:space="preserve"> </w:t>
      </w:r>
      <w:r>
        <w:rPr>
          <w:rFonts w:ascii="Leelawadee UI" w:hAnsi="Leelawadee UI" w:eastAsia="Leelawadee UI" w:cs="Leelawadee UI"/>
        </w:rPr>
        <w:t>បានភ្ជាប់ចូលគ្នា។</w:t>
      </w:r>
    </w:p>
    <w:p>
      <w:pPr>
        <w:pStyle w:val="ArticleBody"/>
        <w:jc w:val="left"/>
      </w:pPr>
      <w:r>
        <w:rPr>
          <w:rFonts w:ascii="Times New Roman" w:hAnsi="Times New Roman" w:eastAsia="Times New Roman" w:cs="Times New Roman"/>
        </w:rPr>
        <w:t>Danyele o ne a utloisisitse, ho ya ka dibuka tsa Jeremia le Moshe, hore topollo ya setjhaba sa Modimo e se e atametse. Ka ho etsa jwalo, Danyele o emela setjhaba sa Modimo sa matsatsi a qetelo se utlwisang hore topollo ya ho qetela ya setjhaba sa Modimo e se e atametse. Batho bao ba matsatsi a qetelo ba tla lemohisisa hore ba hasane moyeng, jwalo ka ha ho emetswe ke Danyele ya neng a hasantswe bokgobeng ba botlamuwa ba dilemo tse mashome a supileng Babylona. Jwale ba tla utlwisisa hore bona, jwaloka Danyele, ba tshwanetse ho bonahatsa karabelo boemong ba bona ba ho hasana e dumellanang le pheko e emetsweng ke “makgetlo a supileng,” ya Levitike kgaolo ya mashome a mabedi a metso e tsheletseng.</w:t>
      </w:r>
    </w:p>
    <w:p>
      <w:pPr>
        <w:pStyle w:val="ArticleBody"/>
        <w:jc w:val="left"/>
      </w:pPr>
      <w:r>
        <w:rPr>
          <w:rFonts w:ascii="Times New Roman" w:hAnsi="Times New Roman" w:eastAsia="Times New Roman" w:cs="Times New Roman"/>
        </w:rPr>
        <w:t>Quand l’expérience d’humilité représentée par Daniel, exigée par le remède exposé dans Lévitique vingt-six, se manifestera dans les derniers jours, le peuple de Dieu des derniers jours aura été dans le deuil pendant une période déterminée. Cette période prendra fin lorsque Michel, l’archange, descendra.</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Og i skal gå til grunne blant hedningene, og deres fienders land skal fortære dere. Og de av dere som blir tilbake, skal tæres bort i sin misgjerning i deres fienders land; også i sine fedres misgjerninger skal de tæres bort sammen med dem. Men dersom de bekjenner sin misgjerning og sine fedres misgjerning, det troløshet som de var troløse mot meg med, og også at de vandret meg imot, og at også jeg vandret dem imot og førte dem inn i deres fienders land — dersom da deres uomskårne hjerter blir ydmyket, og de da tar straffen for sin misgjerning til følge, da vil jeg komme min pakt med Jakob i hu, og også min pakt med Isak, og også min pakt med Abraham vil jeg komme i hu; og landet vil jeg komme i hu. Landet skal også bli forlatt av dem og nyte sine sabbater mens det ligger øde uten dem; og de skal ta straffen for sin misgjerning til følge, fordi, ja fordi de foraktet mine dommer, og fordi deres sjel avskydde mine lover. Men enda, tross alt dette, når de er i sine fienders land, vil jeg ikke forkaste dem, og heller ikke vil jeg avsky dem så jeg tilintetgjør dem fullstendig og bryter min pakt med dem; for jeg er Herren deres Gud. Men for deres skyld vil jeg komme pakten med deres forfedre i hu, dem som jeg førte ut av landet Egypt for øynene på hedningene, for at jeg skulle være deres Gud: Jeg er Herren. 3 Mosebok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soixante-quatorze</dc:title>
  <dc:subject>Aperçus prophétiques et révélations divines : comprendre la vision de Daniel et ses implications pour les derniers jours</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