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Puku ʻo Taniela - Helu Hoʻokahi Haneri me Kanahikūmālima</w:t>
      </w:r>
    </w:p>
    <w:p>
      <w:pPr>
        <w:pStyle w:val="ArticleSubtitle"/>
        <w:jc w:val="left"/>
      </w:pPr>
      <w:r>
        <w:rPr>
          <w:rFonts w:ascii="Arial" w:hAnsi="Arial" w:eastAsia="Arial" w:cs="Arial"/>
        </w:rPr>
        <w:t>Le Christ glorifié : parallèles prophétiques dans Daniel et l’Apocalypse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Maono ya Kristo katika Danieli sura ya kumi ni maono yale yale ambayo Yohana aliona katika Ufunuo. Yalikuwa ni maono ya “marah,” ambayo ni umbo la kike la maono ya “mareh” ya kutokea kwa Kristo. “Mareh” ni maono ya ile miaka elfu mbili na mia tatu, na maana yake ya msingi ni “kutokea” au “mwonekano.” “Kutokea” kwa Kristo kwa Danieli na kwa Yohana kulikuwa, kote kuwili, maono ya Kristo aliyetukuzwa.</w:t>
      </w:r>
    </w:p>
    <w:p>
      <w:pPr>
        <w:pStyle w:val="ArticleScripture"/>
        <w:jc w:val="left"/>
      </w:pPr>
      <w:r>
        <w:rPr>
          <w:rFonts w:ascii="Times New Roman" w:hAnsi="Times New Roman" w:eastAsia="Times New Roman" w:cs="Times New Roman"/>
        </w:rPr>
        <w:t>Na siku ya ishirini na nne ya mwezi wa kwanza, nilipokuwa kando ya ule mto mkuu, uitwao Hidekeli; ndipo nikainua macho yangu, nikaona, na tazama, mtu mmoja aliyekuwa amevaa kitani, ambaye viuno vyake vilikuwa vimefungwa kwa dhahabu safi ya Ufaazi; na mwili wake ulikuwa kama zabarajadi, na uso wake kama mfano wa umeme, na macho yake kama taa za moto, na mikono yake na miguu yake kama rangi ya shaba iliyosuguliwa, na sauti ya maneno yake kama sauti ya umati. Danieli 10:4–6.</w:t>
      </w:r>
    </w:p>
    <w:p>
      <w:pPr>
        <w:pStyle w:val="ArticleBody"/>
        <w:jc w:val="left"/>
      </w:pPr>
      <w:r>
        <w:rPr>
          <w:rFonts w:ascii="Times New Roman" w:hAnsi="Times New Roman" w:eastAsia="Times New Roman" w:cs="Times New Roman"/>
        </w:rPr>
        <w:t>“mareh” diýilýän söz, manysy boýunça “görnüş” diýmekdir; degişli parçada ol “ýyldyrymyň görnüşi” diýip terjime edilýär. Bu söz onunjy bapda dört gezek ulanylýar; şolaryň ikisinde “görüş”, ikisinde bolsa “görnüş” diýip terjime edilýär. Şeýle hem onuň zenan görnüşinde ýene üç gezek ulanylyşy bardyr. “marah” sözi “görnüş” görüşiniň zenan aňlatmasydyr. Ol “aýna” diýip kesgitlenýär we görlen wagty bir zadyň bolup geçmegine sebäp bolýan “sebäp dörediji” ýagdaý sözüdür.</w:t>
      </w:r>
    </w:p>
    <w:p>
      <w:pPr>
        <w:pStyle w:val="ArticleBody"/>
        <w:jc w:val="left"/>
      </w:pPr>
      <w:r>
        <w:rPr>
          <w:rFonts w:ascii="Microsoft YaHei" w:hAnsi="Microsoft YaHei" w:eastAsia="Microsoft YaHei" w:cs="Microsoft YaHei"/>
        </w:rPr>
        <w:t>副詞</w:t>
      </w:r>
      <w:r>
        <w:rPr>
          <w:rFonts w:ascii="MS Gothic" w:hAnsi="MS Gothic" w:eastAsia="MS Gothic" w:cs="MS Gothic"/>
        </w:rPr>
        <w:t>のうち</w:t>
      </w:r>
      <w:r>
        <w:rPr>
          <w:rFonts w:ascii="Microsoft YaHei" w:hAnsi="Microsoft YaHei" w:eastAsia="Microsoft YaHei" w:cs="Microsoft YaHei"/>
        </w:rPr>
        <w:t>使役的</w:t>
      </w:r>
      <w:r>
        <w:rPr>
          <w:rFonts w:ascii="MS Gothic" w:hAnsi="MS Gothic" w:eastAsia="MS Gothic" w:cs="MS Gothic"/>
        </w:rPr>
        <w:t>なものは</w:t>
      </w:r>
      <w:r>
        <w:rPr>
          <w:rFonts w:ascii="Microsoft YaHei" w:hAnsi="Microsoft YaHei" w:eastAsia="Microsoft YaHei" w:cs="Microsoft YaHei"/>
        </w:rPr>
        <w:t>、</w:t>
      </w:r>
      <w:r>
        <w:rPr>
          <w:rFonts w:ascii="MS Gothic" w:hAnsi="MS Gothic" w:eastAsia="MS Gothic" w:cs="MS Gothic"/>
        </w:rPr>
        <w:t>ある</w:t>
      </w:r>
      <w:r>
        <w:rPr>
          <w:rFonts w:ascii="Microsoft YaHei" w:hAnsi="Microsoft YaHei" w:eastAsia="Microsoft YaHei" w:cs="Microsoft YaHei"/>
        </w:rPr>
        <w:t>事柄</w:t>
      </w:r>
      <w:r>
        <w:rPr>
          <w:rFonts w:ascii="MS Gothic" w:hAnsi="MS Gothic" w:eastAsia="MS Gothic" w:cs="MS Gothic"/>
        </w:rPr>
        <w:t>を</w:t>
      </w:r>
      <w:r>
        <w:rPr>
          <w:rFonts w:ascii="Microsoft YaHei" w:hAnsi="Microsoft YaHei" w:eastAsia="Microsoft YaHei" w:cs="Microsoft YaHei"/>
        </w:rPr>
        <w:t>生</w:t>
      </w:r>
      <w:r>
        <w:rPr>
          <w:rFonts w:ascii="MS Gothic" w:hAnsi="MS Gothic" w:eastAsia="MS Gothic" w:cs="MS Gothic"/>
        </w:rPr>
        <w:t>じさせたり</w:t>
      </w:r>
      <w:r>
        <w:rPr>
          <w:rFonts w:ascii="Microsoft YaHei" w:hAnsi="Microsoft YaHei" w:eastAsia="Microsoft YaHei" w:cs="Microsoft YaHei"/>
        </w:rPr>
        <w:t>、何</w:t>
      </w:r>
      <w:r>
        <w:rPr>
          <w:rFonts w:ascii="MS Gothic" w:hAnsi="MS Gothic" w:eastAsia="MS Gothic" w:cs="MS Gothic"/>
        </w:rPr>
        <w:t>らかの</w:t>
      </w:r>
      <w:r>
        <w:rPr>
          <w:rFonts w:ascii="Microsoft YaHei" w:hAnsi="Microsoft YaHei" w:eastAsia="Microsoft YaHei" w:cs="Microsoft YaHei"/>
        </w:rPr>
        <w:t>結果</w:t>
      </w:r>
      <w:r>
        <w:rPr>
          <w:rFonts w:ascii="MS Gothic" w:hAnsi="MS Gothic" w:eastAsia="MS Gothic" w:cs="MS Gothic"/>
        </w:rPr>
        <w:t>をもたらしたりする</w:t>
      </w:r>
      <w:r>
        <w:rPr>
          <w:rFonts w:ascii="Microsoft YaHei" w:hAnsi="Microsoft YaHei" w:eastAsia="Microsoft YaHei" w:cs="Microsoft YaHei"/>
        </w:rPr>
        <w:t>形容詞</w:t>
      </w:r>
      <w:r>
        <w:rPr>
          <w:rFonts w:ascii="MS Gothic" w:hAnsi="MS Gothic" w:eastAsia="MS Gothic" w:cs="MS Gothic"/>
        </w:rPr>
        <w:t>に</w:t>
      </w:r>
      <w:r>
        <w:rPr>
          <w:rFonts w:ascii="Microsoft YaHei" w:hAnsi="Microsoft YaHei" w:eastAsia="Microsoft YaHei" w:cs="Microsoft YaHei"/>
        </w:rPr>
        <w:t>由来</w:t>
      </w:r>
      <w:r>
        <w:rPr>
          <w:rFonts w:ascii="MS Gothic" w:hAnsi="MS Gothic" w:eastAsia="MS Gothic" w:cs="MS Gothic"/>
        </w:rPr>
        <w:t>する</w:t>
      </w:r>
      <w:r>
        <w:rPr>
          <w:rFonts w:ascii="Times New Roman" w:hAnsi="Times New Roman" w:eastAsia="Times New Roman" w:cs="Times New Roman"/>
        </w:rPr>
        <w:t>.</w:t>
      </w:r>
      <w:r>
        <w:rPr>
          <w:rFonts w:ascii="Microsoft YaHei" w:hAnsi="Microsoft YaHei" w:eastAsia="Microsoft YaHei" w:cs="Microsoft YaHei"/>
        </w:rPr>
        <w:t>言語</w:t>
      </w:r>
      <w:r>
        <w:rPr>
          <w:rFonts w:ascii="MS Gothic" w:hAnsi="MS Gothic" w:eastAsia="MS Gothic" w:cs="MS Gothic"/>
        </w:rPr>
        <w:t>および</w:t>
      </w:r>
      <w:r>
        <w:rPr>
          <w:rFonts w:ascii="Microsoft YaHei" w:hAnsi="Microsoft YaHei" w:eastAsia="Microsoft YaHei" w:cs="Microsoft YaHei"/>
        </w:rPr>
        <w:t>文法</w:t>
      </w:r>
      <w:r>
        <w:rPr>
          <w:rFonts w:ascii="MS Gothic" w:hAnsi="MS Gothic" w:eastAsia="MS Gothic" w:cs="MS Gothic"/>
        </w:rPr>
        <w:t>においては</w:t>
      </w:r>
      <w:r>
        <w:rPr>
          <w:rFonts w:ascii="Microsoft YaHei" w:hAnsi="Microsoft YaHei" w:eastAsia="Microsoft YaHei" w:cs="Microsoft YaHei"/>
        </w:rPr>
        <w:t>、</w:t>
      </w:r>
      <w:r>
        <w:rPr>
          <w:rFonts w:ascii="MS Gothic" w:hAnsi="MS Gothic" w:eastAsia="MS Gothic" w:cs="MS Gothic"/>
        </w:rPr>
        <w:t>それはしばしば</w:t>
      </w:r>
      <w:r>
        <w:rPr>
          <w:rFonts w:ascii="Microsoft YaHei" w:hAnsi="Microsoft YaHei" w:eastAsia="Microsoft YaHei" w:cs="Microsoft YaHei"/>
        </w:rPr>
        <w:t>、</w:t>
      </w:r>
      <w:r>
        <w:rPr>
          <w:rFonts w:ascii="MS Gothic" w:hAnsi="MS Gothic" w:eastAsia="MS Gothic" w:cs="MS Gothic"/>
        </w:rPr>
        <w:t>だれかまたは</w:t>
      </w:r>
      <w:r>
        <w:rPr>
          <w:rFonts w:ascii="Microsoft YaHei" w:hAnsi="Microsoft YaHei" w:eastAsia="Microsoft YaHei" w:cs="Microsoft YaHei"/>
        </w:rPr>
        <w:t>何</w:t>
      </w:r>
      <w:r>
        <w:rPr>
          <w:rFonts w:ascii="MS Gothic" w:hAnsi="MS Gothic" w:eastAsia="MS Gothic" w:cs="MS Gothic"/>
        </w:rPr>
        <w:t>かにある</w:t>
      </w:r>
      <w:r>
        <w:rPr>
          <w:rFonts w:ascii="Microsoft YaHei" w:hAnsi="Microsoft YaHei" w:eastAsia="Microsoft YaHei" w:cs="Microsoft YaHei"/>
        </w:rPr>
        <w:t>行為</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わせ</w:t>
      </w:r>
      <w:r>
        <w:rPr>
          <w:rFonts w:ascii="Microsoft YaHei" w:hAnsi="Microsoft YaHei" w:eastAsia="Microsoft YaHei" w:cs="Microsoft YaHei"/>
        </w:rPr>
        <w:t>、</w:t>
      </w:r>
      <w:r>
        <w:rPr>
          <w:rFonts w:ascii="MS Gothic" w:hAnsi="MS Gothic" w:eastAsia="MS Gothic" w:cs="MS Gothic"/>
        </w:rPr>
        <w:t>あるいはある</w:t>
      </w:r>
      <w:r>
        <w:rPr>
          <w:rFonts w:ascii="Microsoft YaHei" w:hAnsi="Microsoft YaHei" w:eastAsia="Microsoft YaHei" w:cs="Microsoft YaHei"/>
        </w:rPr>
        <w:t>状態</w:t>
      </w:r>
      <w:r>
        <w:rPr>
          <w:rFonts w:ascii="MS Gothic" w:hAnsi="MS Gothic" w:eastAsia="MS Gothic" w:cs="MS Gothic"/>
        </w:rPr>
        <w:t>を</w:t>
      </w:r>
      <w:r>
        <w:rPr>
          <w:rFonts w:ascii="Microsoft YaHei" w:hAnsi="Microsoft YaHei" w:eastAsia="Microsoft YaHei" w:cs="Microsoft YaHei"/>
        </w:rPr>
        <w:t>経験</w:t>
      </w:r>
      <w:r>
        <w:rPr>
          <w:rFonts w:ascii="MS Gothic" w:hAnsi="MS Gothic" w:eastAsia="MS Gothic" w:cs="MS Gothic"/>
        </w:rPr>
        <w:t>させるという</w:t>
      </w:r>
      <w:r>
        <w:rPr>
          <w:rFonts w:ascii="Microsoft YaHei" w:hAnsi="Microsoft YaHei" w:eastAsia="Microsoft YaHei" w:cs="Microsoft YaHei"/>
        </w:rPr>
        <w:t>観念</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w:t>
      </w:r>
      <w:r>
        <w:rPr>
          <w:rFonts w:ascii="Microsoft YaHei" w:hAnsi="Microsoft YaHei" w:eastAsia="Microsoft YaHei" w:cs="Microsoft YaHei"/>
        </w:rPr>
        <w:t>動詞</w:t>
      </w:r>
      <w:r>
        <w:rPr>
          <w:rFonts w:ascii="MS Gothic" w:hAnsi="MS Gothic" w:eastAsia="MS Gothic" w:cs="MS Gothic"/>
        </w:rPr>
        <w:t>または</w:t>
      </w:r>
      <w:r>
        <w:rPr>
          <w:rFonts w:ascii="Microsoft YaHei" w:hAnsi="Microsoft YaHei" w:eastAsia="Microsoft YaHei" w:cs="Microsoft YaHei"/>
        </w:rPr>
        <w:t>構文</w:t>
      </w:r>
      <w:r>
        <w:rPr>
          <w:rFonts w:ascii="MS Gothic" w:hAnsi="MS Gothic" w:eastAsia="MS Gothic" w:cs="MS Gothic"/>
        </w:rPr>
        <w:t>を</w:t>
      </w:r>
      <w:r>
        <w:rPr>
          <w:rFonts w:ascii="Microsoft YaHei" w:hAnsi="Microsoft YaHei" w:eastAsia="Microsoft YaHei" w:cs="Microsoft YaHei"/>
        </w:rPr>
        <w:t>指</w:t>
      </w:r>
      <w:r>
        <w:rPr>
          <w:rFonts w:ascii="MS Gothic" w:hAnsi="MS Gothic" w:eastAsia="MS Gothic" w:cs="MS Gothic"/>
        </w:rPr>
        <w:t>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Par exemple, dans la phrase « Elle l’a fait rire », le verbe « fait » est factitif, parce qu’il indique que le sujet (elle) a amené le complément d’objet (lui) à accomplir l’action (rire).</w:t>
      </w:r>
    </w:p>
    <w:p>
      <w:pPr>
        <w:pStyle w:val="ArticleBody"/>
        <w:jc w:val="left"/>
      </w:pPr>
      <w:r>
        <w:rPr>
          <w:rFonts w:ascii="Times New Roman" w:hAnsi="Times New Roman" w:eastAsia="Times New Roman" w:cs="Times New Roman"/>
        </w:rPr>
        <w:t>« J’ai fait réparer ma voiture. » (Dans cette phrase, le sujet « je » a fait en sorte qu’une autre personne accomplisse l’action de réparer la voiture.)</w:t>
      </w:r>
    </w:p>
    <w:p>
      <w:pPr>
        <w:pStyle w:val="ArticleBody"/>
        <w:jc w:val="left"/>
      </w:pPr>
      <w:r>
        <w:rPr>
          <w:rFonts w:ascii="Times New Roman" w:hAnsi="Times New Roman" w:eastAsia="Times New Roman" w:cs="Times New Roman"/>
        </w:rPr>
        <w:t>« Elle a fait étudier ses étudiants pour l’examen. » (Ici, le sujet « Elle » a amené ses étudiants à accomplir l’action d’étudier pour l’examen.)</w:t>
      </w:r>
    </w:p>
    <w:p>
      <w:pPr>
        <w:pStyle w:val="ArticleBody"/>
        <w:jc w:val="left"/>
      </w:pPr>
      <w:r>
        <w:rPr>
          <w:rFonts w:ascii="Times New Roman" w:hAnsi="Times New Roman" w:eastAsia="Times New Roman" w:cs="Times New Roman"/>
        </w:rPr>
        <w:t>« Il s’est fait couper les cheveux. » (Dans ce cas, le sujet « Il » a fait en sorte qu’une autre personne accomplisse l’action de lui couper les cheveux.)</w:t>
      </w:r>
    </w:p>
    <w:p>
      <w:pPr>
        <w:pStyle w:val="ArticleBody"/>
        <w:jc w:val="left"/>
      </w:pPr>
      <w:r>
        <w:rPr>
          <w:rFonts w:ascii="Times New Roman" w:hAnsi="Times New Roman" w:eastAsia="Times New Roman" w:cs="Times New Roman"/>
        </w:rPr>
        <w:t>«La compagnie a fait rénover le bâtiment.» (Dans cette phrase, la compagnie a fait en sorte que quelqu’un d’autre accomplisse l’action de rénover le bâtiment.)</w:t>
      </w:r>
    </w:p>
    <w:p>
      <w:pPr>
        <w:pStyle w:val="ArticleBody"/>
        <w:jc w:val="left"/>
      </w:pPr>
      <w:r>
        <w:rPr>
          <w:rFonts w:ascii="Times New Roman" w:hAnsi="Times New Roman" w:eastAsia="Times New Roman" w:cs="Times New Roman"/>
        </w:rPr>
        <w:t>« Nous ferons aider les enfants aux tâches ménagères. » (Ici, le sujet « nous » prévoit d’amener les enfants à participer à l’action consistant à aider aux tâches ménagères.) Dans chacun de ces exemples, les verbes causatifs (had, made, got, get) indiquent que le sujet amène quelqu’un d’autre à accomplir l’action exprimée par le verbe principal (repaired, study, cut, renovated, help).</w:t>
      </w:r>
    </w:p>
    <w:p>
      <w:pPr>
        <w:pStyle w:val="ArticleBody"/>
        <w:jc w:val="left"/>
      </w:pPr>
      <w:r>
        <w:rPr>
          <w:rFonts w:ascii="Times New Roman" w:hAnsi="Times New Roman" w:eastAsia="Times New Roman" w:cs="Times New Roman"/>
        </w:rPr>
        <w:t xml:space="preserve">“mareh” </w:t>
      </w:r>
      <w:r>
        <w:rPr>
          <w:rFonts w:ascii="Microsoft YaHei" w:hAnsi="Microsoft YaHei" w:eastAsia="Microsoft YaHei" w:cs="Microsoft YaHei"/>
        </w:rPr>
        <w:t>的</w:t>
      </w:r>
      <w:r>
        <w:rPr>
          <w:rFonts w:ascii="Times New Roman" w:hAnsi="Times New Roman" w:eastAsia="Times New Roman" w:cs="Times New Roman"/>
        </w:rPr>
        <w:t>“</w:t>
      </w:r>
      <w:r>
        <w:rPr>
          <w:rFonts w:ascii="Microsoft YaHei" w:hAnsi="Microsoft YaHei" w:eastAsia="Microsoft YaHei" w:cs="Microsoft YaHei"/>
        </w:rPr>
        <w:t>显现</w:t>
      </w:r>
      <w:r>
        <w:rPr>
          <w:rFonts w:ascii="Times New Roman" w:hAnsi="Times New Roman" w:eastAsia="Times New Roman" w:cs="Times New Roman"/>
        </w:rPr>
        <w:t>”</w:t>
      </w:r>
      <w:r>
        <w:rPr>
          <w:rFonts w:ascii="Microsoft YaHei" w:hAnsi="Microsoft YaHei" w:eastAsia="Microsoft YaHei" w:cs="Microsoft YaHei"/>
        </w:rPr>
        <w:t>异象</w:t>
      </w:r>
      <w:r>
        <w:rPr>
          <w:rFonts w:ascii="Times New Roman" w:hAnsi="Times New Roman" w:eastAsia="Times New Roman" w:cs="Times New Roman"/>
        </w:rPr>
        <w:t>,</w:t>
      </w:r>
      <w:r>
        <w:rPr>
          <w:rFonts w:ascii="Microsoft YaHei" w:hAnsi="Microsoft YaHei" w:eastAsia="Microsoft YaHei" w:cs="Microsoft YaHei"/>
        </w:rPr>
        <w:t>当以阴性时态</w:t>
      </w:r>
      <w:r>
        <w:rPr>
          <w:rFonts w:ascii="Times New Roman" w:hAnsi="Times New Roman" w:eastAsia="Times New Roman" w:cs="Times New Roman"/>
        </w:rPr>
        <w:t>“marah”</w:t>
      </w:r>
      <w:r>
        <w:rPr>
          <w:rFonts w:ascii="Microsoft YaHei" w:hAnsi="Microsoft YaHei" w:eastAsia="Microsoft YaHei" w:cs="Microsoft YaHei"/>
        </w:rPr>
        <w:t>表述</w:t>
      </w:r>
      <w:r>
        <w:rPr>
          <w:rFonts w:ascii="Times New Roman" w:hAnsi="Times New Roman" w:eastAsia="Times New Roman" w:cs="Times New Roman"/>
        </w:rPr>
        <w:t>,</w:t>
      </w:r>
      <w:r>
        <w:rPr>
          <w:rFonts w:ascii="Microsoft YaHei" w:hAnsi="Microsoft YaHei" w:eastAsia="Microsoft YaHei" w:cs="Microsoft YaHei"/>
        </w:rPr>
        <w:t>并被界定为</w:t>
      </w:r>
      <w:r>
        <w:rPr>
          <w:rFonts w:ascii="Times New Roman" w:hAnsi="Times New Roman" w:eastAsia="Times New Roman" w:cs="Times New Roman"/>
        </w:rPr>
        <w:t>“</w:t>
      </w:r>
      <w:r>
        <w:rPr>
          <w:rFonts w:ascii="Microsoft YaHei" w:hAnsi="Microsoft YaHei" w:eastAsia="Microsoft YaHei" w:cs="Microsoft YaHei"/>
        </w:rPr>
        <w:t>一面镜子</w:t>
      </w:r>
      <w:r>
        <w:rPr>
          <w:rFonts w:ascii="Times New Roman" w:hAnsi="Times New Roman" w:eastAsia="Times New Roman" w:cs="Times New Roman"/>
        </w:rPr>
        <w:t>”</w:t>
      </w:r>
      <w:r>
        <w:rPr>
          <w:rFonts w:ascii="Microsoft YaHei" w:hAnsi="Microsoft YaHei" w:eastAsia="Microsoft YaHei" w:cs="Microsoft YaHei"/>
        </w:rPr>
        <w:t>时</w:t>
      </w:r>
      <w:r>
        <w:rPr>
          <w:rFonts w:ascii="Times New Roman" w:hAnsi="Times New Roman" w:eastAsia="Times New Roman" w:cs="Times New Roman"/>
        </w:rPr>
        <w:t>,</w:t>
      </w:r>
      <w:r>
        <w:rPr>
          <w:rFonts w:ascii="Microsoft YaHei" w:hAnsi="Microsoft YaHei" w:eastAsia="Microsoft YaHei" w:cs="Microsoft YaHei"/>
        </w:rPr>
        <w:t>就表明：那荣耀之基督的异象</w:t>
      </w:r>
      <w:r>
        <w:rPr>
          <w:rFonts w:ascii="Times New Roman" w:hAnsi="Times New Roman" w:eastAsia="Times New Roman" w:cs="Times New Roman"/>
        </w:rPr>
        <w:t>,</w:t>
      </w:r>
      <w:r>
        <w:rPr>
          <w:rFonts w:ascii="Microsoft YaHei" w:hAnsi="Microsoft YaHei" w:eastAsia="Microsoft YaHei" w:cs="Microsoft YaHei"/>
        </w:rPr>
        <w:t>乃复制在那些注视这异象之人身上</w:t>
      </w:r>
      <w:r>
        <w:rPr>
          <w:rFonts w:ascii="Times New Roman" w:hAnsi="Times New Roman" w:eastAsia="Times New Roman" w:cs="Times New Roman"/>
        </w:rPr>
        <w:t>.</w:t>
      </w:r>
      <w:r>
        <w:rPr>
          <w:rFonts w:ascii="Microsoft YaHei" w:hAnsi="Microsoft YaHei" w:eastAsia="Microsoft YaHei" w:cs="Microsoft YaHei"/>
        </w:rPr>
        <w:t>当但以理看见基督那如闪电的</w:t>
      </w:r>
      <w:r>
        <w:rPr>
          <w:rFonts w:ascii="Times New Roman" w:hAnsi="Times New Roman" w:eastAsia="Times New Roman" w:cs="Times New Roman"/>
        </w:rPr>
        <w:t>“</w:t>
      </w:r>
      <w:r>
        <w:rPr>
          <w:rFonts w:ascii="Microsoft YaHei" w:hAnsi="Microsoft YaHei" w:eastAsia="Microsoft YaHei" w:cs="Microsoft YaHei"/>
        </w:rPr>
        <w:t>显现</w:t>
      </w:r>
      <w:r>
        <w:rPr>
          <w:rFonts w:ascii="Times New Roman" w:hAnsi="Times New Roman" w:eastAsia="Times New Roman" w:cs="Times New Roman"/>
        </w:rPr>
        <w:t>”</w:t>
      </w:r>
      <w:r>
        <w:rPr>
          <w:rFonts w:ascii="Microsoft YaHei" w:hAnsi="Microsoft YaHei" w:eastAsia="Microsoft YaHei" w:cs="Microsoft YaHei"/>
        </w:rPr>
        <w:t>时</w:t>
      </w:r>
      <w:r>
        <w:rPr>
          <w:rFonts w:ascii="Times New Roman" w:hAnsi="Times New Roman" w:eastAsia="Times New Roman" w:cs="Times New Roman"/>
        </w:rPr>
        <w:t>,</w:t>
      </w:r>
      <w:r>
        <w:rPr>
          <w:rFonts w:ascii="Microsoft YaHei" w:hAnsi="Microsoft YaHei" w:eastAsia="Microsoft YaHei" w:cs="Microsoft YaHei"/>
        </w:rPr>
        <w:t>有一等人因惧怕而逃遁</w:t>
      </w:r>
      <w:r>
        <w:rPr>
          <w:rFonts w:ascii="Times New Roman" w:hAnsi="Times New Roman" w:eastAsia="Times New Roman" w:cs="Times New Roman"/>
        </w:rPr>
        <w:t>;</w:t>
      </w:r>
      <w:r>
        <w:rPr>
          <w:rFonts w:ascii="Microsoft YaHei" w:hAnsi="Microsoft YaHei" w:eastAsia="Microsoft YaHei" w:cs="Microsoft YaHei"/>
        </w:rPr>
        <w:t>但对但以理而言</w:t>
      </w:r>
      <w:r>
        <w:rPr>
          <w:rFonts w:ascii="Times New Roman" w:hAnsi="Times New Roman" w:eastAsia="Times New Roman" w:cs="Times New Roman"/>
        </w:rPr>
        <w:t>,</w:t>
      </w:r>
      <w:r>
        <w:rPr>
          <w:rFonts w:ascii="Microsoft YaHei" w:hAnsi="Microsoft YaHei" w:eastAsia="Microsoft YaHei" w:cs="Microsoft YaHei"/>
        </w:rPr>
        <w:t>这异象却在他里面产生了奇妙的改变</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mimi, Danieli, peke yangu niliiona maono hiyo; kwa maana watu waliokuwa pamoja nami hawakuiona maono hiyo; lakini tetemeko kuu liliwaangukia, hata wakakimbia kujificha. Kwa hiyo nikaachwa peke yangu, nami nikaiona maono hiyo kuu, wala hakukubaki nguvu ndani yangu; kwa maana uzuri wangu uligeuka ndani yangu kuwa uharibifu, nami sikudumisha nguvu zozote. Danieli 10:7, 8.</w:t>
      </w:r>
    </w:p>
    <w:p>
      <w:pPr>
        <w:pStyle w:val="ArticleBody"/>
        <w:jc w:val="left"/>
      </w:pPr>
      <w:r>
        <w:rPr>
          <w:rFonts w:ascii="Leelawadee UI" w:hAnsi="Leelawadee UI" w:eastAsia="Leelawadee UI" w:cs="Leelawadee UI"/>
        </w:rPr>
        <w:t>អត្ថន័យនៃពាក្យ</w:t>
      </w:r>
      <w:r>
        <w:rPr>
          <w:rFonts w:ascii="Times New Roman" w:hAnsi="Times New Roman" w:eastAsia="Times New Roman" w:cs="Times New Roman"/>
        </w:rPr>
        <w:t xml:space="preserve"> «</w:t>
      </w:r>
      <w:r>
        <w:rPr>
          <w:rFonts w:ascii="Leelawadee UI" w:hAnsi="Leelawadee UI" w:eastAsia="Leelawadee UI" w:cs="Leelawadee UI"/>
        </w:rPr>
        <w:t>សេចក្ដីពិត</w:t>
      </w:r>
      <w:r>
        <w:rPr>
          <w:rFonts w:ascii="Times New Roman" w:hAnsi="Times New Roman" w:eastAsia="Times New Roman" w:cs="Times New Roman"/>
        </w:rPr>
        <w:t xml:space="preserve">» </w:t>
      </w:r>
      <w:r>
        <w:rPr>
          <w:rFonts w:ascii="Leelawadee UI" w:hAnsi="Leelawadee UI" w:eastAsia="Leelawadee UI" w:cs="Leelawadee UI"/>
        </w:rPr>
        <w:t>ត្រូវបានតំណាងដោយពាក្យហេប្រ៊ូសម្រាប់</w:t>
      </w:r>
      <w:r>
        <w:rPr>
          <w:rFonts w:ascii="Times New Roman" w:hAnsi="Times New Roman" w:eastAsia="Times New Roman" w:cs="Times New Roman"/>
        </w:rPr>
        <w:t xml:space="preserve"> «</w:t>
      </w:r>
      <w:r>
        <w:rPr>
          <w:rFonts w:ascii="Leelawadee UI" w:hAnsi="Leelawadee UI" w:eastAsia="Leelawadee UI" w:cs="Leelawadee UI"/>
        </w:rPr>
        <w:t>សេចក្ដីពិត</w:t>
      </w:r>
      <w:r>
        <w:rPr>
          <w:rFonts w:ascii="Times New Roman" w:hAnsi="Times New Roman" w:eastAsia="Times New Roman" w:cs="Times New Roman"/>
        </w:rPr>
        <w:t xml:space="preserve">» </w:t>
      </w:r>
      <w:r>
        <w:rPr>
          <w:rFonts w:ascii="Leelawadee UI" w:hAnsi="Leelawadee UI" w:eastAsia="Leelawadee UI" w:cs="Leelawadee UI"/>
        </w:rPr>
        <w:t>ដែលបង្កើតឡើងដោយអក្សរទីមួយ</w:t>
      </w:r>
      <w:r>
        <w:rPr>
          <w:rFonts w:ascii="Times New Roman" w:hAnsi="Times New Roman" w:eastAsia="Times New Roman" w:cs="Times New Roman"/>
        </w:rPr>
        <w:t xml:space="preserve"> </w:t>
      </w:r>
      <w:r>
        <w:rPr>
          <w:rFonts w:ascii="Leelawadee UI" w:hAnsi="Leelawadee UI" w:eastAsia="Leelawadee UI" w:cs="Leelawadee UI"/>
        </w:rPr>
        <w:t>ទីដប់បី</w:t>
      </w:r>
      <w:r>
        <w:rPr>
          <w:rFonts w:ascii="Times New Roman" w:hAnsi="Times New Roman" w:eastAsia="Times New Roman" w:cs="Times New Roman"/>
        </w:rPr>
        <w:t xml:space="preserve"> </w:t>
      </w:r>
      <w:r>
        <w:rPr>
          <w:rFonts w:ascii="Leelawadee UI" w:hAnsi="Leelawadee UI" w:eastAsia="Leelawadee UI" w:cs="Leelawadee UI"/>
        </w:rPr>
        <w:t>និងអក្សរចុងក្រោយនៃអក្ខរក្រមហេប្រ៊ូ។</w:t>
      </w:r>
      <w:r>
        <w:rPr>
          <w:rFonts w:ascii="Times New Roman" w:hAnsi="Times New Roman" w:eastAsia="Times New Roman" w:cs="Times New Roman"/>
        </w:rPr>
        <w:t xml:space="preserve"> </w:t>
      </w:r>
      <w:r>
        <w:rPr>
          <w:rFonts w:ascii="Leelawadee UI" w:hAnsi="Leelawadee UI" w:eastAsia="Leelawadee UI" w:cs="Leelawadee UI"/>
        </w:rPr>
        <w:t>អក្សរទីមួយ</w:t>
      </w:r>
      <w:r>
        <w:rPr>
          <w:rFonts w:ascii="Times New Roman" w:hAnsi="Times New Roman" w:eastAsia="Times New Roman" w:cs="Times New Roman"/>
        </w:rPr>
        <w:t xml:space="preserve"> </w:t>
      </w:r>
      <w:r>
        <w:rPr>
          <w:rFonts w:ascii="Leelawadee UI" w:hAnsi="Leelawadee UI" w:eastAsia="Leelawadee UI" w:cs="Leelawadee UI"/>
        </w:rPr>
        <w:t>និងអក្សរចុងក្រោយ</w:t>
      </w:r>
      <w:r>
        <w:rPr>
          <w:rFonts w:ascii="Times New Roman" w:hAnsi="Times New Roman" w:eastAsia="Times New Roman" w:cs="Times New Roman"/>
        </w:rPr>
        <w:t xml:space="preserve"> </w:t>
      </w:r>
      <w:r>
        <w:rPr>
          <w:rFonts w:ascii="Leelawadee UI" w:hAnsi="Leelawadee UI" w:eastAsia="Leelawadee UI" w:cs="Leelawadee UI"/>
        </w:rPr>
        <w:t>សម្រាប់ព្រះគ្រីស្ទ</w:t>
      </w:r>
      <w:r>
        <w:rPr>
          <w:rFonts w:ascii="Times New Roman" w:hAnsi="Times New Roman" w:eastAsia="Times New Roman" w:cs="Times New Roman"/>
        </w:rPr>
        <w:t xml:space="preserve"> </w:t>
      </w:r>
      <w:r>
        <w:rPr>
          <w:rFonts w:ascii="Leelawadee UI" w:hAnsi="Leelawadee UI" w:eastAsia="Leelawadee UI" w:cs="Leelawadee UI"/>
        </w:rPr>
        <w:t>តែងតែដូចគ្នា</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Alpha </w:t>
      </w:r>
      <w:r>
        <w:rPr>
          <w:rFonts w:ascii="Leelawadee UI" w:hAnsi="Leelawadee UI" w:eastAsia="Leelawadee UI" w:cs="Leelawadee UI"/>
        </w:rPr>
        <w:t>និង</w:t>
      </w:r>
      <w:r>
        <w:rPr>
          <w:rFonts w:ascii="Times New Roman" w:hAnsi="Times New Roman" w:eastAsia="Times New Roman" w:cs="Times New Roman"/>
        </w:rPr>
        <w:t xml:space="preserve"> Omega </w:t>
      </w:r>
      <w:r>
        <w:rPr>
          <w:rFonts w:ascii="Leelawadee UI" w:hAnsi="Leelawadee UI" w:eastAsia="Leelawadee UI" w:cs="Leelawadee UI"/>
        </w:rPr>
        <w:t>ដែលតែងតែតំណាងដល់ទីបញ្ចប់ជាមួយនឹងការចាប់ផ្ដើម។</w:t>
      </w:r>
      <w:r>
        <w:rPr>
          <w:rFonts w:ascii="Times New Roman" w:hAnsi="Times New Roman" w:eastAsia="Times New Roman" w:cs="Times New Roman"/>
        </w:rPr>
        <w:t xml:space="preserve"> </w:t>
      </w:r>
      <w:r>
        <w:rPr>
          <w:rFonts w:ascii="Leelawadee UI" w:hAnsi="Leelawadee UI" w:eastAsia="Leelawadee UI" w:cs="Leelawadee UI"/>
        </w:rPr>
        <w:t>អក្សរកណ្ដាល</w:t>
      </w:r>
      <w:r>
        <w:rPr>
          <w:rFonts w:ascii="Times New Roman" w:hAnsi="Times New Roman" w:eastAsia="Times New Roman" w:cs="Times New Roman"/>
        </w:rPr>
        <w:t xml:space="preserve"> </w:t>
      </w:r>
      <w:r>
        <w:rPr>
          <w:rFonts w:ascii="Leelawadee UI" w:hAnsi="Leelawadee UI" w:eastAsia="Leelawadee UI" w:cs="Leelawadee UI"/>
        </w:rPr>
        <w:t>ឬអក្សរទីដប់បី</w:t>
      </w:r>
      <w:r>
        <w:rPr>
          <w:rFonts w:ascii="Times New Roman" w:hAnsi="Times New Roman" w:eastAsia="Times New Roman" w:cs="Times New Roman"/>
        </w:rPr>
        <w:t xml:space="preserve"> </w:t>
      </w:r>
      <w:r>
        <w:rPr>
          <w:rFonts w:ascii="Leelawadee UI" w:hAnsi="Leelawadee UI" w:eastAsia="Leelawadee UI" w:cs="Leelawadee UI"/>
        </w:rPr>
        <w:t>តំណាងឱ្យការបះបោរ។</w:t>
      </w:r>
      <w:r>
        <w:rPr>
          <w:rFonts w:ascii="Times New Roman" w:hAnsi="Times New Roman" w:eastAsia="Times New Roman" w:cs="Times New Roman"/>
        </w:rPr>
        <w:t xml:space="preserve"> </w:t>
      </w:r>
      <w:r>
        <w:rPr>
          <w:rFonts w:ascii="Leelawadee UI" w:hAnsi="Leelawadee UI" w:eastAsia="Leelawadee UI" w:cs="Leelawadee UI"/>
        </w:rPr>
        <w:t>ដានីយ៉ែលបានថ្លែងថា</w:t>
      </w:r>
      <w:r>
        <w:rPr>
          <w:rFonts w:ascii="Times New Roman" w:hAnsi="Times New Roman" w:eastAsia="Times New Roman" w:cs="Times New Roman"/>
        </w:rPr>
        <w:t xml:space="preserve"> «</w:t>
      </w:r>
      <w:r>
        <w:rPr>
          <w:rFonts w:ascii="Leelawadee UI" w:hAnsi="Leelawadee UI" w:eastAsia="Leelawadee UI" w:cs="Leelawadee UI"/>
        </w:rPr>
        <w:t>ខ្ញុំ</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តែម្ដងបានឃើញនិមិត្ត</w:t>
      </w:r>
      <w:r>
        <w:rPr>
          <w:rFonts w:ascii="Times New Roman" w:hAnsi="Times New Roman" w:eastAsia="Times New Roman" w:cs="Times New Roman"/>
        </w:rPr>
        <w:t xml:space="preserve">» </w:t>
      </w:r>
      <w:r>
        <w:rPr>
          <w:rFonts w:ascii="Leelawadee UI" w:hAnsi="Leelawadee UI" w:eastAsia="Leelawadee UI" w:cs="Leelawadee UI"/>
        </w:rPr>
        <w:t>ប៉ុន្តែបុរសទាំងឡាយដែលនៅជាមួយដានីយ៉ែល</w:t>
      </w:r>
      <w:r>
        <w:rPr>
          <w:rFonts w:ascii="Times New Roman" w:hAnsi="Times New Roman" w:eastAsia="Times New Roman" w:cs="Times New Roman"/>
        </w:rPr>
        <w:t xml:space="preserve"> </w:t>
      </w:r>
      <w:r>
        <w:rPr>
          <w:rFonts w:ascii="Leelawadee UI" w:hAnsi="Leelawadee UI" w:eastAsia="Leelawadee UI" w:cs="Leelawadee UI"/>
        </w:rPr>
        <w:t>ដែលកំពុងរស់នៅក្នុងការបះបោរ</w:t>
      </w:r>
      <w:r>
        <w:rPr>
          <w:rFonts w:ascii="Times New Roman" w:hAnsi="Times New Roman" w:eastAsia="Times New Roman" w:cs="Times New Roman"/>
        </w:rPr>
        <w:t xml:space="preserve"> «</w:t>
      </w:r>
      <w:r>
        <w:rPr>
          <w:rFonts w:ascii="Leelawadee UI" w:hAnsi="Leelawadee UI" w:eastAsia="Leelawadee UI" w:cs="Leelawadee UI"/>
        </w:rPr>
        <w:t>មិនបានឃើញនិមិត្តនោះទេ</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តែម្ដង</w:t>
      </w:r>
      <w:r>
        <w:rPr>
          <w:rFonts w:ascii="Times New Roman" w:hAnsi="Times New Roman" w:eastAsia="Times New Roman" w:cs="Times New Roman"/>
        </w:rPr>
        <w:t xml:space="preserve">» </w:t>
      </w:r>
      <w:r>
        <w:rPr>
          <w:rFonts w:ascii="Leelawadee UI" w:hAnsi="Leelawadee UI" w:eastAsia="Leelawadee UI" w:cs="Leelawadee UI"/>
        </w:rPr>
        <w:t>បាន</w:t>
      </w:r>
      <w:r>
        <w:rPr>
          <w:rFonts w:ascii="Times New Roman" w:hAnsi="Times New Roman" w:eastAsia="Times New Roman" w:cs="Times New Roman"/>
        </w:rPr>
        <w:t xml:space="preserve"> «</w:t>
      </w:r>
      <w:r>
        <w:rPr>
          <w:rFonts w:ascii="Leelawadee UI" w:hAnsi="Leelawadee UI" w:eastAsia="Leelawadee UI" w:cs="Leelawadee UI"/>
        </w:rPr>
        <w:t>ឃើញនិមិត្តដ៏អស្ចារ្យនោះ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នៅឯការចាប់ផ្ដើម</w:t>
      </w:r>
      <w:r>
        <w:rPr>
          <w:rFonts w:ascii="Times New Roman" w:hAnsi="Times New Roman" w:eastAsia="Times New Roman" w:cs="Times New Roman"/>
        </w:rPr>
        <w:t xml:space="preserve"> </w:t>
      </w:r>
      <w:r>
        <w:rPr>
          <w:rFonts w:ascii="Leelawadee UI" w:hAnsi="Leelawadee UI" w:eastAsia="Leelawadee UI" w:cs="Leelawadee UI"/>
        </w:rPr>
        <w:t>និងនៅឯទីបញ្ចប់</w:t>
      </w:r>
      <w:r>
        <w:rPr>
          <w:rFonts w:ascii="Times New Roman" w:hAnsi="Times New Roman" w:eastAsia="Times New Roman" w:cs="Times New Roman"/>
        </w:rPr>
        <w:t xml:space="preserve"> </w:t>
      </w:r>
      <w:r>
        <w:rPr>
          <w:rFonts w:ascii="Leelawadee UI" w:hAnsi="Leelawadee UI" w:eastAsia="Leelawadee UI" w:cs="Leelawadee UI"/>
        </w:rPr>
        <w:t>ដានីយ៉ែលតែម្ដងបានឃើញនិមិត្ត</w:t>
      </w:r>
      <w:r>
        <w:rPr>
          <w:rFonts w:ascii="Times New Roman" w:hAnsi="Times New Roman" w:eastAsia="Times New Roman" w:cs="Times New Roman"/>
        </w:rPr>
        <w:t xml:space="preserve"> </w:t>
      </w:r>
      <w:r>
        <w:rPr>
          <w:rFonts w:ascii="Leelawadee UI" w:hAnsi="Leelawadee UI" w:eastAsia="Leelawadee UI" w:cs="Leelawadee UI"/>
        </w:rPr>
        <w:t>ហើយការយោងលើកទីពីរបានបណ្ដាលឱ្យអ្នកទាំងនោះដែលបានរត់គេច</w:t>
      </w:r>
      <w:r>
        <w:rPr>
          <w:rFonts w:ascii="Times New Roman" w:hAnsi="Times New Roman" w:eastAsia="Times New Roman" w:cs="Times New Roman"/>
        </w:rPr>
        <w:t xml:space="preserve"> </w:t>
      </w:r>
      <w:r>
        <w:rPr>
          <w:rFonts w:ascii="Leelawadee UI" w:hAnsi="Leelawadee UI" w:eastAsia="Leelawadee UI" w:cs="Leelawadee UI"/>
        </w:rPr>
        <w:t>បង្ហាញការបះបោររបស់ពួកគេ។</w:t>
      </w:r>
      <w:r>
        <w:rPr>
          <w:rFonts w:ascii="Times New Roman" w:hAnsi="Times New Roman" w:eastAsia="Times New Roman" w:cs="Times New Roman"/>
        </w:rPr>
        <w:t xml:space="preserve"> </w:t>
      </w:r>
      <w:r>
        <w:rPr>
          <w:rFonts w:ascii="Leelawadee UI" w:hAnsi="Leelawadee UI" w:eastAsia="Leelawadee UI" w:cs="Leelawadee UI"/>
        </w:rPr>
        <w:t>ដានីយ៉ែលកំពុងតំណាងឱ្យប្រជារាស្ត្ររបស់ព្រះនៅក្នុងថ្ងៃចុងក្រោយ</w:t>
      </w:r>
      <w:r>
        <w:rPr>
          <w:rFonts w:ascii="Times New Roman" w:hAnsi="Times New Roman" w:eastAsia="Times New Roman" w:cs="Times New Roman"/>
        </w:rPr>
        <w:t xml:space="preserve"> </w:t>
      </w:r>
      <w:r>
        <w:rPr>
          <w:rFonts w:ascii="Leelawadee UI" w:hAnsi="Leelawadee UI" w:eastAsia="Leelawadee UI" w:cs="Leelawadee UI"/>
        </w:rPr>
        <w:t>ដែលត្រូវបានផ្លាស់ប្ដូរទៅជារូបភាពរបស់ព្រះគ្រីស្ទ</w:t>
      </w:r>
      <w:r>
        <w:rPr>
          <w:rFonts w:ascii="Times New Roman" w:hAnsi="Times New Roman" w:eastAsia="Times New Roman" w:cs="Times New Roman"/>
        </w:rPr>
        <w:t xml:space="preserve"> </w:t>
      </w:r>
      <w:r>
        <w:rPr>
          <w:rFonts w:ascii="Leelawadee UI" w:hAnsi="Leelawadee UI" w:eastAsia="Leelawadee UI" w:cs="Leelawadee UI"/>
        </w:rPr>
        <w:t>តាមរយៈដំណើរការនៃការសម្លឹងមើលរូបភាពរបស់ទ្រង់។</w:t>
      </w:r>
      <w:r>
        <w:rPr>
          <w:rFonts w:ascii="Times New Roman" w:hAnsi="Times New Roman" w:eastAsia="Times New Roman" w:cs="Times New Roman"/>
        </w:rPr>
        <w:t xml:space="preserve"> </w:t>
      </w:r>
      <w:r>
        <w:rPr>
          <w:rFonts w:ascii="Leelawadee UI" w:hAnsi="Leelawadee UI" w:eastAsia="Leelawadee UI" w:cs="Leelawadee UI"/>
        </w:rPr>
        <w:t>យើងត្រូវសម្លឹងមើលនិមិត្តនៃ</w:t>
      </w:r>
      <w:r>
        <w:rPr>
          <w:rFonts w:ascii="Times New Roman" w:hAnsi="Times New Roman" w:eastAsia="Times New Roman" w:cs="Times New Roman"/>
        </w:rPr>
        <w:t xml:space="preserve"> «</w:t>
      </w:r>
      <w:r>
        <w:rPr>
          <w:rFonts w:ascii="Leelawadee UI" w:hAnsi="Leelawadee UI" w:eastAsia="Leelawadee UI" w:cs="Leelawadee UI"/>
        </w:rPr>
        <w:t>កញ្ចក់ឆ្លុះ</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“Vi må ha kunnskap om Gud gjennom levende erfaring. Hvis vi går fram for å kjenne Herren, skal vi vite at Hans framgang er beredt som morgenen. Kristus kaller oss til å bli fylt med hele Guds fylde. Da kan vi i sannhet representere den kristne religions fullkommenhet. ‘Den som drikker av det vann jeg vil gi ham,’ erklærer Frelseren, ‘skal aldri i evighet tørste; men det vann jeg vil gi ham, skal i ham bli en kilde med vann som veller fram til evig liv.’ Kristus ønsker at vi skal være medarbeidere med Ham. Når vi er tømt for selvet, vil Han gi oss sin nåde til å meddele til andre. De to oljekvistene, som gjennom de to gullrørene tømmer den gylne oljen ut av seg selv, vil visselig forsyne de rensede karene med lys og trøst og håp og kjærlighet for dem som er i nød. Vi må yte Gud mer enn sporadisk tjeneste. Men dette kan vi gjøre bare ved å lære av Jesus og ved å nære Hans saktmodighet og hjertets ydmykhet. La oss skjule oss i Gud. La oss ha tillit til Ham. La oss bli i Kristus. Da blir vi alle, ‘idet vi med utildekket ansikt ser Herrens herlighet som i et speil, forvandlet til det samme bilde fra herlighet til herlighet,’—fra karakter til karakter. Gud venter ikke det umulige av deg eller meg. Ved å skue Ham kan vi bli forvandlet til Hans bilde.” Signs of the Times, 25. april 1900.</w:t>
      </w:r>
    </w:p>
    <w:p>
      <w:pPr>
        <w:pStyle w:val="ArticleBody"/>
        <w:jc w:val="left"/>
      </w:pPr>
      <w:r>
        <w:rPr>
          <w:rFonts w:ascii="Times New Roman" w:hAnsi="Times New Roman" w:eastAsia="Times New Roman" w:cs="Times New Roman"/>
        </w:rPr>
        <w:t>Dans Daniel, au chapitre dix et au chapitre neuf, Gabriel donne à Daniel l’interprétation des visions prophétiques extérieures et intérieures, et la première déclaration de Daniel, au verset un du chapitre dix, est qu’il avait l’intelligence des deux visions, représentées comme la « chose » et la « vision ». Il reçut cette intelligence à la fin de vingt et un jours durant lesquels il avait été dans le deuil. Ces vingt et un jours prirent fin avec l’arrivée de Michel, l’archange. Le nombre deux cent vingt, et le nombre vingt-deux, qui est un dixième ou une dîme de deux cent vingt, est un symbole de la combinaison de la Divinité avec l’humanité, et ce fut au vingt-deuxième jour que Daniel fut transformé à l’image du Christ.</w:t>
      </w:r>
    </w:p>
    <w:p>
      <w:pPr>
        <w:pStyle w:val="ArticleScripture"/>
        <w:jc w:val="left"/>
      </w:pPr>
      <w:r>
        <w:rPr>
          <w:rFonts w:ascii="Times New Roman" w:hAnsi="Times New Roman" w:eastAsia="Times New Roman" w:cs="Times New Roman"/>
        </w:rPr>
        <w:t>I no kae wanpela switpela kaikai; mit na wain tu i no bin go insait long maus bilong mi, na mi no bin welim mi yet liklik tru, inap tripela ful wik i bin pinis. Na long namba twenti foa de bilong namba wan mun, taim mi stap klostu long bikpela wara, em Hiddekel; orait mi apim ai bilong mi na lukluk, na harim, wanpela man i pasim klos linen, na long namel bilong em i gat belt bilong gutpela gol bilong Uphaz. Daniel 10:3–5.</w:t>
      </w:r>
    </w:p>
    <w:p>
      <w:pPr>
        <w:pStyle w:val="ArticleBody"/>
        <w:jc w:val="left"/>
      </w:pPr>
      <w:r>
        <w:rPr>
          <w:rFonts w:ascii="Times New Roman" w:hAnsi="Times New Roman" w:eastAsia="Times New Roman" w:cs="Times New Roman"/>
        </w:rPr>
        <w:t>Danyele azali komonisa bato ya Nzambe ya mikolo ya nsuka oyo, na nzela ya Liloba ya esakweli ya Nzambe, basili koyeba ete bapalangani, mpe bazali kolela mpo na ezalela na bango ya kopalangana mpe bazali koluka pole. Ezalela na bango ya kopalangana emonisami lokola lobwaku ya mikuwa ekawuki mpe ekufi na Ezekiele mokapo ya ntuku misato na nsambo. Mikuwa yango ekufi, mpe epalangani, kasi emonisami lokola ndako ya Yisraele. Ndako ya Yisraele ya mikolo ya nsuka ezali bato nkóto nkama moko na ntuku minei na minei. Bapalangani, kaka ndenge Danyele ayebaki yango na mikanda ya Yilimia mpe ya Mose. Na Ezekiele, bakufi bamonisi ete bayebi ezalela na bango.</w:t>
      </w:r>
    </w:p>
    <w:p>
      <w:pPr>
        <w:pStyle w:val="ArticleScripture"/>
        <w:jc w:val="left"/>
      </w:pPr>
      <w:r>
        <w:rPr>
          <w:rFonts w:ascii="Times New Roman" w:hAnsi="Times New Roman" w:eastAsia="Times New Roman" w:cs="Times New Roman"/>
        </w:rPr>
        <w:t>Kisha akaniambia, Mwanadamu, mifupa hii ni nyumba yote ya Israeli; tazama, wao husema, Mifupa yetu imekauka, na tumaini letu limepotea; tumekatiliwa mbali kwa upande wetu. Ezekieli 37:11.</w:t>
      </w:r>
    </w:p>
    <w:p>
      <w:pPr>
        <w:pStyle w:val="ArticleBody"/>
        <w:jc w:val="left"/>
      </w:pPr>
      <w:r>
        <w:rPr>
          <w:rFonts w:ascii="Times New Roman" w:hAnsi="Times New Roman" w:eastAsia="Times New Roman" w:cs="Times New Roman"/>
        </w:rPr>
        <w:t>The house of Israel, which is the bones, proclaims that they are “cut off for our parts.” They have recognized their scattered condition. The house of Israel of the last days fulfills the parable of the ten virgins to the very letter, and in the Millerite history the fulfillment of recognizing that they were cut off from their parts, is identified when the wise virgins came to understand that they were in the tarrying time, and also that the tarrying time was a specific period of the parable. Those in Ezekiel who recognize their scattered condition are those who after the first disappointment recognized they were in the tarrying time.</w:t>
      </w:r>
    </w:p>
    <w:p>
      <w:pPr>
        <w:pStyle w:val="ArticleBody"/>
        <w:jc w:val="left"/>
      </w:pPr>
      <w:r>
        <w:rPr>
          <w:rFonts w:ascii="Times New Roman" w:hAnsi="Times New Roman" w:eastAsia="Times New Roman" w:cs="Times New Roman"/>
        </w:rPr>
        <w:t>Tanto los huesos de Ezequiel como los prudentes de la parábola de las diez vírgenes están representados por el duelo de Daniel durante los veintiún días. Después de los veintiún días, en el día veintidós, Miguel descendió, y a Daniel le fue dada una visión del Cristo glorificado que transformó a Daniel a la imagen de Cristo. Las vírgenes prudentes y los huesos muertos también deben pasar por la transformación realizada por la visión del espejo.</w:t>
      </w:r>
    </w:p>
    <w:p>
      <w:pPr>
        <w:pStyle w:val="ArticleBody"/>
        <w:jc w:val="left"/>
      </w:pPr>
      <w:r>
        <w:rPr>
          <w:rFonts w:ascii="Times New Roman" w:hAnsi="Times New Roman" w:eastAsia="Times New Roman" w:cs="Times New Roman"/>
        </w:rPr>
        <w:t>Daniel, les ossements desséchés d’Ézéchiel et les vierges sages de l’histoire millérite s’alignent tous avec les deux témoins qui sont mis à mort dans le chapitre onze de l’Apocalypse. Moïse et Élie furent mis à mort, mais ils devaient être ressuscités à la fin de trois jours et demi symboliques. Moïse fut ressuscité par Michel, ainsi qu’il est identifié dans l’épître de Jude.</w:t>
      </w:r>
    </w:p>
    <w:p>
      <w:pPr>
        <w:pStyle w:val="ArticleScripture"/>
        <w:jc w:val="left"/>
      </w:pPr>
      <w:r>
        <w:rPr>
          <w:rFonts w:ascii="Times New Roman" w:hAnsi="Times New Roman" w:eastAsia="Times New Roman" w:cs="Times New Roman"/>
        </w:rPr>
        <w:t>ff</w:t>
      </w:r>
      <w:r>
        <w:rPr>
          <w:rFonts w:ascii="Microsoft YaHei" w:hAnsi="Microsoft YaHei" w:eastAsia="Microsoft YaHei" w:cs="Microsoft YaHei"/>
        </w:rPr>
        <w:t>大天使米迦勒</w:t>
      </w:r>
      <w:r>
        <w:rPr>
          <w:rFonts w:ascii="Times New Roman" w:hAnsi="Times New Roman" w:eastAsia="Times New Roman" w:cs="Times New Roman"/>
        </w:rPr>
        <w:t>,</w:t>
      </w:r>
      <w:r>
        <w:rPr>
          <w:rFonts w:ascii="Microsoft YaHei" w:hAnsi="Microsoft YaHei" w:eastAsia="Microsoft YaHei" w:cs="Microsoft YaHei"/>
        </w:rPr>
        <w:t>為摩西的屍首與魔鬼爭辯的時候</w:t>
      </w:r>
      <w:r>
        <w:rPr>
          <w:rFonts w:ascii="Times New Roman" w:hAnsi="Times New Roman" w:eastAsia="Times New Roman" w:cs="Times New Roman"/>
        </w:rPr>
        <w:t>,</w:t>
      </w:r>
      <w:r>
        <w:rPr>
          <w:rFonts w:ascii="Microsoft YaHei" w:hAnsi="Microsoft YaHei" w:eastAsia="Microsoft YaHei" w:cs="Microsoft YaHei"/>
        </w:rPr>
        <w:t>尚且不敢用毀謗的話罪責他</w:t>
      </w:r>
      <w:r>
        <w:rPr>
          <w:rFonts w:ascii="Times New Roman" w:hAnsi="Times New Roman" w:eastAsia="Times New Roman" w:cs="Times New Roman"/>
        </w:rPr>
        <w:t>,</w:t>
      </w:r>
      <w:r>
        <w:rPr>
          <w:rFonts w:ascii="Microsoft YaHei" w:hAnsi="Microsoft YaHei" w:eastAsia="Microsoft YaHei" w:cs="Microsoft YaHei"/>
        </w:rPr>
        <w:t>只說：「主責備你吧！」猶大書</w:t>
      </w:r>
      <w:r>
        <w:rPr>
          <w:rFonts w:ascii="Times New Roman" w:hAnsi="Times New Roman" w:eastAsia="Times New Roman" w:cs="Times New Roman"/>
        </w:rPr>
        <w:t xml:space="preserve"> 1:9</w:t>
      </w:r>
    </w:p>
    <w:p>
      <w:pPr>
        <w:pStyle w:val="ArticleBody"/>
        <w:jc w:val="left"/>
      </w:pPr>
      <w:r>
        <w:rPr>
          <w:rFonts w:ascii="Times New Roman" w:hAnsi="Times New Roman" w:eastAsia="Times New Roman" w:cs="Times New Roman"/>
        </w:rPr>
        <w:t>Dans le chapitre dix de Daniel, Daniel reçoit la vision du miroir lorsque Michel descend après les vingt et un jours de deuil. C’est la voix de Michel qui ressuscite les morts.</w:t>
      </w:r>
    </w:p>
    <w:p>
      <w:pPr>
        <w:pStyle w:val="ArticleScripture"/>
        <w:jc w:val="left"/>
      </w:pPr>
      <w:r>
        <w:rPr>
          <w:rFonts w:ascii="Times New Roman" w:hAnsi="Times New Roman" w:eastAsia="Times New Roman" w:cs="Times New Roman"/>
        </w:rPr>
        <w:t>Car le Seigneur lui-même descendra du ciel avec un cri de commandement, avec la voix de l’archange, et avec la trompette de Dieu; et les morts en Christ ressusciteront premièrement. 1 Thessaloniciens 4:16.</w:t>
      </w:r>
    </w:p>
    <w:p>
      <w:pPr>
        <w:pStyle w:val="ArticleBody"/>
        <w:jc w:val="left"/>
      </w:pPr>
      <w:r>
        <w:rPr>
          <w:rFonts w:ascii="Nirmala UI" w:hAnsi="Nirmala UI" w:eastAsia="Nirmala UI" w:cs="Nirmala UI"/>
        </w:rPr>
        <w:t>দানিেলের</w:t>
      </w:r>
      <w:r>
        <w:rPr>
          <w:rFonts w:ascii="Times New Roman" w:hAnsi="Times New Roman" w:eastAsia="Times New Roman" w:cs="Times New Roman"/>
        </w:rPr>
        <w:t xml:space="preserve"> </w:t>
      </w:r>
      <w:r>
        <w:rPr>
          <w:rFonts w:ascii="Nirmala UI" w:hAnsi="Nirmala UI" w:eastAsia="Nirmala UI" w:cs="Nirmala UI"/>
        </w:rPr>
        <w:t>দশম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লাওদিকেয়</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ফিলাদেলফীয়</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উত্তরণের</w:t>
      </w:r>
      <w:r>
        <w:rPr>
          <w:rFonts w:ascii="Times New Roman" w:hAnsi="Times New Roman" w:eastAsia="Times New Roman" w:cs="Times New Roman"/>
        </w:rPr>
        <w:t xml:space="preserve"> </w:t>
      </w:r>
      <w:r>
        <w:rPr>
          <w:rFonts w:ascii="Nirmala UI" w:hAnsi="Nirmala UI" w:eastAsia="Nirmala UI" w:cs="Nirmala UI"/>
        </w:rPr>
        <w:t>পরিচয়</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একাদশ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সাক্ষী</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w:t>
      </w:r>
      <w:r>
        <w:rPr>
          <w:rFonts w:ascii="Nirmala UI" w:hAnsi="Nirmala UI" w:eastAsia="Nirmala UI" w:cs="Nirmala UI"/>
        </w:rPr>
        <w:t>সাঁইত্রিশ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অস্থিসমূহ</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কুমারীর</w:t>
      </w:r>
      <w:r>
        <w:rPr>
          <w:rFonts w:ascii="Times New Roman" w:hAnsi="Times New Roman" w:eastAsia="Times New Roman" w:cs="Times New Roman"/>
        </w:rPr>
        <w:t xml:space="preserve"> </w:t>
      </w:r>
      <w:r>
        <w:rPr>
          <w:rFonts w:ascii="Nirmala UI" w:hAnsi="Nirmala UI" w:eastAsia="Nirmala UI" w:cs="Nirmala UI"/>
        </w:rPr>
        <w:t>উপমায়</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কুমারীগণ</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উপমা</w:t>
      </w:r>
      <w:r>
        <w:rPr>
          <w:rFonts w:ascii="Times New Roman" w:hAnsi="Times New Roman" w:eastAsia="Times New Roman" w:cs="Times New Roman"/>
        </w:rPr>
        <w:t xml:space="preserve"> </w:t>
      </w:r>
      <w:r>
        <w:rPr>
          <w:rFonts w:ascii="Nirmala UI" w:hAnsi="Nirmala UI" w:eastAsia="Nirmala UI" w:cs="Nirmala UI"/>
        </w:rPr>
        <w:t>পূর্ণকারী</w:t>
      </w:r>
      <w:r>
        <w:rPr>
          <w:rFonts w:ascii="Times New Roman" w:hAnsi="Times New Roman" w:eastAsia="Times New Roman" w:cs="Times New Roman"/>
        </w:rPr>
        <w:t xml:space="preserve"> </w:t>
      </w:r>
      <w:r>
        <w:rPr>
          <w:rFonts w:ascii="Nirmala UI" w:hAnsi="Nirmala UI" w:eastAsia="Nirmala UI" w:cs="Nirmala UI"/>
        </w:rPr>
        <w:t>মিলারাইটদের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সামঞ্জস্যপূর্ণ।</w:t>
      </w:r>
      <w:r>
        <w:rPr>
          <w:rFonts w:ascii="Times New Roman" w:hAnsi="Times New Roman" w:eastAsia="Times New Roman" w:cs="Times New Roman"/>
        </w:rPr>
        <w:t xml:space="preserve"> </w:t>
      </w:r>
      <w:r>
        <w:rPr>
          <w:rFonts w:ascii="Nirmala UI" w:hAnsi="Nirmala UI" w:eastAsia="Nirmala UI" w:cs="Nirmala UI"/>
        </w:rPr>
        <w:t>গাব্রিয়েল</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w:t>
      </w:r>
      <w:r>
        <w:rPr>
          <w:rFonts w:ascii="Nirmala UI" w:hAnsi="Nirmala UI" w:eastAsia="Nirmala UI" w:cs="Nirmala UI"/>
        </w:rPr>
        <w:t>দর্পণের</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নবম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ব্যাখ্যার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থাকলেন।</w:t>
      </w:r>
      <w:r>
        <w:rPr>
          <w:rFonts w:ascii="Times New Roman" w:hAnsi="Times New Roman" w:eastAsia="Times New Roman" w:cs="Times New Roman"/>
        </w:rPr>
        <w:t xml:space="preserve"> </w:t>
      </w:r>
      <w:r>
        <w:rPr>
          <w:rFonts w:ascii="Nirmala UI" w:hAnsi="Nirmala UI" w:eastAsia="Nirmala UI" w:cs="Nirmala UI"/>
        </w:rPr>
        <w:t>গাব্রিয়েল</w:t>
      </w:r>
      <w:r>
        <w:rPr>
          <w:rFonts w:ascii="Times New Roman" w:hAnsi="Times New Roman" w:eastAsia="Times New Roman" w:cs="Times New Roman"/>
        </w:rPr>
        <w:t xml:space="preserve"> </w:t>
      </w:r>
      <w:r>
        <w:rPr>
          <w:rFonts w:ascii="Nirmala UI" w:hAnsi="Nirmala UI" w:eastAsia="Nirmala UI" w:cs="Nirmala UI"/>
        </w:rPr>
        <w:t>একাদশ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বিদ্যমান</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প্রকৃতপক্ষে</w:t>
      </w:r>
      <w:r>
        <w:rPr>
          <w:rFonts w:ascii="Times New Roman" w:hAnsi="Times New Roman" w:eastAsia="Times New Roman" w:cs="Times New Roman"/>
        </w:rPr>
        <w:t xml:space="preserve"> </w:t>
      </w:r>
      <w:r>
        <w:rPr>
          <w:rFonts w:ascii="Nirmala UI" w:hAnsi="Nirmala UI" w:eastAsia="Nirmala UI" w:cs="Nirmala UI"/>
        </w:rPr>
        <w:t>দ্বাদশ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দ্বাদশ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দানিয়েলকে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গ্রন্থ</w:t>
      </w:r>
      <w:r>
        <w:rPr>
          <w:rFonts w:ascii="Times New Roman" w:hAnsi="Times New Roman" w:eastAsia="Times New Roman" w:cs="Times New Roman"/>
        </w:rPr>
        <w:t xml:space="preserve"> </w:t>
      </w:r>
      <w:r>
        <w:rPr>
          <w:rFonts w:ascii="Nirmala UI" w:hAnsi="Nirmala UI" w:eastAsia="Nirmala UI" w:cs="Nirmala UI"/>
        </w:rPr>
        <w:t>মুদ্রাঙ্কিত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রাখতে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Na Daniel capitulo dies, “linea super linea”, Daniel representa le populo de Deo del ultime dies, qui es etiam representate in Daniel capitulo duo como cercante con fervor (sub le menacia de morte) comprender le message prophetic externe representate per le imagine secrete de bestias de Nebuchadnezzar. Il es etiam in cerca de comprender le vision del message prophetic interne representate per le duo mille tres centos dies. Post le vinti-un dies symbolic de lucto in capitulo dies, ille es finalmente representate como comprendente ambe revelationes. Su comprension es complite quando le archangelo descende, e ille es toccate tres vices.</w:t>
      </w:r>
    </w:p>
    <w:p>
      <w:pPr>
        <w:pStyle w:val="ArticleBody"/>
        <w:jc w:val="left"/>
      </w:pPr>
      <w:r>
        <w:rPr>
          <w:rFonts w:ascii="Times New Roman" w:hAnsi="Times New Roman" w:eastAsia="Times New Roman" w:cs="Times New Roman"/>
        </w:rPr>
        <w:t>Son expérience avec Michel, la vision de Michel que lui seul voit, le prépare à recevoir l’interprétation complète des visions prophétiques, tant intérieure qu’extérieure. Cette expérience est exposée, ligne sur ligne, de manière très détaillée, lorsqu’elle est mise en relation avec Ézéchiel chapitre trente-sept, Apocalypse chapitre onze et Ésaïe chapitre six. Le verset du chapitre onze où Gabriel réunit les deux visions est le verset dix, car là le roi du nord s’avance jusqu’à la forteresse, mais pas plus loin. La forteresse est la nation, ou la capitale, ou le roi d’Égypte dans le verset, ainsi qu’Ésaïe le définit au chapitre sept.</w:t>
      </w:r>
    </w:p>
    <w:p>
      <w:pPr>
        <w:pStyle w:val="ArticleScripture"/>
        <w:jc w:val="left"/>
      </w:pPr>
      <w:r>
        <w:rPr>
          <w:rFonts w:ascii="Times New Roman" w:hAnsi="Times New Roman" w:eastAsia="Times New Roman" w:cs="Times New Roman"/>
        </w:rPr>
        <w:t>Kai na Siria seulu ni Damascus, kei na ulu i Damascus ko Resini; ia ni bera ni oti e onosagavulu ka lima na yabaki, ena vorolaki ko Ifireimi, me kakua ni qai dua na nona matanitu. Kei na ulu i Ifireimi ko Samaria, kei na ulu i Samaria na luve i Remalia. Kevaka dou na sega ni vakabauta, dou na sega dina ni vakataudeitaki. Aisea 7:8, 9.</w:t>
      </w:r>
    </w:p>
    <w:p>
      <w:pPr>
        <w:pStyle w:val="ArticleBody"/>
        <w:jc w:val="left"/>
      </w:pPr>
      <w:r>
        <w:rPr>
          <w:rFonts w:ascii="Times New Roman" w:hAnsi="Times New Roman" w:eastAsia="Times New Roman" w:cs="Times New Roman"/>
        </w:rPr>
        <w:t>Katika aya ya kumi ya sura ya kumi na moja ya Danieli, mfalme wa kaskazini hufika hadi kwenye mpaka wa Misri, na aya hiyo hufafanua huo kuwa ni “ngome” ya Misri (mfalme wa kusini). Aya ya kumi inaweza kuonyeshwa kuwa inawakilisha mwaka 1989, wakati Umoja wa Kisovieti ulip swept away na upapa na jeshi lake la wakala, yaani, Marekani. Hiyo ilikuwa vita ya kwanza kati ya vita vitatu vya wakala, ambavyo hatimaye hugeuka kuwa Vita vya Tatu vya Dunia katika vita ya tatu ya wakala (Panium). Vita ya pili ya wakala inawakilishwa na aya ya kumi na moja na ya kumi na mbili, na sasa inafanyika nchini Ukraine, ambako Urusi inamwakilisha mfalme wa kusini, kama vile tu Umoja wa Kisovieti ulivyomwakilisha mfalme wa kusini katika kushindwa kwake mwaka 1989.</w:t>
      </w:r>
    </w:p>
    <w:p>
      <w:pPr>
        <w:pStyle w:val="ArticleBody"/>
        <w:jc w:val="left"/>
      </w:pPr>
      <w:r>
        <w:rPr>
          <w:rFonts w:ascii="Times New Roman" w:hAnsi="Times New Roman" w:eastAsia="Times New Roman" w:cs="Times New Roman"/>
        </w:rPr>
        <w:t>گذشته میں مَیں نے “سرد جنگ” کی تعبیر اس لیے استعمال کی ہے کہ اِن تین نیابتی جنگوں اور عالمی جنگوں کے درمیان امتیاز واضح ہو۔ یوکرین میں حقیقتاً واقعی جنگ جاری ہے، اس لیے یہ درحقیقت سرد جنگ نہیں ہے، بلکہ یہ پاپائیت اور اُس کے حلیفوں اور روس کے درمیان ایک نیابتی جنگ ہے۔ لیکن ایک تیسری عالمی جنگ بھی ہونی ہے، جس میں عملاً ہر قوم کو ہدف سمجھا جائے گا۔</w:t>
      </w:r>
    </w:p>
    <w:p>
      <w:pPr>
        <w:pStyle w:val="ArticleScripture"/>
        <w:jc w:val="left"/>
      </w:pPr>
      <w:r>
        <w:rPr>
          <w:rFonts w:ascii="Times New Roman" w:hAnsi="Times New Roman" w:eastAsia="Times New Roman" w:cs="Times New Roman"/>
        </w:rPr>
        <w:t>«Եթե Աստծո ժողովուրդը գիտակցություն ունենար հազարավոր քաղաքների մոտալուտ կործանման մասին, որոնք այժմ գրեթե մատնված են կռապաշտության։ ...»</w:t>
      </w:r>
    </w:p>
    <w:p>
      <w:pPr>
        <w:pStyle w:val="ArticleScripture"/>
        <w:jc w:val="left"/>
      </w:pPr>
      <w:r>
        <w:rPr>
          <w:rFonts w:ascii="Times New Roman" w:hAnsi="Times New Roman" w:eastAsia="Times New Roman" w:cs="Times New Roman"/>
        </w:rPr>
        <w:t>“</w:t>
      </w:r>
      <w:r>
        <w:rPr>
          <w:rFonts w:ascii="Nirmala UI" w:hAnsi="Nirmala UI" w:eastAsia="Nirmala UI" w:cs="Nirmala UI"/>
        </w:rPr>
        <w:t>দুরাচার</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বিভ্রান্তি</w:t>
      </w:r>
      <w:r>
        <w:rPr>
          <w:rFonts w:ascii="Times New Roman" w:hAnsi="Times New Roman" w:eastAsia="Times New Roman" w:cs="Times New Roman"/>
        </w:rPr>
        <w:t xml:space="preserve"> </w:t>
      </w:r>
      <w:r>
        <w:rPr>
          <w:rFonts w:ascii="Nirmala UI" w:hAnsi="Nirmala UI" w:eastAsia="Nirmala UI" w:cs="Nirmala UI"/>
        </w:rPr>
        <w:t>জগৎকে</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রেখেছে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অচিরেই</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মহাভয়</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আসতে</w:t>
      </w:r>
      <w:r>
        <w:rPr>
          <w:rFonts w:ascii="Times New Roman" w:hAnsi="Times New Roman" w:eastAsia="Times New Roman" w:cs="Times New Roman"/>
        </w:rPr>
        <w:t xml:space="preserve"> </w:t>
      </w:r>
      <w:r>
        <w:rPr>
          <w:rFonts w:ascii="Nirmala UI" w:hAnsi="Nirmala UI" w:eastAsia="Nirmala UI" w:cs="Nirmala UI"/>
        </w:rPr>
        <w:t>চলেছে।</w:t>
      </w:r>
      <w:r>
        <w:rPr>
          <w:rFonts w:ascii="Times New Roman" w:hAnsi="Times New Roman" w:eastAsia="Times New Roman" w:cs="Times New Roman"/>
        </w:rPr>
        <w:t xml:space="preserve"> </w:t>
      </w:r>
      <w:r>
        <w:rPr>
          <w:rFonts w:ascii="Nirmala UI" w:hAnsi="Nirmala UI" w:eastAsia="Nirmala UI" w:cs="Nirmala UI"/>
        </w:rPr>
        <w:t>অন্ত</w:t>
      </w:r>
      <w:r>
        <w:rPr>
          <w:rFonts w:ascii="Times New Roman" w:hAnsi="Times New Roman" w:eastAsia="Times New Roman" w:cs="Times New Roman"/>
        </w:rPr>
        <w:t xml:space="preserve"> </w:t>
      </w:r>
      <w:r>
        <w:rPr>
          <w:rFonts w:ascii="Nirmala UI" w:hAnsi="Nirmala UI" w:eastAsia="Nirmala UI" w:cs="Nirmala UI"/>
        </w:rPr>
        <w:t>একেবারে</w:t>
      </w:r>
      <w:r>
        <w:rPr>
          <w:rFonts w:ascii="Times New Roman" w:hAnsi="Times New Roman" w:eastAsia="Times New Roman" w:cs="Times New Roman"/>
        </w:rPr>
        <w:t xml:space="preserve"> </w:t>
      </w:r>
      <w:r>
        <w:rPr>
          <w:rFonts w:ascii="Nirmala UI" w:hAnsi="Nirmala UI" w:eastAsia="Nirmala UI" w:cs="Nirmala UI"/>
        </w:rPr>
        <w:t>সন্নিকটে।</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শীঘ্রই</w:t>
      </w:r>
      <w:r>
        <w:rPr>
          <w:rFonts w:ascii="Times New Roman" w:hAnsi="Times New Roman" w:eastAsia="Times New Roman" w:cs="Times New Roman"/>
        </w:rPr>
        <w:t xml:space="preserve"> </w:t>
      </w:r>
      <w:r>
        <w:rPr>
          <w:rFonts w:ascii="Nirmala UI" w:hAnsi="Nirmala UI" w:eastAsia="Nirmala UI" w:cs="Nirmala UI"/>
        </w:rPr>
        <w:t>জগতের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সর্বগ্রাসী</w:t>
      </w:r>
      <w:r>
        <w:rPr>
          <w:rFonts w:ascii="Times New Roman" w:hAnsi="Times New Roman" w:eastAsia="Times New Roman" w:cs="Times New Roman"/>
        </w:rPr>
        <w:t xml:space="preserve"> </w:t>
      </w:r>
      <w:r>
        <w:rPr>
          <w:rFonts w:ascii="Nirmala UI" w:hAnsi="Nirmala UI" w:eastAsia="Nirmala UI" w:cs="Nirmala UI"/>
        </w:rPr>
        <w:t>আকস্মিকতা</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আসবে।</w:t>
      </w:r>
      <w:r>
        <w:rPr>
          <w:rFonts w:ascii="Times New Roman" w:hAnsi="Times New Roman" w:eastAsia="Times New Roman" w:cs="Times New Roman"/>
        </w:rPr>
        <w:t>” Review and Herald, September 10, 1903.</w:t>
      </w:r>
    </w:p>
    <w:p>
      <w:pPr>
        <w:pStyle w:val="ArticleBody"/>
        <w:jc w:val="left"/>
      </w:pPr>
      <w:r>
        <w:rPr>
          <w:rFonts w:ascii="Times New Roman" w:hAnsi="Times New Roman" w:eastAsia="Times New Roman" w:cs="Times New Roman"/>
        </w:rPr>
        <w:t>Au versets onze et douze, la Russie, le roi du sud, vaincra l’armée supplétive de la papauté, représentée par le régime nazi qui dirige l’effort de guerre ukrainien et qui est soutenu par la précédente armée supplétive de la papauté, les États-Unis. Lors de la Seconde Guerre mondiale, l’armée supplétive de la papauté, le roi du nord, contre la Russie communiste, était le régime nazi allemand, et cette armée supplétive a perdu, tout comme elle perdra de nouveau en Ukraine dans un proche avenir.</w:t>
      </w:r>
    </w:p>
    <w:p>
      <w:pPr>
        <w:pStyle w:val="ArticleBody"/>
        <w:jc w:val="left"/>
      </w:pPr>
      <w:r>
        <w:rPr>
          <w:rFonts w:ascii="Times New Roman" w:hAnsi="Times New Roman" w:eastAsia="Times New Roman" w:cs="Times New Roman"/>
        </w:rPr>
        <w:t>جنگ نیابتیِ سوم در آیات سیزده تا پانزده به تصویر کشیده شده است، و در تاریخ باستان در نبرد پانیوم تحقق یافت. جنگ نیابتیِ سوم به‌وسیلهٔ ایالات متحده، ارتش نیابتیِ پاپی، به انجام خواهد رسید، و پادشاه شمال در آن نبرد بر ضدّ الحاد غلبه خواهد کرد، همان‌گونه که در نخستین جنگ نیابتی (جنگ سرد) غلبه کرد. در جنگ نیابتیِ نخست و سوم، پادشاه شمال ـ یعنی پاپی ـ پادشاه جنوب (اتحاد جماهیر شوروی) را شکست می‌دهد، و سپس سازمان ملل متحد را نیز مغلوب می‌سازد. ارتش نیابتیِ او در آن دو نبرد، ایالات متحده بوده است و بار دیگر نیز خواهد بود.</w:t>
      </w:r>
    </w:p>
    <w:p>
      <w:pPr>
        <w:pStyle w:val="ArticleBody"/>
        <w:jc w:val="left"/>
      </w:pPr>
      <w:r>
        <w:rPr>
          <w:rFonts w:ascii="Times New Roman" w:hAnsi="Times New Roman" w:eastAsia="Times New Roman" w:cs="Times New Roman"/>
        </w:rPr>
        <w:t>Trump sera réélu comme le huitième président, c’est-à-dire l’un des sept présidents qui ont régné aux États-Unis depuis que la première guerre par procuration (la guerre froide) s’est accomplie en 1989, ce qui fut le temps de la fin pour le mouvement de réforme du troisième ange. Trump représente la corne républicaine de la bête de la terre, et il a reçu une blessure mortelle de la main de la bête de l’athéisme « woke » en 2020, en accomplissement des deux témoins du chapitre onze de l’Apocalypse, mis à mort dans la rue.</w:t>
      </w:r>
    </w:p>
    <w:p>
      <w:pPr>
        <w:pStyle w:val="ArticleBody"/>
        <w:jc w:val="left"/>
      </w:pPr>
      <w:r>
        <w:rPr>
          <w:rFonts w:ascii="Times New Roman" w:hAnsi="Times New Roman" w:eastAsia="Times New Roman" w:cs="Times New Roman"/>
        </w:rPr>
        <w:t>America sefela i kamoo lenaka la nnete la Boprotestanta nakong eo e tšoanang ea histori, ’me ka 2020, Future for America e ile ea amohela leqeba le bolaeang matsohong a sebata sa boateiste ba “woke.” Ka 2023, lilemo tse mashome a mabeli a metso e ’meli ka mor’a 2001, Mikaele o ile a theoha ho qala tshebetso e emeloang ke Ezekiele, Johanne, Daniele le Esaia ea ho tsosa lebotho le matla le tla phahamisetsoa e le folakha molaong oa Sontaha o haufi ho tla.</w:t>
      </w:r>
    </w:p>
    <w:p>
      <w:pPr>
        <w:pStyle w:val="ArticleBody"/>
        <w:jc w:val="left"/>
      </w:pPr>
      <w:r>
        <w:rPr>
          <w:rFonts w:ascii="Times New Roman" w:hAnsi="Times New Roman" w:eastAsia="Times New Roman" w:cs="Times New Roman"/>
        </w:rPr>
        <w:t xml:space="preserve">1856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ਫ਼ਿਲਾਦੈਲਫ਼ੀਆਈ</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ਪਰਿਵਰਤਿਤ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ਓਥੇ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ਵਧੇਰੇ</w:t>
      </w:r>
      <w:r>
        <w:rPr>
          <w:rFonts w:ascii="Times New Roman" w:hAnsi="Times New Roman" w:eastAsia="Times New Roman" w:cs="Times New Roman"/>
        </w:rPr>
        <w:t xml:space="preserve"> </w:t>
      </w:r>
      <w:r>
        <w:rPr>
          <w:rFonts w:ascii="Nirmala UI" w:hAnsi="Nirmala UI" w:eastAsia="Nirmala UI" w:cs="Nirmala UI"/>
        </w:rPr>
        <w:t>ਗਿਆਨ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ਅਵਸਥਾ</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ਫ਼ਿਲਾਦੈਲਫ਼ੀਆ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ਅਨੁਭਵ</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ਪਰਿਵਰਤਿਤ</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2023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Future for America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ਅਨੁਭਵ</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ਫ਼ਿਲਾਦੈਲਫ਼ੀਆ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ਅਨੁਭਵ</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ਪਰਿਵਰਤਿਤ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ਲਾਗੂਕਰਨ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ਪ੍ਰੋਟੈਸਟੈਂਟ</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ਰਿਪਬਲਿਕਨ</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Chii fessanis gufuu waraanni Yukireen lola bakka-bu’aa isa lammaffaa taʼuu beekamuu dandeessisu, “daʼannoo” keeyyata kudhaffaa fi keeyyata torbaffaadhaa dha. Keeyyata torbaffaatti, kan bara 1798 keessatti abbaa taayitaa papaasummaa madaa duʼaa geessisu argate bakka buʼe keessatti, mootichi kibbaa gara “daʼannoo” mooticha kaabaa seene; kunis jeneraalichi Naapoliyoon Vaatikaan keessa seenee pope qabatee hidhuudhaan raawwatame. Mootichi kibbaa gara daʼannoo sanaa seenee ture. Keeyyata kudhaffaatti immoo, mootichi kaabaa, kan papaasummaa fi loltoota isaa bakka-buʼoota Ameerikaa Tokkummaa bakka buʼu, caasaa Sooviyeet Yuuniyanii harcaasee balleesse; garuu “daʼannoon” sun dhaabbatee hafe. “Daʼannoon” sun mataa, magaalaa guddoo ture—innis Raashiyaa ture.</w:t>
      </w:r>
    </w:p>
    <w:p>
      <w:pPr>
        <w:pStyle w:val="ArticleBody"/>
        <w:jc w:val="left"/>
      </w:pP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ក្បាល</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បន្ទាយរឹងមាំ</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អាចត្រូវបានបង្កើតឡើងបានតែដោយសក្ខីភាពពីរឬបីប៉ុណ្ណោះ</w:t>
      </w:r>
      <w:r>
        <w:rPr>
          <w:rFonts w:ascii="Times New Roman" w:hAnsi="Times New Roman" w:eastAsia="Times New Roman" w:cs="Times New Roman"/>
        </w:rPr>
        <w:t xml:space="preserve"> </w:t>
      </w:r>
      <w:r>
        <w:rPr>
          <w:rFonts w:ascii="Leelawadee UI" w:hAnsi="Leelawadee UI" w:eastAsia="Leelawadee UI" w:cs="Leelawadee UI"/>
        </w:rPr>
        <w:t>ដោយប្រើអេសាយ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គឺជាចំណុចយោងសំខាន់សម្រាប់ស៊េរីអត្ថបទរបស់</w:t>
      </w:r>
      <w:r>
        <w:rPr>
          <w:rFonts w:ascii="Times New Roman" w:hAnsi="Times New Roman" w:eastAsia="Times New Roman" w:cs="Times New Roman"/>
        </w:rPr>
        <w:t xml:space="preserve"> Hiram Edson </w:t>
      </w:r>
      <w:r>
        <w:rPr>
          <w:rFonts w:ascii="Leelawadee UI" w:hAnsi="Leelawadee UI" w:eastAsia="Leelawadee UI" w:cs="Leelawadee UI"/>
        </w:rPr>
        <w:t>ស្តីអំពី</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ដែលត្រូវបានបោះពុម្ពនៅឆ្នាំ</w:t>
      </w:r>
      <w:r>
        <w:rPr>
          <w:rFonts w:ascii="Times New Roman" w:hAnsi="Times New Roman" w:eastAsia="Times New Roman" w:cs="Times New Roman"/>
        </w:rPr>
        <w:t xml:space="preserve"> 1856</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ខទាំងពីរដែលបង្កើតថា</w:t>
      </w:r>
      <w:r>
        <w:rPr>
          <w:rFonts w:ascii="Times New Roman" w:hAnsi="Times New Roman" w:eastAsia="Times New Roman" w:cs="Times New Roman"/>
        </w:rPr>
        <w:t xml:space="preserve"> </w:t>
      </w:r>
      <w:r>
        <w:rPr>
          <w:rFonts w:ascii="Leelawadee UI" w:hAnsi="Leelawadee UI" w:eastAsia="Leelawadee UI" w:cs="Leelawadee UI"/>
        </w:rPr>
        <w:t>រុស្ស៊ីគឺជាបន្ទាយរឹងមាំដែលឈ្នះនៅក្នុងសង្គ្រាមអ៊ុយក្រែនបច្ចុប្បន្ន</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ក៏ជាខទាំងពីរដែលបង្កើតចំណុចចាប់ផ្ដើមសម្រាប់</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ទាំងពីរផងដែរ</w:t>
      </w:r>
      <w:r>
        <w:rPr>
          <w:rFonts w:ascii="Times New Roman" w:hAnsi="Times New Roman" w:eastAsia="Times New Roman" w:cs="Times New Roman"/>
        </w:rPr>
        <w:t xml:space="preserve"> </w:t>
      </w:r>
      <w:r>
        <w:rPr>
          <w:rFonts w:ascii="Leelawadee UI" w:hAnsi="Leelawadee UI" w:eastAsia="Leelawadee UI" w:cs="Leelawadee UI"/>
        </w:rPr>
        <w:t>ទាស់នឹងនគរខាងជើង</w:t>
      </w:r>
      <w:r>
        <w:rPr>
          <w:rFonts w:ascii="Times New Roman" w:hAnsi="Times New Roman" w:eastAsia="Times New Roman" w:cs="Times New Roman"/>
        </w:rPr>
        <w:t xml:space="preserve"> </w:t>
      </w:r>
      <w:r>
        <w:rPr>
          <w:rFonts w:ascii="Leelawadee UI" w:hAnsi="Leelawadee UI" w:eastAsia="Leelawadee UI" w:cs="Leelawadee UI"/>
        </w:rPr>
        <w:t>និងនគរខាងត្បូងរបស់អ៊ីស្រាអែល។</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នៃជំពូក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កំណត់អត្តសញ្ញាណនិមិត្តខាងក្រៅ</w:t>
      </w:r>
      <w:r>
        <w:rPr>
          <w:rFonts w:ascii="Times New Roman" w:hAnsi="Times New Roman" w:eastAsia="Times New Roman" w:cs="Times New Roman"/>
        </w:rPr>
        <w:t xml:space="preserve"> </w:t>
      </w:r>
      <w:r>
        <w:rPr>
          <w:rFonts w:ascii="Leelawadee UI" w:hAnsi="Leelawadee UI" w:eastAsia="Leelawadee UI" w:cs="Leelawadee UI"/>
        </w:rPr>
        <w:t>ដែលបងស្រី</w:t>
      </w:r>
      <w:r>
        <w:rPr>
          <w:rFonts w:ascii="Times New Roman" w:hAnsi="Times New Roman" w:eastAsia="Times New Roman" w:cs="Times New Roman"/>
        </w:rPr>
        <w:t xml:space="preserve"> White </w:t>
      </w:r>
      <w:r>
        <w:rPr>
          <w:rFonts w:ascii="Leelawadee UI" w:hAnsi="Leelawadee UI" w:eastAsia="Leelawadee UI" w:cs="Leelawadee UI"/>
        </w:rPr>
        <w:t>បង្រៀនថា</w:t>
      </w:r>
      <w:r>
        <w:rPr>
          <w:rFonts w:ascii="Times New Roman" w:hAnsi="Times New Roman" w:eastAsia="Times New Roman" w:cs="Times New Roman"/>
        </w:rPr>
        <w:t xml:space="preserve"> </w:t>
      </w:r>
      <w:r>
        <w:rPr>
          <w:rFonts w:ascii="Leelawadee UI" w:hAnsi="Leelawadee UI" w:eastAsia="Leelawadee UI" w:cs="Leelawadee UI"/>
        </w:rPr>
        <w:t>មានមូលដ្ឋានលើការកើនឡើង</w:t>
      </w:r>
      <w:r>
        <w:rPr>
          <w:rFonts w:ascii="Times New Roman" w:hAnsi="Times New Roman" w:eastAsia="Times New Roman" w:cs="Times New Roman"/>
        </w:rPr>
        <w:t xml:space="preserve"> </w:t>
      </w:r>
      <w:r>
        <w:rPr>
          <w:rFonts w:ascii="Leelawadee UI" w:hAnsi="Leelawadee UI" w:eastAsia="Leelawadee UI" w:cs="Leelawadee UI"/>
        </w:rPr>
        <w:t>និងការដួលរលំរបស់នគរ។</w:t>
      </w:r>
    </w:p>
    <w:p>
      <w:pPr>
        <w:pStyle w:val="ArticleScripture"/>
        <w:jc w:val="left"/>
      </w:pPr>
      <w:r>
        <w:rPr>
          <w:rFonts w:ascii="Times New Roman" w:hAnsi="Times New Roman" w:eastAsia="Times New Roman" w:cs="Times New Roman"/>
        </w:rPr>
        <w:t>“</w:t>
      </w:r>
      <w:r>
        <w:rPr>
          <w:rFonts w:ascii="Nirmala UI" w:hAnsi="Nirmala UI" w:eastAsia="Nirmala UI" w:cs="Nirmala UI"/>
        </w:rPr>
        <w:t>जइसे</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किताबन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देखावल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ओसे</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निरर्थक</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आपन</w:t>
      </w:r>
      <w:r>
        <w:rPr>
          <w:rFonts w:ascii="Times New Roman" w:hAnsi="Times New Roman" w:eastAsia="Times New Roman" w:cs="Times New Roman"/>
        </w:rPr>
        <w:t xml:space="preserve"> </w:t>
      </w:r>
      <w:r>
        <w:rPr>
          <w:rFonts w:ascii="Nirmala UI" w:hAnsi="Nirmala UI" w:eastAsia="Nirmala UI" w:cs="Nirmala UI"/>
        </w:rPr>
        <w:t>सगरी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वैभव</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बराबरी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चीज</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नइखे</w:t>
      </w:r>
      <w:r>
        <w:rPr>
          <w:rFonts w:ascii="Times New Roman" w:hAnsi="Times New Roman" w:eastAsia="Times New Roman" w:cs="Times New Roman"/>
        </w:rPr>
        <w:t xml:space="preserve"> </w:t>
      </w:r>
      <w:r>
        <w:rPr>
          <w:rFonts w:ascii="Nirmala UI" w:hAnsi="Nirmala UI" w:eastAsia="Nirmala UI" w:cs="Nirmala UI"/>
        </w:rPr>
        <w:t>देखले</w:t>
      </w:r>
      <w:r>
        <w:rPr>
          <w:rFonts w:ascii="Times New Roman" w:hAnsi="Times New Roman" w:eastAsia="Times New Roman" w:cs="Times New Roman"/>
        </w:rPr>
        <w:t>—</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दिनन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एतना</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टिकाऊ</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वैभव</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जइसन</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1:10</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हउवें।</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ऊहे</w:t>
      </w:r>
      <w:r>
        <w:rPr>
          <w:rFonts w:ascii="Times New Roman" w:hAnsi="Times New Roman" w:eastAsia="Times New Roman" w:cs="Times New Roman"/>
        </w:rPr>
        <w:t xml:space="preserve"> </w:t>
      </w:r>
      <w:r>
        <w:rPr>
          <w:rFonts w:ascii="Nirmala UI" w:hAnsi="Nirmala UI" w:eastAsia="Nirmala UI" w:cs="Nirmala UI"/>
        </w:rPr>
        <w:t>टिक</w:t>
      </w:r>
      <w:r>
        <w:rPr>
          <w:rFonts w:ascii="Times New Roman" w:hAnsi="Times New Roman" w:eastAsia="Times New Roman" w:cs="Times New Roman"/>
        </w:rPr>
        <w:t xml:space="preserve"> </w:t>
      </w:r>
      <w:r>
        <w:rPr>
          <w:rFonts w:ascii="Nirmala UI" w:hAnsi="Nirmala UI" w:eastAsia="Nirmala UI" w:cs="Nirmala UI"/>
        </w:rPr>
        <w:t>सकेला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जुड़ल</w:t>
      </w:r>
      <w:r>
        <w:rPr>
          <w:rFonts w:ascii="Times New Roman" w:hAnsi="Times New Roman" w:eastAsia="Times New Roman" w:cs="Times New Roman"/>
        </w:rPr>
        <w:t xml:space="preserve"> </w:t>
      </w:r>
      <w:r>
        <w:rPr>
          <w:rFonts w:ascii="Nirmala UI" w:hAnsi="Nirmala UI" w:eastAsia="Nirmala UI" w:cs="Nirmala UI"/>
        </w:rPr>
        <w:t>होखे</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होखे।</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अटल</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जानेला।</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548.</w:t>
      </w:r>
    </w:p>
    <w:p>
      <w:pPr>
        <w:pStyle w:val="ArticleBody"/>
        <w:jc w:val="left"/>
      </w:pPr>
      <w:r>
        <w:rPr>
          <w:rFonts w:ascii="Times New Roman" w:hAnsi="Times New Roman" w:eastAsia="Times New Roman" w:cs="Times New Roman"/>
        </w:rPr>
        <w:t>A guerra proxy tríplice é “tornada clara nos livros de Daniel e do Apocalipse”, e a chave para esta verdade é a “fortaleza” do versículo dez de Daniel onze. Mas o versículo dez também trata da visão interna, pois o ponto de partida para ambos os “sete tempos” também é identificado em Isaías capítulo sete, versículos oito e nove. O externo e o interno não podem ser separados, e os dois períodos de dois mil quinhentos e vinte anos são também os dois paus de Ezequiel, os quais, quando unidos, representam o selamento dos cento e quarenta e quatro mil, que é a combinação da Divindade com a humanidade.</w:t>
      </w:r>
    </w:p>
    <w:p>
      <w:pPr>
        <w:pStyle w:val="ArticleBody"/>
        <w:jc w:val="left"/>
      </w:pPr>
      <w:r>
        <w:rPr>
          <w:rFonts w:ascii="Nirmala UI" w:hAnsi="Nirmala UI" w:eastAsia="Nirmala UI" w:cs="Nirmala UI"/>
        </w:rPr>
        <w:t>ડેનિયેલનો</w:t>
      </w:r>
      <w:r>
        <w:rPr>
          <w:rFonts w:ascii="Times New Roman" w:hAnsi="Times New Roman" w:eastAsia="Times New Roman" w:cs="Times New Roman"/>
        </w:rPr>
        <w:t xml:space="preserve"> </w:t>
      </w:r>
      <w:r>
        <w:rPr>
          <w:rFonts w:ascii="Nirmala UI" w:hAnsi="Nirmala UI" w:eastAsia="Nirmala UI" w:cs="Nirmala UI"/>
        </w:rPr>
        <w:t>કારણકારક</w:t>
      </w:r>
      <w:r>
        <w:rPr>
          <w:rFonts w:ascii="Times New Roman" w:hAnsi="Times New Roman" w:eastAsia="Times New Roman" w:cs="Times New Roman"/>
        </w:rPr>
        <w:t xml:space="preserve"> “marah” </w:t>
      </w:r>
      <w:r>
        <w:rPr>
          <w:rFonts w:ascii="Nirmala UI" w:hAnsi="Nirmala UI" w:eastAsia="Nirmala UI" w:cs="Nirmala UI"/>
        </w:rPr>
        <w:t>દર્શન</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અનુભવ</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રેખાનું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મીખાયેલ</w:t>
      </w:r>
      <w:r>
        <w:rPr>
          <w:rFonts w:ascii="Times New Roman" w:hAnsi="Times New Roman" w:eastAsia="Times New Roman" w:cs="Times New Roman"/>
        </w:rPr>
        <w:t xml:space="preserve"> </w:t>
      </w:r>
      <w:r>
        <w:rPr>
          <w:rFonts w:ascii="Nirmala UI" w:hAnsi="Nirmala UI" w:eastAsia="Nirmala UI" w:cs="Nirmala UI"/>
        </w:rPr>
        <w:t>ઉતરી</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પુનરુત્થિત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પુનરુત્થાન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પગલાંનું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દિવ્યત્વને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માનવતા</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સંયોજિત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માનવીય</w:t>
      </w:r>
      <w:r>
        <w:rPr>
          <w:rFonts w:ascii="Times New Roman" w:hAnsi="Times New Roman" w:eastAsia="Times New Roman" w:cs="Times New Roman"/>
        </w:rPr>
        <w:t xml:space="preserve"> </w:t>
      </w:r>
      <w:r>
        <w:rPr>
          <w:rFonts w:ascii="Nirmala UI" w:hAnsi="Nirmala UI" w:eastAsia="Nirmala UI" w:cs="Nirmala UI"/>
        </w:rPr>
        <w:t>મનના</w:t>
      </w:r>
      <w:r>
        <w:rPr>
          <w:rFonts w:ascii="Times New Roman" w:hAnsi="Times New Roman" w:eastAsia="Times New Roman" w:cs="Times New Roman"/>
        </w:rPr>
        <w:t xml:space="preserve"> </w:t>
      </w:r>
      <w:r>
        <w:rPr>
          <w:rFonts w:ascii="Nirmala UI" w:hAnsi="Nirmala UI" w:eastAsia="Nirmala UI" w:cs="Nirmala UI"/>
        </w:rPr>
        <w:t>સંયોગ</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સિદ્ધ</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જેથી</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ધરાવે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સિંહાસન</w:t>
      </w:r>
      <w:r>
        <w:rPr>
          <w:rFonts w:ascii="Times New Roman" w:hAnsi="Times New Roman" w:eastAsia="Times New Roman" w:cs="Times New Roman"/>
        </w:rPr>
        <w:t>-</w:t>
      </w:r>
      <w:r>
        <w:rPr>
          <w:rFonts w:ascii="Nirmala UI" w:hAnsi="Nirmala UI" w:eastAsia="Nirmala UI" w:cs="Nirmala UI"/>
        </w:rPr>
        <w:t>ગૃહમાં</w:t>
      </w:r>
      <w:r>
        <w:rPr>
          <w:rFonts w:ascii="Times New Roman" w:hAnsi="Times New Roman" w:eastAsia="Times New Roman" w:cs="Times New Roman"/>
        </w:rPr>
        <w:t xml:space="preserve">, </w:t>
      </w:r>
      <w:r>
        <w:rPr>
          <w:rFonts w:ascii="Nirmala UI" w:hAnsi="Nirmala UI" w:eastAsia="Nirmala UI" w:cs="Nirmala UI"/>
        </w:rPr>
        <w:t>પરમપવિત્ર</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સિદ્ધ</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“fortress”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Sister White </w:t>
      </w:r>
      <w:r>
        <w:rPr>
          <w:rFonts w:ascii="Nirmala UI" w:hAnsi="Nirmala UI" w:eastAsia="Nirmala UI" w:cs="Nirmala UI"/>
        </w:rPr>
        <w:t>આત્માના</w:t>
      </w:r>
      <w:r>
        <w:rPr>
          <w:rFonts w:ascii="Times New Roman" w:hAnsi="Times New Roman" w:eastAsia="Times New Roman" w:cs="Times New Roman"/>
        </w:rPr>
        <w:t xml:space="preserve"> “citadel” (fortress)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chumba cha enzi watu wa Mungu wa siku za mwisho hupokea nia ya Kristo, kisha huketishwa pamoja na Kristo katika mahali pa mbinguni. Mahali pa mbinguni ambapo Kristo ameketi ni ngome, au kichwa cha hekalu. Hekalu la mwili lina tabia ya chini, nayo ni mwili, yaani, mwili wa nyama. Pia lina tabia ya juu, nayo ni nia. Katika mstari wa kumi wa Danieli sura ya kumi na moja, ufunguo unaoashiria ngome ya njozi ya nje pia unaashiria ngome ya njozi ya ndani, na kwa kufanya hivyo unatambulisha historia ambayo ndani yake pembe za Urepublikanismu na za Uprotestanti hupitia katika sanamu ya mnyama (Urepublikanismu), au sanamu ya Mungu (Uprotestanti wa kweli). Kisha pembe zote mbili huwa ya nane iliyo ya wale saba.</w:t>
      </w:r>
    </w:p>
    <w:p>
      <w:pPr>
        <w:pStyle w:val="ArticleBody"/>
        <w:jc w:val="left"/>
      </w:pPr>
      <w:r>
        <w:rPr>
          <w:rFonts w:ascii="Times New Roman" w:hAnsi="Times New Roman" w:eastAsia="Times New Roman" w:cs="Times New Roman"/>
        </w:rPr>
        <w:t>Thucu chaka cha Chiprotestanti, nchakuda cha ku Filadelfia icho chili gulu lankhondo lamphamvu la Ezekieli, ndi mbendera ya Yesaya imene yakwezedwa pankhondo yolimbana ndi chifanizo cha chilombo, poyamba mu United States, kenako padziko lapansi. Danieli 11, vesi 10, limazindikiritsa mfundo ya m’mbiri yopatulika imene kuyamba kwa kulumikizana kwa timitengo kumayambira. Nkhondo ya ku Ukraine inayamba mu 2014, koma si mpaka mu 2022 pamene Russia inayamba kulanda Ukraine. Mu 2023, zaka makumi awiri ndi ziwiri kuchokera mu 2001, Mikaeli anayamba ntchito Yake youkitsa amene anavutika ndi kukhumudwitsidwa kwawo koyamba pokwaniritsa fanizo la anamwali khumi mu 2020. Poyamba anaukitsa “liwu” limene tsopano likulira m’chipululu. Mu Julaye 2023, liwulo linayamba kulira, ndipo linali liwu lomwelo limene linaukitsidwa pa chiyambi cha kayendedwe ka kusintha kwa mngelo wachitatu mu 1989, pakuti Yesu nthawi zonse amafotokozera mapeto ndi chiyambi.</w:t>
      </w:r>
    </w:p>
    <w:p>
      <w:pPr>
        <w:pStyle w:val="ArticleBody"/>
        <w:jc w:val="left"/>
      </w:pPr>
      <w:r>
        <w:rPr>
          <w:rFonts w:ascii="Times New Roman" w:hAnsi="Times New Roman" w:eastAsia="Times New Roman" w:cs="Times New Roman"/>
        </w:rPr>
        <w:t>“</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सुनाई</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उद्घाटित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दसवें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w:t>
      </w:r>
      <w:r>
        <w:rPr>
          <w:rFonts w:ascii="Nirmala UI" w:hAnsi="Nirmala UI" w:eastAsia="Nirmala UI" w:cs="Nirmala UI"/>
        </w:rPr>
        <w:t>कारणकारी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संपन्न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सृष्ट</w:t>
      </w:r>
      <w:r>
        <w:rPr>
          <w:rFonts w:ascii="Times New Roman" w:hAnsi="Times New Roman" w:eastAsia="Times New Roman" w:cs="Times New Roman"/>
        </w:rPr>
        <w:t xml:space="preserve"> </w:t>
      </w:r>
      <w:r>
        <w:rPr>
          <w:rFonts w:ascii="Nirmala UI" w:hAnsi="Nirmala UI" w:eastAsia="Nirmala UI" w:cs="Nirmala UI"/>
        </w:rPr>
        <w:t>प्राणियों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अदोषी</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कलीसियाएँ</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 xml:space="preserve">ff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नैसर्गिक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करण्यासाठी</w:t>
      </w:r>
      <w:r>
        <w:rPr>
          <w:rFonts w:ascii="Times New Roman" w:hAnsi="Times New Roman" w:eastAsia="Times New Roman" w:cs="Times New Roman"/>
        </w:rPr>
        <w:t xml:space="preserve"> </w:t>
      </w:r>
      <w:r>
        <w:rPr>
          <w:rFonts w:ascii="Nirmala UI" w:hAnsi="Nirmala UI" w:eastAsia="Nirmala UI" w:cs="Nirmala UI"/>
        </w:rPr>
        <w:t>कृपया</w:t>
      </w:r>
      <w:r>
        <w:rPr>
          <w:rFonts w:ascii="Times New Roman" w:hAnsi="Times New Roman" w:eastAsia="Times New Roman" w:cs="Times New Roman"/>
        </w:rPr>
        <w:t xml:space="preserve"> “ff”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कोणती</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Jesucristo i kóhba me baukanina, a Dios a duna dje e, pa mustra su sirbidónan e kosnan ku mester sosodé den poco tempu; i El a manda i a hasi konosé esaki pa medio di su ángel na su sirbidó Juan: e ku a duna testimonio di e palabra di Dios, i di e testimonio di Jesucristo, i di tur kos ku el a mira. Bendishoná ta esun ku lesa, i esnan ku tende e palabranan di e profesía aki, i ku warda loke ta skirbí aden dje; pasobra e tempu ta serka. Juan na e sieti iglesianan ku ta den Asia: Grasia sea ku boso i pas, for di Aquel ku ta, ku tabata, i ku lo bin; i for di e sieti Spiritunan ku ta dilanti di su trono; I for di Jesucristo, ku ta e testigu fiel, i e promé nasé for di entre e muertonan, i e Prins di e reyinan di tera. Na Aquel ku a stima nos, i a laba nos di nos pikánan den su mes sanger, I ku a hasi nos reyi i saserdotenan pa Dios i su Tata; na dje sea gloria i dominio pa semper i semper. Amén. Mira, El ta bin ku nubianan; i tur wowo lo mira El, asta esnan ku a traspasá El; i tur tribunan di tera lo yora por causa di El. Sí, Amén. Ami ta Alfa i Omega, e prinsipio i e fin, ta bisa Señor, Aquel ku ta, ku tabata, i ku lo bin, e Todopoderoso. Ami Juan, ku tambe ta boso ruman i kompayero den tribulashon, i den e reino i pasenshi di Jesucristo, tabata na e isla ku yama Patmos, pa motibu di e palabra di Dios, i di e testimonio di Jesucristo. Mi tabata den e Spiritu riba e dia di Señor, i mi a tende tras di mi un bos grandi, manera di un trompeta, Bisando: Ami ta Alfa i Omega, e promé i e último; i: loke bo ta mira, skirbi den un buki, i manda esaki na e sieti iglesianan ku ta den Asia; na Efeso, i na Esmirna, i na Pérgamo, i na Tiatira, i na Sardis, i na Filadelfia, i na Laodisea. Revelashon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Puku ʻo Taniela - Helu Hoʻokahi Haneri me Kanahikūmālima</dc:title>
  <dc:subject>Le Christ glorifié : parallèles prophétiques dans Daniel et l’Apocalypse</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