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soixante-dix-sept</w:t>
      </w:r>
    </w:p>
    <w:p>
      <w:pPr>
        <w:pStyle w:val="ArticleSubtitle"/>
        <w:jc w:val="left"/>
      </w:pPr>
      <w:r>
        <w:rPr>
          <w:rFonts w:ascii="Arial" w:hAnsi="Arial" w:eastAsia="Arial" w:cs="Arial"/>
        </w:rPr>
        <w:t>Den forseglende mærkning af de 144.000: Indsigter fra Daniels syn og profetisk symbolik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فی باب دہم دانی ایل کو تین مرتبہ چھوا گیا؛ پہلی اور آخری مرتبہ جبرائیل نے، اور درمیان کی بار مسیح نے۔ یہی درمیانی لمس تھا جس میں دانی ایل نے اپنی بدعنوانی کو نہایت شدت سے محسوس کیا، کیونکہ حق کا درمیانی نشانِ راہ بغاوت کی نمائندگی کرتا ہے۔ دانی ایل کو دوسری بار میکائیل نے چھوا، کیونکہ وہ اکیس دنوں کے اختتام پر نازل ہوا تھا۔</w:t>
      </w:r>
    </w:p>
    <w:p>
      <w:pPr>
        <w:pStyle w:val="ArticleBody"/>
        <w:jc w:val="left"/>
      </w:pPr>
      <w:r>
        <w:rPr>
          <w:rFonts w:ascii="Times New Roman" w:hAnsi="Times New Roman" w:eastAsia="Times New Roman" w:cs="Times New Roman"/>
        </w:rPr>
        <w:t>Na nsɔsoɔ nna mmiɛnsa ne fa a ɛyɛ sɛnkyerɛnne no awiei, bere a Adansefoɔ baanu a wɔwɔ Adiyisɛm ti dubaako mu da awu wɔ kwan no so no, nne bi nyan wɔn. Ɛyɛ ɔsɔfo panyin no nne na ɛnyan wɔn. Mikael sian no a ɛwɔ Daniel ti du mu, da a ɛto so aduonu mmienu no, ne Adansefoɔ baanu no wusɔre wɔ afe 2023 mu hyia. Bere a na Adansefoɔ baanu no da awu wɔ kwan no so no, wɔkyerɛɛ Hesekiel wɔn nnompe a wɔahwete no, na wobisaa no sɛ ɔno de, ɔdwene sɛ saa nnompe a awu na ayeyera wɔ obon no mu no betumi anyan bio anaa; na mmuae a Hesekiel mae ne se, “Awurade, Wo na wunim.”</w:t>
      </w:r>
    </w:p>
    <w:p>
      <w:pPr>
        <w:pStyle w:val="ArticleBody"/>
        <w:jc w:val="left"/>
      </w:pPr>
      <w:r>
        <w:rPr>
          <w:rFonts w:ascii="Times New Roman" w:hAnsi="Times New Roman" w:eastAsia="Times New Roman" w:cs="Times New Roman"/>
        </w:rPr>
        <w:t>Да Езекилму зæгъд цыд уыд, æмæ уый куыд зæгъыд, уæд сæ нымæцтæ æмбырд кæнынц, фæлæ цæуыл ма нæ уыд цард. Езекилæй фыццаг пророчествæ уыд нымæцтæ æмбырд кæнын, фæлæ нымæцтæн арвæйдтой адæмæй æфсæдæй куыд райгас кæнынмæ, уый тыххæй дыккаг пророчествæ хъуыд. Езекилæй дыккаг пророчествæ уыд æртыккаг хъуыдæгæй пророчествæ, куыд æвдисынц цыппар донхъæдтæ, кæцытæ нымæцты цард балæвæрдтой. Фыццаг Адам æртæст уæвгæй арæзт æрцыд, фæстæдæр та фæхатыр кодта æмæ мæлæт йæ фæстагуарзæнæй уагъта. Езекилæй мард нымæцты райгасдзинад æмхуызон у Адамы арæзтадыл йæ æртæст уæвгæй, уымæн æмæ Адам æууæлдай арæзт æрцыд, æмæ уый фæстæ Хуыцау йын цардæй тын уæлæвæрдта.</w:t>
      </w:r>
    </w:p>
    <w:p>
      <w:pPr>
        <w:pStyle w:val="ArticleBody"/>
        <w:jc w:val="left"/>
      </w:pPr>
      <w:r>
        <w:rPr>
          <w:rFonts w:ascii="Times New Roman" w:hAnsi="Times New Roman" w:eastAsia="Times New Roman" w:cs="Times New Roman"/>
        </w:rPr>
        <w:t>Ceci ne signifie pas que les deux témoins reçoivent des corps glorifiés lorsqu’ils sont ramenés à la vie, car cela n’a lieu qu’au second avènement; mais leur résurrection est parallèle à la vision de Daniel concernant la vision causative de la « marah », lorsqu’ils sont changés à l’image de ce qu’ils contemplent alors. Ligne après ligne, le processus du scellement est exposé avec un très grand soin par le témoignage prophétique.</w:t>
      </w:r>
    </w:p>
    <w:p>
      <w:pPr>
        <w:pStyle w:val="ArticleBody"/>
        <w:jc w:val="left"/>
      </w:pPr>
      <w:r>
        <w:rPr>
          <w:rFonts w:ascii="Times New Roman" w:hAnsi="Times New Roman" w:eastAsia="Times New Roman" w:cs="Times New Roman"/>
        </w:rPr>
        <w:t>Dans le chapitre onze de l’Apocalypse, « après trois jours et demi, un esprit de vie venant de Dieu entra » dans les deux témoins, « et ils » alors « se tinrent sur leurs pieds ; et une grande crainte tomba sur ceux qui les virent », et il y eut alors « une grande voix venant du ciel, leur disant : Montez ici. Et ils montèrent au ciel dans une nuée ; et leurs ennemis les regardèrent. »</w:t>
      </w:r>
    </w:p>
    <w:p>
      <w:pPr>
        <w:pStyle w:val="ArticleBody"/>
        <w:jc w:val="left"/>
      </w:pPr>
      <w:r>
        <w:rPr>
          <w:rFonts w:ascii="Times New Roman" w:hAnsi="Times New Roman" w:eastAsia="Times New Roman" w:cs="Times New Roman"/>
        </w:rPr>
        <w:t>Eerst ging de Geest in hen, daarna gingen zij op hun voeten staan, en toen zij stonden, viel vrees op hun vijanden, die zich tevoren over hun dood hadden verblijd. Vervolgens roept een stem hen omhoog, en hun vijanden zijn getuige van die gebeurtenis. Bij Ezechiël worden zij eerst aangeduid als verstrooid en dood in de vallei, daarna wordt een profetie verkondigd die hen bijeenbrengt, vervolgens doet de tweede profetie hen opstaan als een machtig leger. Bij Daniël ziet hij eerst het grote gezicht dat een scheiding tussen twee klassen teweegbrengt, en daarna wordt hij driemaal aangeraakt.</w:t>
      </w:r>
    </w:p>
    <w:p>
      <w:pPr>
        <w:pStyle w:val="ArticleBody"/>
        <w:jc w:val="left"/>
      </w:pPr>
      <w:r>
        <w:rPr>
          <w:rFonts w:ascii="Times New Roman" w:hAnsi="Times New Roman" w:eastAsia="Times New Roman" w:cs="Times New Roman"/>
        </w:rPr>
        <w:t>Անդրանիկ անգամ, երբ նրան հպվեցին, նա ուժ չուներ, խոր քնի մեջ էր, և նրա երեսը դեպի գետին էր։ Քունը խորհրդանշում է մահը։ Սակայն նա լսեց ասված խոսքերը։</w:t>
      </w:r>
    </w:p>
    <w:p>
      <w:pPr>
        <w:pStyle w:val="ArticleScripture"/>
        <w:jc w:val="left"/>
      </w:pPr>
      <w:r>
        <w:rPr>
          <w:rFonts w:ascii="Times New Roman" w:hAnsi="Times New Roman" w:eastAsia="Times New Roman" w:cs="Times New Roman"/>
        </w:rPr>
        <w:t>Nna unu anya n’ihe a: n’ihi na oge ahụ na-abịa, nke ndị niile nọ n’ili ga-anụ olu ya. Jọn 5:28.</w:t>
      </w:r>
    </w:p>
    <w:p>
      <w:pPr>
        <w:pStyle w:val="ArticleBody"/>
        <w:jc w:val="left"/>
      </w:pPr>
      <w:r>
        <w:rPr>
          <w:rFonts w:ascii="Times New Roman" w:hAnsi="Times New Roman" w:eastAsia="Times New Roman" w:cs="Times New Roman"/>
        </w:rPr>
        <w:t>Puis Gabriel fit tomber Daniel sur ses mains et sur ses genoux, puis lui commanda de se tenir debout, ce qu’il fit, bien qu’il tremblât. Il entendit alors les paroles de Gabriel, mais il demeura muet. Ézéchiel aussi avait vu la vision du Christ, et cela produisit une suite d’événements semblable.</w:t>
      </w:r>
    </w:p>
    <w:p>
      <w:pPr>
        <w:pStyle w:val="ArticleScripture"/>
        <w:jc w:val="left"/>
      </w:pPr>
      <w:r>
        <w:rPr>
          <w:rFonts w:ascii="Times New Roman" w:hAnsi="Times New Roman" w:eastAsia="Times New Roman" w:cs="Times New Roman"/>
        </w:rPr>
        <w:t>Ro lehodimo le le neng le le godimo ga ditlhogo tsa bone ga bonala tshwano ya sedulo sa bogosi, e kete ke ponalo ya leje la safaere; mme mo godimo ga tshwano ya sedulo sa bogosi ga bonala tshwano, e kete ke ponalo ya motho a le mo godimo ga sone. Mme ka bona e kete ke mmala wa ambera, e kete ke ponalo ya molelo o dikologile mo teng ga gone, go tswa mo ponalong ya dinoka tsa gagwe go ya godimo; mme go tswa mo ponalong ya dinoka tsa gagwe go ya tlase, ka bona e kete ke ponalo ya molelo, mme ga bo go na le phatsimo e e dikologileng. Jaaka ponalo ya motshe wa pula o o mo lerung ka letsatsi la pula, jalo ga bo go ntse ponalo ya phatsimo e e dikologileng. E ne e le ponalo ya tshwano ya kgalalelo ya Morena. Mme e rile fa ke e bona, ka wela ka sefatlhego, mme ka utlwa lentswe la mongwe yo o buang. Mme a nthaya a re, Morwa motho, ema ka dinao tsa gago, mme ke tla bua le wena. Mme Moya wa tsena mo go nna fa a bua le nna, wa ba wa nkemisa ka dinao, gore ka utlwa yo o buang le nna. Hesekiele 1:26–2:2.</w:t>
      </w:r>
    </w:p>
    <w:p>
      <w:pPr>
        <w:pStyle w:val="ArticleBody"/>
        <w:jc w:val="left"/>
      </w:pPr>
      <w:r>
        <w:rPr>
          <w:rFonts w:ascii="Times New Roman" w:hAnsi="Times New Roman" w:eastAsia="Times New Roman" w:cs="Times New Roman"/>
        </w:rPr>
        <w:t>La vision amena Ézéchiel et Daniel à être tous deux humiliés jusque dans la poussière, où ils furent prosternés sur le sol. Dans cet état, ils entendaient néanmoins tous deux encore la parole du Seigneur, et ils furent l’un et l’autre relevés afin d’entendre les paroles qui leur étaient adressées; et lorsqu’ils entendirent ces paroles, « l’Esprit entra en » eux. L’union avec la divinité s’accomplit par la réception de la Parole de Dieu transmise par le Saint-Esprit. La « Parole » est ce qui transmet la divinité à l’humanité. Cette vérité doit être reconnue afin de comprendre le sérieux et l’importance de l’histoire prophétique que Gabriel communique à Daniel au chapitre onze. L’histoire prophétique présentée au chapitre onze est le canal par lequel l’huile sainte est transmise aux vierges sages.</w:t>
      </w:r>
    </w:p>
    <w:p>
      <w:pPr>
        <w:pStyle w:val="ArticleBody"/>
        <w:jc w:val="left"/>
      </w:pPr>
      <w:r>
        <w:rPr>
          <w:rFonts w:ascii="Times New Roman" w:hAnsi="Times New Roman" w:eastAsia="Times New Roman" w:cs="Times New Roman"/>
        </w:rPr>
        <w:t>Na Ezekiel, a pɛlɛ ma a la, w’a bila k’a fɔ ka ɲɛsin cikan laodisean adventisme ma; nka a b’a yira a fɔlɔfɔlɔ la ko laodisean adventisme tɛna a kuma minɛ, sababukɔtɛ i ye so murutalen ye. Ezekiel ka koɲuman ye Isaya ka koɲuman ye sura wolonwula la; o de kosɔn, seere fila kan, ni Ala ye Daniyɛl lakɔli ka bɔ i sunɔgɔ la—min ye saya taamala ye—Daniyɛl bɛ se ka cikan sɔrɔ i ye ka ɲɛsin laodisean adventisme ka so murutalen ma, nka olu tɛna a lamɛn.</w:t>
      </w:r>
    </w:p>
    <w:p>
      <w:pPr>
        <w:pStyle w:val="ArticleBody"/>
        <w:jc w:val="left"/>
      </w:pP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দ্বিতীয়বার</w:t>
      </w:r>
      <w:r>
        <w:rPr>
          <w:rFonts w:ascii="Times New Roman" w:hAnsi="Times New Roman" w:eastAsia="Times New Roman" w:cs="Times New Roman"/>
        </w:rPr>
        <w:t xml:space="preserve"> </w:t>
      </w:r>
      <w:r>
        <w:rPr>
          <w:rFonts w:ascii="Nirmala UI" w:hAnsi="Nirmala UI" w:eastAsia="Nirmala UI" w:cs="Nirmala UI"/>
        </w:rPr>
        <w:t>স্পর্শপ্রাপ্ত</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স্বয়ং</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ওষ্ঠ</w:t>
      </w:r>
      <w:r>
        <w:rPr>
          <w:rFonts w:ascii="Times New Roman" w:hAnsi="Times New Roman" w:eastAsia="Times New Roman" w:cs="Times New Roman"/>
        </w:rPr>
        <w:t xml:space="preserve"> </w:t>
      </w:r>
      <w:r>
        <w:rPr>
          <w:rFonts w:ascii="Nirmala UI" w:hAnsi="Nirmala UI" w:eastAsia="Nirmala UI" w:cs="Nirmala UI"/>
        </w:rPr>
        <w:t>স্পর্শ</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বেদী</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নেওয়া</w:t>
      </w:r>
      <w:r>
        <w:rPr>
          <w:rFonts w:ascii="Times New Roman" w:hAnsi="Times New Roman" w:eastAsia="Times New Roman" w:cs="Times New Roman"/>
        </w:rPr>
        <w:t xml:space="preserve"> </w:t>
      </w:r>
      <w:r>
        <w:rPr>
          <w:rFonts w:ascii="Nirmala UI" w:hAnsi="Nirmala UI" w:eastAsia="Nirmala UI" w:cs="Nirmala UI"/>
        </w:rPr>
        <w:t>অঙ্গার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যিশাইয়ের</w:t>
      </w:r>
      <w:r>
        <w:rPr>
          <w:rFonts w:ascii="Times New Roman" w:hAnsi="Times New Roman" w:eastAsia="Times New Roman" w:cs="Times New Roman"/>
        </w:rPr>
        <w:t xml:space="preserve"> </w:t>
      </w:r>
      <w:r>
        <w:rPr>
          <w:rFonts w:ascii="Nirmala UI" w:hAnsi="Nirmala UI" w:eastAsia="Nirmala UI" w:cs="Nirmala UI"/>
        </w:rPr>
        <w:t>ওষ্ঠ</w:t>
      </w:r>
      <w:r>
        <w:rPr>
          <w:rFonts w:ascii="Times New Roman" w:hAnsi="Times New Roman" w:eastAsia="Times New Roman" w:cs="Times New Roman"/>
        </w:rPr>
        <w:t xml:space="preserve"> </w:t>
      </w:r>
      <w:r>
        <w:rPr>
          <w:rFonts w:ascii="Nirmala UI" w:hAnsi="Nirmala UI" w:eastAsia="Nirmala UI" w:cs="Nirmala UI"/>
        </w:rPr>
        <w:t>স্পর্শ</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বলতে</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হলেন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তবুও</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শক্তিহীন</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এখনও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শ্বাস</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যিহিষ্কেলের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বায়ুর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শ্বাস</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সেটিই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যিহিষ্কেলের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ভাববাণী।</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বায়ু</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যিহিষ্কেলের</w:t>
      </w:r>
      <w:r>
        <w:rPr>
          <w:rFonts w:ascii="Times New Roman" w:hAnsi="Times New Roman" w:eastAsia="Times New Roman" w:cs="Times New Roman"/>
        </w:rPr>
        <w:t xml:space="preserve"> </w:t>
      </w:r>
      <w:r>
        <w:rPr>
          <w:rFonts w:ascii="Nirmala UI" w:hAnsi="Nirmala UI" w:eastAsia="Nirmala UI" w:cs="Nirmala UI"/>
        </w:rPr>
        <w:t>ভাববাণী</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স্পর্শের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সামঞ্জস্যপূর্ণ</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তখনই</w:t>
      </w:r>
      <w:r>
        <w:rPr>
          <w:rFonts w:ascii="Times New Roman" w:hAnsi="Times New Roman" w:eastAsia="Times New Roman" w:cs="Times New Roman"/>
        </w:rPr>
        <w:t xml:space="preserve"> </w:t>
      </w:r>
      <w:r>
        <w:rPr>
          <w:rFonts w:ascii="Nirmala UI" w:hAnsi="Nirmala UI" w:eastAsia="Nirmala UI" w:cs="Nirmala UI"/>
        </w:rPr>
        <w:t>অস্থিগুলির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শ্বাস</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মহাপরাক্রান্ত</w:t>
      </w:r>
      <w:r>
        <w:rPr>
          <w:rFonts w:ascii="Times New Roman" w:hAnsi="Times New Roman" w:eastAsia="Times New Roman" w:cs="Times New Roman"/>
        </w:rPr>
        <w:t xml:space="preserve"> </w:t>
      </w:r>
      <w:r>
        <w:rPr>
          <w:rFonts w:ascii="Nirmala UI" w:hAnsi="Nirmala UI" w:eastAsia="Nirmala UI" w:cs="Nirmala UI"/>
        </w:rPr>
        <w:t>সৈন্যবাহিনীরূপে</w:t>
      </w:r>
      <w:r>
        <w:rPr>
          <w:rFonts w:ascii="Times New Roman" w:hAnsi="Times New Roman" w:eastAsia="Times New Roman" w:cs="Times New Roman"/>
        </w:rPr>
        <w:t xml:space="preserve"> </w:t>
      </w:r>
      <w:r>
        <w:rPr>
          <w:rFonts w:ascii="Nirmala UI" w:hAnsi="Nirmala UI" w:eastAsia="Nirmala UI" w:cs="Nirmala UI"/>
        </w:rPr>
        <w:t>দাঁড়ায়।</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স্পর্শেই</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করেন।</w:t>
      </w:r>
    </w:p>
    <w:p>
      <w:pPr>
        <w:pStyle w:val="ArticleBody"/>
        <w:jc w:val="left"/>
      </w:pPr>
      <w:r>
        <w:rPr>
          <w:rFonts w:ascii="Times New Roman" w:hAnsi="Times New Roman" w:eastAsia="Times New Roman" w:cs="Times New Roman"/>
        </w:rPr>
        <w:t>Le 18 juillet 2020, le peuple de Dieu des derniers jours fut dispersé et entra dans le temps d’attente de la parabole. L’histoire du scellement fut illustrée dans l’histoire allant du 22 octobre 1844 jusqu’à la rébellion de 1863. La ligne d’histoire ainsi représentée se superpose à celle allant du 11 septembre 2001 jusqu’à la loi du dimanche, mais elle se superpose aussi à l’histoire allant du 18 juillet 2020 jusqu’à la loi du dimanche. Ce phénomène prophétique repose sur le fait que les symboles ont plus d’une signification, et que leur signification doit être déterminée par le contexte dans lequel ils sont appliqués.</w:t>
      </w:r>
    </w:p>
    <w:p>
      <w:pPr>
        <w:pStyle w:val="ArticleBody"/>
        <w:jc w:val="left"/>
      </w:pPr>
      <w:r>
        <w:rPr>
          <w:rFonts w:ascii="Times New Roman" w:hAnsi="Times New Roman" w:eastAsia="Times New Roman" w:cs="Times New Roman"/>
        </w:rPr>
        <w:t>I te taim yumi tingbaot kam mo wok bilong wanwan long dispela tripela ensel, yumi luksave olsem ol i bihainim wankain sekwens bilong ol hevi. Ol i kamap long dispela poin taim tok-profet i stap wantaim ol i kamap ples klia, i no pas moa. Dispela tok-profet i bin kamapim long tripela step: kamap bilong en, givim strong long en, na pas bilong dua long pinis bilong en. I gat ol arapela mak bilong rot insait long dispela historia, tasol tripela mak bilong traim i makim kamap bilong wanwan long dispela tripela ensel; namba wan mak bilong rot em dispela hap we wanpela tok-profet i kamap ples klia, i no pas moa. Dispela tok i kamap ples klia i kisim strong long rot bilong wanpela strongim; na dispela strongim wantaim dispela givim strong i bihain i traim ol man na ol meri bilong dispela historia. Pinis bilong dispela historia i kamapim wanpela mak bilong skelim tru, we i soim klia sapos ol husat i sanap long namba tri traim em ol waes o ol kranki.</w:t>
      </w:r>
    </w:p>
    <w:p>
      <w:pPr>
        <w:pStyle w:val="ArticleBody"/>
        <w:jc w:val="left"/>
      </w:pPr>
      <w:r>
        <w:rPr>
          <w:rFonts w:ascii="Times New Roman" w:hAnsi="Times New Roman" w:eastAsia="Times New Roman" w:cs="Times New Roman"/>
        </w:rPr>
        <w:t>Dans l’histoire allant du 11 septembre 2001 jusqu’à la loi du dimanche, on peut identifier trois anges. Le premier est arrivé le 11 septembre 2001, le second est arrivé le 18 juillet 2020, et le troisième arrive lors de la loi du dimanche, qui approche bientôt (le test décisif). Le 22 octobre 1844 s’aligne sur le 11 septembre 2001, 1856 s’aligne sur le 18 juillet 2020, et 1863 s’aligne sur la loi du dimanche. Cela étant dit, la période du 22 octobre 1844 à 1863 s’aligne également sur celle allant du 18 juillet 2020 jusqu’à la loi du dimanche, car le 18 juillet marqua l’arrivée du second ange dans l’histoire du scellement. L’histoire suivante demeure correctement identifiée comme étant simplement les balises prophétiques de n’importe quel ange.</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មានសេចក្តីពិតមួយត្រូវបានបើកត្រា</w:t>
      </w:r>
      <w:r>
        <w:rPr>
          <w:rFonts w:ascii="Times New Roman" w:hAnsi="Times New Roman" w:eastAsia="Times New Roman" w:cs="Times New Roman"/>
        </w:rPr>
        <w:t xml:space="preserve"> </w:t>
      </w:r>
      <w:r>
        <w:rPr>
          <w:rFonts w:ascii="Leelawadee UI" w:hAnsi="Leelawadee UI" w:eastAsia="Leelawadee UI" w:cs="Leelawadee UI"/>
        </w:rPr>
        <w:t>ដែលត្រូវសាកល្បងជំនាន់នោះ។</w:t>
      </w:r>
      <w:r>
        <w:rPr>
          <w:rFonts w:ascii="Times New Roman" w:hAnsi="Times New Roman" w:eastAsia="Times New Roman" w:cs="Times New Roman"/>
        </w:rPr>
        <w:t xml:space="preserve"> </w:t>
      </w:r>
      <w:r>
        <w:rPr>
          <w:rFonts w:ascii="Leelawadee UI" w:hAnsi="Leelawadee UI" w:eastAsia="Leelawadee UI" w:cs="Leelawadee UI"/>
        </w:rPr>
        <w:t>ជំហានទីពីរនៅក្នុងប្រវត្តិសាស្ត្រនោះ</w:t>
      </w:r>
      <w:r>
        <w:rPr>
          <w:rFonts w:ascii="Times New Roman" w:hAnsi="Times New Roman" w:eastAsia="Times New Roman" w:cs="Times New Roman"/>
        </w:rPr>
        <w:t xml:space="preserve"> </w:t>
      </w:r>
      <w:r>
        <w:rPr>
          <w:rFonts w:ascii="Leelawadee UI" w:hAnsi="Leelawadee UI" w:eastAsia="Leelawadee UI" w:cs="Leelawadee UI"/>
        </w:rPr>
        <w:t>គឺនៅពេលសាក្សីទាំងពីរត្រូវបានប្រោសឲ្យរស់ឡើងវិញ។</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ពួកគេត្រូវបានសាកល្បងថា</w:t>
      </w:r>
      <w:r>
        <w:rPr>
          <w:rFonts w:ascii="Times New Roman" w:hAnsi="Times New Roman" w:eastAsia="Times New Roman" w:cs="Times New Roman"/>
        </w:rPr>
        <w:t xml:space="preserve"> </w:t>
      </w:r>
      <w:r>
        <w:rPr>
          <w:rFonts w:ascii="Leelawadee UI" w:hAnsi="Leelawadee UI" w:eastAsia="Leelawadee UI" w:cs="Leelawadee UI"/>
        </w:rPr>
        <w:t>តើពួកគេនឹងទទួលយកពន្លឺដែលត្រូវបានបើកសម្ដែងនៅពេលនោះឬទេ</w:t>
      </w:r>
      <w:r>
        <w:rPr>
          <w:rFonts w:ascii="Times New Roman" w:hAnsi="Times New Roman" w:eastAsia="Times New Roman" w:cs="Times New Roman"/>
        </w:rPr>
        <w:t xml:space="preserve"> </w:t>
      </w:r>
      <w:r>
        <w:rPr>
          <w:rFonts w:ascii="Leelawadee UI" w:hAnsi="Leelawadee UI" w:eastAsia="Leelawadee UI" w:cs="Leelawadee UI"/>
        </w:rPr>
        <w:t>ដែលកំពុងតែកើតឡើងឥឡូវនេះ។</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w:t>
      </w:r>
      <w:r>
        <w:rPr>
          <w:rFonts w:ascii="Times New Roman" w:hAnsi="Times New Roman" w:eastAsia="Times New Roman" w:cs="Times New Roman"/>
        </w:rPr>
        <w:t xml:space="preserve"> (</w:t>
      </w:r>
      <w:r>
        <w:rPr>
          <w:rFonts w:ascii="Leelawadee UI" w:hAnsi="Leelawadee UI" w:eastAsia="Leelawadee UI" w:cs="Leelawadee UI"/>
        </w:rPr>
        <w:t>ការសាកល្បងសម្រេច</w:t>
      </w:r>
      <w:r>
        <w:rPr>
          <w:rFonts w:ascii="Times New Roman" w:hAnsi="Times New Roman" w:eastAsia="Times New Roman" w:cs="Times New Roman"/>
        </w:rPr>
        <w:t xml:space="preserve">) </w:t>
      </w:r>
      <w:r>
        <w:rPr>
          <w:rFonts w:ascii="Leelawadee UI" w:hAnsi="Leelawadee UI" w:eastAsia="Leelawadee UI" w:cs="Leelawadee UI"/>
        </w:rPr>
        <w:t>មកដល់</w:t>
      </w:r>
      <w:r>
        <w:rPr>
          <w:rFonts w:ascii="Times New Roman" w:hAnsi="Times New Roman" w:eastAsia="Times New Roman" w:cs="Times New Roman"/>
        </w:rPr>
        <w:t xml:space="preserve"> </w:t>
      </w:r>
      <w:r>
        <w:rPr>
          <w:rFonts w:ascii="Leelawadee UI" w:hAnsi="Leelawadee UI" w:eastAsia="Leelawadee UI" w:cs="Leelawadee UI"/>
        </w:rPr>
        <w:t>នោះនឹងត្រូវបានបង្ហាញថា</w:t>
      </w:r>
      <w:r>
        <w:rPr>
          <w:rFonts w:ascii="Times New Roman" w:hAnsi="Times New Roman" w:eastAsia="Times New Roman" w:cs="Times New Roman"/>
        </w:rPr>
        <w:t xml:space="preserve"> </w:t>
      </w:r>
      <w:r>
        <w:rPr>
          <w:rFonts w:ascii="Leelawadee UI" w:hAnsi="Leelawadee UI" w:eastAsia="Leelawadee UI" w:cs="Leelawadee UI"/>
        </w:rPr>
        <w:t>អ្នកណាជា</w:t>
      </w:r>
      <w:r>
        <w:rPr>
          <w:rFonts w:ascii="Times New Roman" w:hAnsi="Times New Roman" w:eastAsia="Times New Roman" w:cs="Times New Roman"/>
        </w:rPr>
        <w:t xml:space="preserve"> </w:t>
      </w:r>
      <w:r>
        <w:rPr>
          <w:rFonts w:ascii="Leelawadee UI" w:hAnsi="Leelawadee UI" w:eastAsia="Leelawadee UI" w:cs="Leelawadee UI"/>
        </w:rPr>
        <w:t>និងអ្នកណាមិនមែនជា</w:t>
      </w:r>
      <w:r>
        <w:rPr>
          <w:rFonts w:ascii="Times New Roman" w:hAnsi="Times New Roman" w:eastAsia="Times New Roman" w:cs="Times New Roman"/>
        </w:rPr>
        <w:t xml:space="preserve"> </w:t>
      </w:r>
      <w:r>
        <w:rPr>
          <w:rFonts w:ascii="Leelawadee UI" w:hAnsi="Leelawadee UI" w:eastAsia="Leelawadee UI" w:cs="Leelawadee UI"/>
        </w:rPr>
        <w:t>ព្រហ្មចារីឆ្លាតវៃ។</w:t>
      </w:r>
      <w:r>
        <w:rPr>
          <w:rFonts w:ascii="Times New Roman" w:hAnsi="Times New Roman" w:eastAsia="Times New Roman" w:cs="Times New Roman"/>
        </w:rPr>
        <w:t xml:space="preserve"> </w:t>
      </w:r>
      <w:r>
        <w:rPr>
          <w:rFonts w:ascii="Leelawadee UI" w:hAnsi="Leelawadee UI" w:eastAsia="Leelawadee UI" w:cs="Leelawadee UI"/>
        </w:rPr>
        <w:t>នៅពេលយើងពិចារណាប្រវត្តិសាស្ត្រនេះថា</w:t>
      </w:r>
      <w:r>
        <w:rPr>
          <w:rFonts w:ascii="Times New Roman" w:hAnsi="Times New Roman" w:eastAsia="Times New Roman" w:cs="Times New Roman"/>
        </w:rPr>
        <w:t xml:space="preserve"> </w:t>
      </w:r>
      <w:r>
        <w:rPr>
          <w:rFonts w:ascii="Leelawadee UI" w:hAnsi="Leelawadee UI" w:eastAsia="Leelawadee UI" w:cs="Leelawadee UI"/>
        </w:rPr>
        <w:t>គ្រាន់តែជារចនាសម្ព័ន្ធនៃទេវតាមួយអង្គតែមួយ</w:t>
      </w:r>
      <w:r>
        <w:rPr>
          <w:rFonts w:ascii="Times New Roman" w:hAnsi="Times New Roman" w:eastAsia="Times New Roman" w:cs="Times New Roman"/>
        </w:rPr>
        <w:t xml:space="preserve"> </w:t>
      </w:r>
      <w:r>
        <w:rPr>
          <w:rFonts w:ascii="Leelawadee UI" w:hAnsi="Leelawadee UI" w:eastAsia="Leelawadee UI" w:cs="Leelawadee UI"/>
        </w:rPr>
        <w:t>ហើយបន្ទាប់មកដាក់ថ្ងៃទី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រហូតដល់ការបះបោរនៃឆ្នាំ</w:t>
      </w:r>
      <w:r>
        <w:rPr>
          <w:rFonts w:ascii="Times New Roman" w:hAnsi="Times New Roman" w:eastAsia="Times New Roman" w:cs="Times New Roman"/>
        </w:rPr>
        <w:t xml:space="preserve"> 1863 </w:t>
      </w:r>
      <w:r>
        <w:rPr>
          <w:rFonts w:ascii="Leelawadee UI" w:hAnsi="Leelawadee UI" w:eastAsia="Leelawadee UI" w:cs="Leelawadee UI"/>
        </w:rPr>
        <w:t>ទៅលើប្រវត្តិសាស្ត្រចាប់ពីថ្ងៃទី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រហូតដល់ច្បាប់ថ្ងៃអាទិត្យ</w:t>
      </w:r>
      <w:r>
        <w:rPr>
          <w:rFonts w:ascii="Times New Roman" w:hAnsi="Times New Roman" w:eastAsia="Times New Roman" w:cs="Times New Roman"/>
        </w:rPr>
        <w:t xml:space="preserve"> </w:t>
      </w:r>
      <w:r>
        <w:rPr>
          <w:rFonts w:ascii="Leelawadee UI" w:hAnsi="Leelawadee UI" w:eastAsia="Leelawadee UI" w:cs="Leelawadee UI"/>
        </w:rPr>
        <w:t>យើងឃើញថា</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1849 </w:t>
      </w:r>
      <w:r>
        <w:rPr>
          <w:rFonts w:ascii="Leelawadee UI" w:hAnsi="Leelawadee UI" w:eastAsia="Leelawadee UI" w:cs="Leelawadee UI"/>
        </w:rPr>
        <w:t>បងស្រី</w:t>
      </w:r>
      <w:r>
        <w:rPr>
          <w:rFonts w:ascii="Times New Roman" w:hAnsi="Times New Roman" w:eastAsia="Times New Roman" w:cs="Times New Roman"/>
        </w:rPr>
        <w:t xml:space="preserve"> White </w:t>
      </w:r>
      <w:r>
        <w:rPr>
          <w:rFonts w:ascii="Leelawadee UI" w:hAnsi="Leelawadee UI" w:eastAsia="Leelawadee UI" w:cs="Leelawadee UI"/>
        </w:rPr>
        <w:t>បានកំណត់អត្តសញ្ញាណថា</w:t>
      </w:r>
      <w:r>
        <w:rPr>
          <w:rFonts w:ascii="Times New Roman" w:hAnsi="Times New Roman" w:eastAsia="Times New Roman" w:cs="Times New Roman"/>
        </w:rPr>
        <w:t xml:space="preserve"> </w:t>
      </w:r>
      <w:r>
        <w:rPr>
          <w:rFonts w:ascii="Leelawadee UI" w:hAnsi="Leelawadee UI" w:eastAsia="Leelawadee UI" w:cs="Leelawadee UI"/>
        </w:rPr>
        <w:t>ព្រះអម្ចាស់បានលូកព្រះហស្តរបស់ទ្រង់ម្តងទៀត</w:t>
      </w:r>
      <w:r>
        <w:rPr>
          <w:rFonts w:ascii="Times New Roman" w:hAnsi="Times New Roman" w:eastAsia="Times New Roman" w:cs="Times New Roman"/>
        </w:rPr>
        <w:t xml:space="preserve"> </w:t>
      </w:r>
      <w:r>
        <w:rPr>
          <w:rFonts w:ascii="Leelawadee UI" w:hAnsi="Leelawadee UI" w:eastAsia="Leelawadee UI" w:cs="Leelawadee UI"/>
        </w:rPr>
        <w:t>ដើម្បីប្រមូលសំណល់នៃប្រជាជនរបស់ទ្រង់។</w:t>
      </w:r>
    </w:p>
    <w:p>
      <w:pPr>
        <w:pStyle w:val="ArticleBody"/>
        <w:jc w:val="left"/>
      </w:pPr>
      <w:r>
        <w:rPr>
          <w:rFonts w:ascii="Times New Roman" w:hAnsi="Times New Roman" w:eastAsia="Times New Roman" w:cs="Times New Roman"/>
        </w:rPr>
        <w:t>Adakah orang-orang Allah telah tercerai-berai. Pada tahun 1850 mereka menghasilkan yang kedua dari dua bagan Habakuk itu. Pada bulan Januari 1851 mereka mengiklankan bagan yang baru itu dalam Review. Umat Allah tercerai-berai, dan malaikat yang ketiga datang dengan terang. Lalu Allah mulai mengumpulkan mereka kembali, dan kemudian Ia menyediakan suatu gambaran visual dari pekabaran yang harus mereka maklumkan, sebagaimana Ia telah lakukan pada tahun 1842. Terang yang datang pada 22 Oktober 1844 adalah suatu pertambahan pengetahuan, dan itu terus berkembang di bawah arahan-Nya; dan pada tahun 1856 batu penjuru dari terang itu diperkenalkan. Terang itu adalah mengenai “tujuh masa,” yang merupakan terang pertama yang dikenali oleh William Miller, dan yang digambarkan sebagai salah satu nubuatan yang digenapi pada 22 Oktober 1844.</w:t>
      </w:r>
    </w:p>
    <w:p>
      <w:pPr>
        <w:pStyle w:val="ArticleBody"/>
        <w:jc w:val="left"/>
      </w:pPr>
      <w:r>
        <w:rPr>
          <w:rFonts w:ascii="Times New Roman" w:hAnsi="Times New Roman" w:eastAsia="Times New Roman" w:cs="Times New Roman"/>
        </w:rPr>
        <w:t>نورِ «هفت زمان» در سال 1856، هم پایانِ افزایشِ دانشی بود که به میلر، پیام‌آورِ فرشتهٔ نخست، عطا شده بود، و هم نورِ پایانیِ فرشتهٔ سوم بود که در 22 اکتبر 1844 داده شده بود. ردِّ آن نور در 1856، هم ردِّ افزایشِ دانشی بود که در 1798 از مُهر گشوده شد، و نیز افزایشِ دانشی که در 22 اکتبر 1844 از مُهر گشوده شد؛ و این نور از سوی کسانی رد شد که در همان‌جا و در همان زمان از تجربهٔ فیلادلفیا به تجربهٔ لائودیکیه انتقال یافتند. شورشِ 1863، سومین آزمون، و آزمونِ محک، بود که به‌وسیلهٔ جدولی جعلی که نورِ «هفت زمان» را حذف می‌کرد، به نمایش گذاشته شد.</w:t>
      </w:r>
    </w:p>
    <w:p>
      <w:pPr>
        <w:pStyle w:val="ArticleBody"/>
        <w:jc w:val="left"/>
      </w:pPr>
      <w:r>
        <w:rPr>
          <w:rFonts w:ascii="Times New Roman" w:hAnsi="Times New Roman" w:eastAsia="Times New Roman" w:cs="Times New Roman"/>
        </w:rPr>
        <w:t>Дөрөвдүгээр сарын 19, 1844-ний анхны урам хугаралт нь 1843 оны анхдагч хүснэгт дэх зарим тоон үзүүлэлтийн алдаан дээр Бурхан мутраа тавин халхалснаар эхний тэнгэрэлчийн Филадельфийн хөдөлгөөнд тохиолдуулсан юм. 2020 оны долоодугаар сарын 18-ны анхны урам хугаралт нь 1844 оны аравдугаар сарын 22-нд Христ гараа тэнгэр өөд өргөн, цаашид хугацаа үгүй хэмээн тангарагласныг хүмүүс үл хайхарснаар гурав дахь тэнгэрэлчийн Лаодикийн хөдөлгөөнд тохиолдуулсан юм. 2020 оны долоодугаар сарын 18-нд энэ үеийн онгон бүсгүйчүүдийг сорих ёстой байсан нэгэн мэдээний лац тайлагдсан. 1850 онд байсантай адил, Эзэн 2023 онд, 2020 оны долоодугаар сарын 18-наас хойш гудамжинд үхсэн хэвтэж байсан Езекиелийн үхсэн ясыг цуглуулахын тулд Өөрийн мутрыг хоёр дахь удаагаа сунгасан. 1851 он гэхэд, Хабаккук номын хоёрдугаар бүлгийн эш үзүүллэгийн биелэл болсон, мэдээний шинэ дүрслэл бий болсон бөгөөд ингэснээр 2023 оноос хойш Эзэн өргөх нэгэн шинэ амьд тугийг бий болгох бөгөөд тэр нь Хабаккукийн хоёр хавтангаар бэлгэдэгдсэнийг илтгэнэ.</w:t>
      </w:r>
    </w:p>
    <w:p>
      <w:pPr>
        <w:pStyle w:val="ArticleBody"/>
        <w:jc w:val="left"/>
      </w:pPr>
      <w:r>
        <w:rPr>
          <w:rFonts w:ascii="Times New Roman" w:hAnsi="Times New Roman" w:eastAsia="Times New Roman" w:cs="Times New Roman"/>
        </w:rPr>
        <w:t>Les deux tables d’Habakuk étaient figurées par les deux tables des Dix Commandements, ainsi que par les deux pains agités de la fête de la Pentecôte. Les cent quarante-quatre mille sont identifiés comme une offrande de prémices, et ce sont eux qui, dans Malachie, représentent l’offrande « comme aux anciens jours, comme aux années d’autrefois ». Ils sont élevés comme une offrande agitée que le monde entier verra.</w:t>
      </w:r>
    </w:p>
    <w:p>
      <w:pPr>
        <w:pStyle w:val="ArticleBody"/>
        <w:jc w:val="left"/>
      </w:pPr>
      <w:r>
        <w:rPr>
          <w:rFonts w:ascii="Times New Roman" w:hAnsi="Times New Roman" w:eastAsia="Times New Roman" w:cs="Times New Roman"/>
        </w:rPr>
        <w:t>Le réveil des cent quarante-quatre mille commence par le rassemblement, et ce rassemblement s’accomplit par la Parole de Dieu, car les ossements morts d’Ézéchiel sont rassemblés en entendant la Parole de Dieu, alors qu’ils sont encore morts. Ézéchiel représente l’instrument humain qui proclame le message rassemblant les ossements, lorsque le Seigneur étend sa main une seconde fois pour rassembler son reste. Ésaïe, Jérémie, Daniel, Jean et Ézéchiel identifient tous l’élément humain qui transmet le message divin aux ossements desséchés et morts.</w:t>
      </w:r>
    </w:p>
    <w:p>
      <w:pPr>
        <w:pStyle w:val="ArticleBody"/>
        <w:jc w:val="left"/>
      </w:pPr>
      <w:r>
        <w:rPr>
          <w:rFonts w:ascii="Microsoft YaHei" w:hAnsi="Microsoft YaHei" w:eastAsia="Microsoft YaHei" w:cs="Microsoft YaHei"/>
        </w:rPr>
        <w:t>骨</w:t>
      </w:r>
      <w:r>
        <w:rPr>
          <w:rFonts w:ascii="MS Gothic" w:hAnsi="MS Gothic" w:eastAsia="MS Gothic" w:cs="MS Gothic"/>
        </w:rPr>
        <w:t>が</w:t>
      </w:r>
      <w:r>
        <w:rPr>
          <w:rFonts w:ascii="Microsoft YaHei" w:hAnsi="Microsoft YaHei" w:eastAsia="Microsoft YaHei" w:cs="Microsoft YaHei"/>
        </w:rPr>
        <w:t>集</w:t>
      </w:r>
      <w:r>
        <w:rPr>
          <w:rFonts w:ascii="MS Gothic" w:hAnsi="MS Gothic" w:eastAsia="MS Gothic" w:cs="MS Gothic"/>
        </w:rPr>
        <w:t>められると</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、恩恵期間</w:t>
      </w:r>
      <w:r>
        <w:rPr>
          <w:rFonts w:ascii="MS Gothic" w:hAnsi="MS Gothic" w:eastAsia="MS Gothic" w:cs="MS Gothic"/>
        </w:rPr>
        <w:t>が</w:t>
      </w:r>
      <w:r>
        <w:rPr>
          <w:rFonts w:ascii="Microsoft YaHei" w:hAnsi="Microsoft YaHei" w:eastAsia="Microsoft YaHei" w:cs="Microsoft YaHei"/>
        </w:rPr>
        <w:t>閉</w:t>
      </w:r>
      <w:r>
        <w:rPr>
          <w:rFonts w:ascii="MS Gothic" w:hAnsi="MS Gothic" w:eastAsia="MS Gothic" w:cs="MS Gothic"/>
        </w:rPr>
        <w:t>じる</w:t>
      </w:r>
      <w:r>
        <w:rPr>
          <w:rFonts w:ascii="Microsoft YaHei" w:hAnsi="Microsoft YaHei" w:eastAsia="Microsoft YaHei" w:cs="Microsoft YaHei"/>
        </w:rPr>
        <w:t>直前</w:t>
      </w:r>
      <w:r>
        <w:rPr>
          <w:rFonts w:ascii="MS Gothic" w:hAnsi="MS Gothic" w:eastAsia="MS Gothic" w:cs="MS Gothic"/>
        </w:rPr>
        <w:t>に</w:t>
      </w:r>
      <w:r>
        <w:rPr>
          <w:rFonts w:ascii="Microsoft YaHei" w:hAnsi="Microsoft YaHei" w:eastAsia="Microsoft YaHei" w:cs="Microsoft YaHei"/>
        </w:rPr>
        <w:t>封印</w:t>
      </w:r>
      <w:r>
        <w:rPr>
          <w:rFonts w:ascii="MS Gothic" w:hAnsi="MS Gothic" w:eastAsia="MS Gothic" w:cs="MS Gothic"/>
        </w:rPr>
        <w:t>が</w:t>
      </w:r>
      <w:r>
        <w:rPr>
          <w:rFonts w:ascii="Microsoft YaHei" w:hAnsi="Microsoft YaHei" w:eastAsia="Microsoft YaHei" w:cs="Microsoft YaHei"/>
        </w:rPr>
        <w:t>解</w:t>
      </w:r>
      <w:r>
        <w:rPr>
          <w:rFonts w:ascii="MS Gothic" w:hAnsi="MS Gothic" w:eastAsia="MS Gothic" w:cs="MS Gothic"/>
        </w:rPr>
        <w:t>かれる</w:t>
      </w:r>
      <w:r>
        <w:rPr>
          <w:rFonts w:ascii="Microsoft YaHei" w:hAnsi="Microsoft YaHei" w:eastAsia="Microsoft YaHei" w:cs="Microsoft YaHei"/>
        </w:rPr>
        <w:t>知識</w:t>
      </w:r>
      <w:r>
        <w:rPr>
          <w:rFonts w:ascii="MS Gothic" w:hAnsi="MS Gothic" w:eastAsia="MS Gothic" w:cs="MS Gothic"/>
        </w:rPr>
        <w:t>の</w:t>
      </w:r>
      <w:r>
        <w:rPr>
          <w:rFonts w:ascii="Microsoft YaHei" w:hAnsi="Microsoft YaHei" w:eastAsia="Microsoft YaHei" w:cs="Microsoft YaHei"/>
        </w:rPr>
        <w:t>増大</w:t>
      </w:r>
      <w:r>
        <w:rPr>
          <w:rFonts w:ascii="MS Gothic" w:hAnsi="MS Gothic" w:eastAsia="MS Gothic" w:cs="MS Gothic"/>
        </w:rPr>
        <w:t>を</w:t>
      </w:r>
      <w:r>
        <w:rPr>
          <w:rFonts w:ascii="Microsoft YaHei" w:hAnsi="Microsoft YaHei" w:eastAsia="Microsoft YaHei" w:cs="Microsoft YaHei"/>
        </w:rPr>
        <w:t>明</w:t>
      </w:r>
      <w:r>
        <w:rPr>
          <w:rFonts w:ascii="MS Gothic" w:hAnsi="MS Gothic" w:eastAsia="MS Gothic" w:cs="MS Gothic"/>
        </w:rPr>
        <w:t>らかにされ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知識</w:t>
      </w:r>
      <w:r>
        <w:rPr>
          <w:rFonts w:ascii="MS Gothic" w:hAnsi="MS Gothic" w:eastAsia="MS Gothic" w:cs="MS Gothic"/>
        </w:rPr>
        <w:t>は</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日々</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するダニエルの</w:t>
      </w:r>
      <w:r>
        <w:rPr>
          <w:rFonts w:ascii="Microsoft YaHei" w:hAnsi="Microsoft YaHei" w:eastAsia="Microsoft YaHei" w:cs="Microsoft YaHei"/>
        </w:rPr>
        <w:t>預言</w:t>
      </w:r>
      <w:r>
        <w:rPr>
          <w:rFonts w:ascii="MS Gothic" w:hAnsi="MS Gothic" w:eastAsia="MS Gothic" w:cs="MS Gothic"/>
        </w:rPr>
        <w:t>のその</w:t>
      </w:r>
      <w:r>
        <w:rPr>
          <w:rFonts w:ascii="Microsoft YaHei" w:hAnsi="Microsoft YaHei" w:eastAsia="Microsoft YaHei" w:cs="Microsoft YaHei"/>
        </w:rPr>
        <w:t>部分」</w:t>
      </w:r>
      <w:r>
        <w:rPr>
          <w:rFonts w:ascii="MS Gothic" w:hAnsi="MS Gothic" w:eastAsia="MS Gothic" w:cs="MS Gothic"/>
        </w:rPr>
        <w:t>によって</w:t>
      </w:r>
      <w:r>
        <w:rPr>
          <w:rFonts w:ascii="Microsoft YaHei" w:hAnsi="Microsoft YaHei" w:eastAsia="Microsoft YaHei" w:cs="Microsoft YaHei"/>
        </w:rPr>
        <w:t>表</w:t>
      </w:r>
      <w:r>
        <w:rPr>
          <w:rFonts w:ascii="MS Gothic" w:hAnsi="MS Gothic" w:eastAsia="MS Gothic" w:cs="MS Gothic"/>
        </w:rPr>
        <w:t>されている</w:t>
      </w:r>
      <w:r>
        <w:rPr>
          <w:rFonts w:ascii="Times New Roman" w:hAnsi="Times New Roman" w:eastAsia="Times New Roman" w:cs="Times New Roman"/>
        </w:rPr>
        <w:t>.</w:t>
      </w:r>
      <w:r>
        <w:rPr>
          <w:rFonts w:ascii="MS Gothic" w:hAnsi="MS Gothic" w:eastAsia="MS Gothic" w:cs="MS Gothic"/>
        </w:rPr>
        <w:t>エゼキエルの</w:t>
      </w:r>
      <w:r>
        <w:rPr>
          <w:rFonts w:ascii="Microsoft YaHei" w:hAnsi="Microsoft YaHei" w:eastAsia="Microsoft YaHei" w:cs="Microsoft YaHei"/>
        </w:rPr>
        <w:t>第二</w:t>
      </w:r>
      <w:r>
        <w:rPr>
          <w:rFonts w:ascii="MS Gothic" w:hAnsi="MS Gothic" w:eastAsia="MS Gothic" w:cs="MS Gothic"/>
        </w:rPr>
        <w:t>の</w:t>
      </w:r>
      <w:r>
        <w:rPr>
          <w:rFonts w:ascii="Microsoft YaHei" w:hAnsi="Microsoft YaHei" w:eastAsia="Microsoft YaHei" w:cs="Microsoft YaHei"/>
        </w:rPr>
        <w:t>預言</w:t>
      </w:r>
      <w:r>
        <w:rPr>
          <w:rFonts w:ascii="MS Gothic" w:hAnsi="MS Gothic" w:eastAsia="MS Gothic" w:cs="MS Gothic"/>
        </w:rPr>
        <w:t>において</w:t>
      </w:r>
      <w:r>
        <w:rPr>
          <w:rFonts w:ascii="Microsoft YaHei" w:hAnsi="Microsoft YaHei" w:eastAsia="Microsoft YaHei" w:cs="Microsoft YaHei"/>
        </w:rPr>
        <w:t>、封印</w:t>
      </w:r>
      <w:r>
        <w:rPr>
          <w:rFonts w:ascii="MS Gothic" w:hAnsi="MS Gothic" w:eastAsia="MS Gothic" w:cs="MS Gothic"/>
        </w:rPr>
        <w:t>が</w:t>
      </w:r>
      <w:r>
        <w:rPr>
          <w:rFonts w:ascii="Microsoft YaHei" w:hAnsi="Microsoft YaHei" w:eastAsia="Microsoft YaHei" w:cs="Microsoft YaHei"/>
        </w:rPr>
        <w:t>解</w:t>
      </w:r>
      <w:r>
        <w:rPr>
          <w:rFonts w:ascii="MS Gothic" w:hAnsi="MS Gothic" w:eastAsia="MS Gothic" w:cs="MS Gothic"/>
        </w:rPr>
        <w:t>かれる</w:t>
      </w:r>
      <w:r>
        <w:rPr>
          <w:rFonts w:ascii="Microsoft YaHei" w:hAnsi="Microsoft YaHei" w:eastAsia="Microsoft YaHei" w:cs="Microsoft YaHei"/>
        </w:rPr>
        <w:t>光</w:t>
      </w:r>
      <w:r>
        <w:rPr>
          <w:rFonts w:ascii="MS Gothic" w:hAnsi="MS Gothic" w:eastAsia="MS Gothic" w:cs="MS Gothic"/>
        </w:rPr>
        <w:t>は</w:t>
      </w:r>
      <w:r>
        <w:rPr>
          <w:rFonts w:ascii="Microsoft YaHei" w:hAnsi="Microsoft YaHei" w:eastAsia="Microsoft YaHei" w:cs="Microsoft YaHei"/>
        </w:rPr>
        <w:t>第三</w:t>
      </w:r>
      <w:r>
        <w:rPr>
          <w:rFonts w:ascii="MS Gothic" w:hAnsi="MS Gothic" w:eastAsia="MS Gothic" w:cs="MS Gothic"/>
        </w:rPr>
        <w:t>の</w:t>
      </w:r>
      <w:r>
        <w:rPr>
          <w:rFonts w:ascii="Microsoft YaHei" w:hAnsi="Microsoft YaHei" w:eastAsia="Microsoft YaHei" w:cs="Microsoft YaHei"/>
        </w:rPr>
        <w:t>災</w:t>
      </w:r>
      <w:r>
        <w:rPr>
          <w:rFonts w:ascii="MS Gothic" w:hAnsi="MS Gothic" w:eastAsia="MS Gothic" w:cs="MS Gothic"/>
        </w:rPr>
        <w:t>いであり</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骨</w:t>
      </w:r>
      <w:r>
        <w:rPr>
          <w:rFonts w:ascii="MS Gothic" w:hAnsi="MS Gothic" w:eastAsia="MS Gothic" w:cs="MS Gothic"/>
        </w:rPr>
        <w:t>に</w:t>
      </w:r>
      <w:r>
        <w:rPr>
          <w:rFonts w:ascii="Microsoft YaHei" w:hAnsi="Microsoft YaHei" w:eastAsia="Microsoft YaHei" w:cs="Microsoft YaHei"/>
        </w:rPr>
        <w:t>命</w:t>
      </w:r>
      <w:r>
        <w:rPr>
          <w:rFonts w:ascii="MS Gothic" w:hAnsi="MS Gothic" w:eastAsia="MS Gothic" w:cs="MS Gothic"/>
        </w:rPr>
        <w:t>を</w:t>
      </w:r>
      <w:r>
        <w:rPr>
          <w:rFonts w:ascii="Microsoft YaHei" w:hAnsi="Microsoft YaHei" w:eastAsia="Microsoft YaHei" w:cs="Microsoft YaHei"/>
        </w:rPr>
        <w:t>吹</w:t>
      </w:r>
      <w:r>
        <w:rPr>
          <w:rFonts w:ascii="MS Gothic" w:hAnsi="MS Gothic" w:eastAsia="MS Gothic" w:cs="MS Gothic"/>
        </w:rPr>
        <w:t>き</w:t>
      </w:r>
      <w:r>
        <w:rPr>
          <w:rFonts w:ascii="Microsoft YaHei" w:hAnsi="Microsoft YaHei" w:eastAsia="Microsoft YaHei" w:cs="Microsoft YaHei"/>
        </w:rPr>
        <w:t>込</w:t>
      </w:r>
      <w:r>
        <w:rPr>
          <w:rFonts w:ascii="MS Gothic" w:hAnsi="MS Gothic" w:eastAsia="MS Gothic" w:cs="MS Gothic"/>
        </w:rPr>
        <w:t>み</w:t>
      </w:r>
      <w:r>
        <w:rPr>
          <w:rFonts w:ascii="Microsoft YaHei" w:hAnsi="Microsoft YaHei" w:eastAsia="Microsoft YaHei" w:cs="Microsoft YaHei"/>
        </w:rPr>
        <w:t>、</w:t>
      </w:r>
      <w:r>
        <w:rPr>
          <w:rFonts w:ascii="MS Gothic" w:hAnsi="MS Gothic" w:eastAsia="MS Gothic" w:cs="MS Gothic"/>
        </w:rPr>
        <w:t>それらを</w:t>
      </w:r>
      <w:r>
        <w:rPr>
          <w:rFonts w:ascii="Microsoft YaHei" w:hAnsi="Microsoft YaHei" w:eastAsia="Microsoft YaHei" w:cs="Microsoft YaHei"/>
        </w:rPr>
        <w:t>強大</w:t>
      </w:r>
      <w:r>
        <w:rPr>
          <w:rFonts w:ascii="MS Gothic" w:hAnsi="MS Gothic" w:eastAsia="MS Gothic" w:cs="MS Gothic"/>
        </w:rPr>
        <w:t>な</w:t>
      </w:r>
      <w:r>
        <w:rPr>
          <w:rFonts w:ascii="Microsoft YaHei" w:hAnsi="Microsoft YaHei" w:eastAsia="Microsoft YaHei" w:cs="Microsoft YaHei"/>
        </w:rPr>
        <w:t>軍勢</w:t>
      </w:r>
      <w:r>
        <w:rPr>
          <w:rFonts w:ascii="MS Gothic" w:hAnsi="MS Gothic" w:eastAsia="MS Gothic" w:cs="MS Gothic"/>
        </w:rPr>
        <w:t>として</w:t>
      </w:r>
      <w:r>
        <w:rPr>
          <w:rFonts w:ascii="Microsoft YaHei" w:hAnsi="Microsoft YaHei" w:eastAsia="Microsoft YaHei" w:cs="Microsoft YaHei"/>
        </w:rPr>
        <w:t>立</w:t>
      </w:r>
      <w:r>
        <w:rPr>
          <w:rFonts w:ascii="MS Gothic" w:hAnsi="MS Gothic" w:eastAsia="MS Gothic" w:cs="MS Gothic"/>
        </w:rPr>
        <w:t>たせる</w:t>
      </w:r>
      <w:r>
        <w:rPr>
          <w:rFonts w:ascii="Microsoft YaHei" w:hAnsi="Microsoft YaHei" w:eastAsia="Microsoft YaHei" w:cs="Microsoft YaHei"/>
        </w:rPr>
        <w:t>東風</w:t>
      </w:r>
      <w:r>
        <w:rPr>
          <w:rFonts w:ascii="MS Gothic" w:hAnsi="MS Gothic" w:eastAsia="MS Gothic" w:cs="MS Gothic"/>
        </w:rPr>
        <w:t>の</w:t>
      </w:r>
      <w:r>
        <w:rPr>
          <w:rFonts w:ascii="Microsoft YaHei" w:hAnsi="Microsoft YaHei" w:eastAsia="Microsoft YaHei" w:cs="Microsoft YaHei"/>
        </w:rPr>
        <w:t>消息</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ダニエルに</w:t>
      </w:r>
      <w:r>
        <w:rPr>
          <w:rFonts w:ascii="Microsoft YaHei" w:hAnsi="Microsoft YaHei" w:eastAsia="Microsoft YaHei" w:cs="Microsoft YaHei"/>
        </w:rPr>
        <w:t>示</w:t>
      </w:r>
      <w:r>
        <w:rPr>
          <w:rFonts w:ascii="MS Gothic" w:hAnsi="MS Gothic" w:eastAsia="MS Gothic" w:cs="MS Gothic"/>
        </w:rPr>
        <w:t>される</w:t>
      </w:r>
      <w:r>
        <w:rPr>
          <w:rFonts w:ascii="Microsoft YaHei" w:hAnsi="Microsoft YaHei" w:eastAsia="Microsoft YaHei" w:cs="Microsoft YaHei"/>
        </w:rPr>
        <w:t>光</w:t>
      </w:r>
      <w:r>
        <w:rPr>
          <w:rFonts w:ascii="MS Gothic" w:hAnsi="MS Gothic" w:eastAsia="MS Gothic" w:cs="MS Gothic"/>
        </w:rPr>
        <w:t>は</w:t>
      </w:r>
      <w:r>
        <w:rPr>
          <w:rFonts w:ascii="Microsoft YaHei" w:hAnsi="Microsoft YaHei" w:eastAsia="Microsoft YaHei" w:cs="Microsoft YaHei"/>
        </w:rPr>
        <w:t>、第十一章</w:t>
      </w:r>
      <w:r>
        <w:rPr>
          <w:rFonts w:ascii="MS Gothic" w:hAnsi="MS Gothic" w:eastAsia="MS Gothic" w:cs="MS Gothic"/>
        </w:rPr>
        <w:t>において</w:t>
      </w:r>
      <w:r>
        <w:rPr>
          <w:rFonts w:ascii="Microsoft YaHei" w:hAnsi="Microsoft YaHei" w:eastAsia="Microsoft YaHei" w:cs="Microsoft YaHei"/>
        </w:rPr>
        <w:t>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によって</w:t>
      </w:r>
      <w:r>
        <w:rPr>
          <w:rFonts w:ascii="Microsoft YaHei" w:hAnsi="Microsoft YaHei" w:eastAsia="Microsoft YaHei" w:cs="Microsoft YaHei"/>
        </w:rPr>
        <w:t>表</w:t>
      </w:r>
      <w:r>
        <w:rPr>
          <w:rFonts w:ascii="MS Gothic" w:hAnsi="MS Gothic" w:eastAsia="MS Gothic" w:cs="MS Gothic"/>
        </w:rPr>
        <w:t>される</w:t>
      </w:r>
      <w:r>
        <w:rPr>
          <w:rFonts w:ascii="Microsoft YaHei" w:hAnsi="Microsoft YaHei" w:eastAsia="Microsoft YaHei" w:cs="Microsoft YaHei"/>
        </w:rPr>
        <w:t>光</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エゼキエルとダニエルは</w:t>
      </w:r>
      <w:r>
        <w:rPr>
          <w:rFonts w:ascii="Microsoft YaHei" w:hAnsi="Microsoft YaHei" w:eastAsia="Microsoft YaHei" w:cs="Microsoft YaHei"/>
        </w:rPr>
        <w:t>共</w:t>
      </w:r>
      <w:r>
        <w:rPr>
          <w:rFonts w:ascii="MS Gothic" w:hAnsi="MS Gothic" w:eastAsia="MS Gothic" w:cs="MS Gothic"/>
        </w:rPr>
        <w:t>に</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日々</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するダニエルの</w:t>
      </w:r>
      <w:r>
        <w:rPr>
          <w:rFonts w:ascii="Microsoft YaHei" w:hAnsi="Microsoft YaHei" w:eastAsia="Microsoft YaHei" w:cs="Microsoft YaHei"/>
        </w:rPr>
        <w:t>預言</w:t>
      </w:r>
      <w:r>
        <w:rPr>
          <w:rFonts w:ascii="MS Gothic" w:hAnsi="MS Gothic" w:eastAsia="MS Gothic" w:cs="MS Gothic"/>
        </w:rPr>
        <w:t>のその</w:t>
      </w:r>
      <w:r>
        <w:rPr>
          <w:rFonts w:ascii="Microsoft YaHei" w:hAnsi="Microsoft YaHei" w:eastAsia="Microsoft YaHei" w:cs="Microsoft YaHei"/>
        </w:rPr>
        <w:t>部分」、</w:t>
      </w:r>
      <w:r>
        <w:rPr>
          <w:rFonts w:ascii="MS Gothic" w:hAnsi="MS Gothic" w:eastAsia="MS Gothic" w:cs="MS Gothic"/>
        </w:rPr>
        <w:t>すなわち</w:t>
      </w:r>
      <w:r>
        <w:rPr>
          <w:rFonts w:ascii="Microsoft YaHei" w:hAnsi="Microsoft YaHei" w:eastAsia="Microsoft YaHei" w:cs="Microsoft YaHei"/>
        </w:rPr>
        <w:t>（東）</w:t>
      </w:r>
      <w:r>
        <w:rPr>
          <w:rFonts w:ascii="MS Gothic" w:hAnsi="MS Gothic" w:eastAsia="MS Gothic" w:cs="MS Gothic"/>
        </w:rPr>
        <w:t>の</w:t>
      </w:r>
      <w:r>
        <w:rPr>
          <w:rFonts w:ascii="Microsoft YaHei" w:hAnsi="Microsoft YaHei" w:eastAsia="Microsoft YaHei" w:cs="Microsoft YaHei"/>
        </w:rPr>
        <w:t>風</w:t>
      </w:r>
      <w:r>
        <w:rPr>
          <w:rFonts w:ascii="MS Gothic" w:hAnsi="MS Gothic" w:eastAsia="MS Gothic" w:cs="MS Gothic"/>
        </w:rPr>
        <w:t>と</w:t>
      </w:r>
      <w:r>
        <w:rPr>
          <w:rFonts w:ascii="Microsoft YaHei" w:hAnsi="Microsoft YaHei" w:eastAsia="Microsoft YaHei" w:cs="Microsoft YaHei"/>
        </w:rPr>
        <w:t>（北）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の</w:t>
      </w:r>
      <w:r>
        <w:rPr>
          <w:rFonts w:ascii="Microsoft YaHei" w:hAnsi="Microsoft YaHei" w:eastAsia="Microsoft YaHei" w:cs="Microsoft YaHei"/>
        </w:rPr>
        <w:t>知</w:t>
      </w:r>
      <w:r>
        <w:rPr>
          <w:rFonts w:ascii="MS Gothic" w:hAnsi="MS Gothic" w:eastAsia="MS Gothic" w:cs="MS Gothic"/>
        </w:rPr>
        <w:t>らせを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Dar et tidings ud af øst og ud af nord skal forurolige ham; derfor skal han drage ud med stor harme for at ødelægge og fuldstændig tilintetgøre mange. Daniel 11:44.</w:t>
      </w:r>
    </w:p>
    <w:p>
      <w:pPr>
        <w:pStyle w:val="ArticleBody"/>
        <w:jc w:val="left"/>
      </w:pPr>
      <w:r>
        <w:rPr>
          <w:rFonts w:ascii="Times New Roman" w:hAnsi="Times New Roman" w:eastAsia="Times New Roman" w:cs="Times New Roman"/>
        </w:rPr>
        <w:t>En 1856, le Seigneur avait dessein d’achever son œuvre de scellement de son peuple, mais ils se rebellèrent. Le message dont Il entendait se servir pour les faire sortir de leur condition laodicéenne était les « sept temps » de Lévitique vingt-six. Lorsque le Seigneur commença à rassembler son peuple en juillet 2023, Il leur présenta une fois encore le message des « sept temps » et, entre autres choses, montra que, lors du Jour antitypique des Expiations, la trompette du Jubilé devait retentir, moment où la septième trompette devait également sonner. La trompette du Jubilé est un symbole des « sept temps », et la septième trompette est le troisième malheur. Lorsque Michel descendit dans Daniel chapitre dix, Daniel représentait ceux qui obtiennent l’expérience de ceux qui prient la prière de Lévitique vingt-six, et ceux qui cherchent à comprendre le secret prophétique de Daniel chapitre deux.</w:t>
      </w:r>
    </w:p>
    <w:p>
      <w:pPr>
        <w:pStyle w:val="ArticleBody"/>
        <w:jc w:val="left"/>
      </w:pP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কণ্ঠে</w:t>
      </w:r>
      <w:r>
        <w:rPr>
          <w:rFonts w:ascii="Times New Roman" w:hAnsi="Times New Roman" w:eastAsia="Times New Roman" w:cs="Times New Roman"/>
        </w:rPr>
        <w:t xml:space="preserve"> </w:t>
      </w:r>
      <w:r>
        <w:rPr>
          <w:rFonts w:ascii="Nirmala UI" w:hAnsi="Nirmala UI" w:eastAsia="Nirmala UI" w:cs="Nirmala UI"/>
        </w:rPr>
        <w:t>সমবেত</w:t>
      </w:r>
      <w:r>
        <w:rPr>
          <w:rFonts w:ascii="Times New Roman" w:hAnsi="Times New Roman" w:eastAsia="Times New Roman" w:cs="Times New Roman"/>
        </w:rPr>
        <w:t xml:space="preserve"> </w:t>
      </w:r>
      <w:r>
        <w:rPr>
          <w:rFonts w:ascii="Nirmala UI" w:hAnsi="Nirmala UI" w:eastAsia="Nirmala UI" w:cs="Nirmala UI"/>
        </w:rPr>
        <w:t>হয়েছেন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দিকের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শক্তিবর্ধিত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পায়ে</w:t>
      </w:r>
      <w:r>
        <w:rPr>
          <w:rFonts w:ascii="Times New Roman" w:hAnsi="Times New Roman" w:eastAsia="Times New Roman" w:cs="Times New Roman"/>
        </w:rPr>
        <w:t xml:space="preserve"> </w:t>
      </w:r>
      <w:r>
        <w:rPr>
          <w:rFonts w:ascii="Nirmala UI" w:hAnsi="Nirmala UI" w:eastAsia="Nirmala UI" w:cs="Nirmala UI"/>
        </w:rPr>
        <w:t>দাঁড়ান।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থাকেন</w:t>
      </w:r>
      <w:r>
        <w:rPr>
          <w:rFonts w:ascii="Times New Roman" w:hAnsi="Times New Roman" w:eastAsia="Times New Roman" w:cs="Times New Roman"/>
        </w:rPr>
        <w:t xml:space="preserve"> </w:t>
      </w:r>
      <w:r>
        <w:rPr>
          <w:rFonts w:ascii="Nirmala UI" w:hAnsi="Nirmala UI" w:eastAsia="Nirmala UI" w:cs="Nirmala UI"/>
        </w:rPr>
        <w:t>আসন্ন</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বাহিনীকে</w:t>
      </w:r>
      <w:r>
        <w:rPr>
          <w:rFonts w:ascii="Times New Roman" w:hAnsi="Times New Roman" w:eastAsia="Times New Roman" w:cs="Times New Roman"/>
        </w:rPr>
        <w:t xml:space="preserve"> </w:t>
      </w:r>
      <w:r>
        <w:rPr>
          <w:rFonts w:ascii="Nirmala UI" w:hAnsi="Nirmala UI" w:eastAsia="Nirmala UI" w:cs="Nirmala UI"/>
        </w:rPr>
        <w:t>উত্থিত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প্রক্রিয়া</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অত্যন্ত</w:t>
      </w:r>
      <w:r>
        <w:rPr>
          <w:rFonts w:ascii="Times New Roman" w:hAnsi="Times New Roman" w:eastAsia="Times New Roman" w:cs="Times New Roman"/>
        </w:rPr>
        <w:t xml:space="preserve"> </w:t>
      </w:r>
      <w:r>
        <w:rPr>
          <w:rFonts w:ascii="Nirmala UI" w:hAnsi="Nirmala UI" w:eastAsia="Nirmala UI" w:cs="Nirmala UI"/>
        </w:rPr>
        <w:t>বিশদ</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ঈশ্বরত্ব</w:t>
      </w:r>
      <w:r>
        <w:rPr>
          <w:rFonts w:ascii="Times New Roman" w:hAnsi="Times New Roman" w:eastAsia="Times New Roman" w:cs="Times New Roman"/>
        </w:rPr>
        <w:t xml:space="preserve"> </w:t>
      </w:r>
      <w:r>
        <w:rPr>
          <w:rFonts w:ascii="Nirmala UI" w:hAnsi="Nirmala UI" w:eastAsia="Nirmala UI" w:cs="Nirmala UI"/>
        </w:rPr>
        <w:t>মানবত্বের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মোহরাঙ্কনের</w:t>
      </w:r>
      <w:r>
        <w:rPr>
          <w:rFonts w:ascii="Times New Roman" w:hAnsi="Times New Roman" w:eastAsia="Times New Roman" w:cs="Times New Roman"/>
        </w:rPr>
        <w:t xml:space="preserve"> </w:t>
      </w:r>
      <w:r>
        <w:rPr>
          <w:rFonts w:ascii="Nirmala UI" w:hAnsi="Nirmala UI" w:eastAsia="Nirmala UI" w:cs="Nirmala UI"/>
        </w:rPr>
        <w:t>পরিপূর্ণতায়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Daniel eleven-</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এগারোতম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Daniel eleven-</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ষোড়শ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চল্লিশতম</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গুপ্ত</w:t>
      </w:r>
      <w:r>
        <w:rPr>
          <w:rFonts w:ascii="Times New Roman" w:hAnsi="Times New Roman" w:eastAsia="Times New Roman" w:cs="Times New Roman"/>
        </w:rPr>
        <w:t xml:space="preserve"> </w:t>
      </w:r>
      <w:r>
        <w:rPr>
          <w:rFonts w:ascii="Nirmala UI" w:hAnsi="Nirmala UI" w:eastAsia="Nirmala UI" w:cs="Nirmala UI"/>
        </w:rPr>
        <w:t>ইতিহাসকে</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“that portion of the prophecy of Daniel relating to the last days.”</w:t>
      </w:r>
    </w:p>
    <w:p>
      <w:pPr>
        <w:pStyle w:val="ArticleBody"/>
        <w:jc w:val="left"/>
      </w:pPr>
      <w:r>
        <w:rPr>
          <w:rFonts w:ascii="Times New Roman" w:hAnsi="Times New Roman" w:eastAsia="Times New Roman" w:cs="Times New Roman"/>
        </w:rPr>
        <w:t>À mesure que nous commençons à considérer les versets treize à quinze de Daniel onze, dont le premier accomplissement eut lieu à la bataille de Panium en 200 av. J.-C., il est essentiel de comprendre la portée de ces versets. Panium est la troisième de trois guerres par procuration. La première bataille s’est achevée par la victoire de la papauté et de son armée mandataire, les États-Unis, en 1989. La bataille suivante, représentée par les versets onze et douze, qui s’est accomplie par la bataille de Raphia, verra le roi du midi (la Russie) vaincre le roi du nord et son armée mandataire en Ukraine. La troisième bataille sera comme la première, la papauté (le roi du nord) l’emportant sur le communisme (les Nations Unies), avec son armée mandataire (les États-Unis). Mais la troisième guerre par procuration, qui est la bataille de Panium, déclenchera aussi la Troisième Guerre mondiale.</w:t>
      </w:r>
    </w:p>
    <w:p>
      <w:pPr>
        <w:pStyle w:val="ArticleBody"/>
        <w:jc w:val="left"/>
      </w:pPr>
      <w:r>
        <w:rPr>
          <w:rFonts w:ascii="Times New Roman" w:hAnsi="Times New Roman" w:eastAsia="Times New Roman" w:cs="Times New Roman"/>
        </w:rPr>
        <w:t>Tutaendelea na uchunguzi huu katika makala inayofuata.</w:t>
      </w:r>
    </w:p>
    <w:p>
      <w:pPr>
        <w:pStyle w:val="ArticleScripture"/>
        <w:jc w:val="left"/>
      </w:pPr>
      <w:r>
        <w:rPr>
          <w:rFonts w:ascii="Times New Roman" w:hAnsi="Times New Roman" w:eastAsia="Times New Roman" w:cs="Times New Roman"/>
        </w:rPr>
        <w:t>“Bíi ti àwọn ìṣòro tí ó dà bí ẹ̀kẹ̀ ṣe wà lábẹ́ ìtọ́sọ́nà ọwọ́ tí ó wà ní abẹ́ ìyẹ́ àwọn kérúbù, bẹ́ẹ̀ náà ni eré ìṣòro tí ó díjú ti ìṣẹ̀lẹ̀ ènìyàn wà lábẹ́ ìṣàkóso Ọlọ́run. Láàrín ìjà àti rúkèrúdò àwọn orílẹ̀-èdè, Ẹni tí ó jókòó lókè àwọn kérúbù ṣì ń darí ọ̀ràn ayé.”</w:t>
      </w:r>
    </w:p>
    <w:p>
      <w:pPr>
        <w:pStyle w:val="ArticleScripture"/>
        <w:jc w:val="left"/>
      </w:pPr>
      <w:r>
        <w:rPr>
          <w:rFonts w:ascii="Times New Roman" w:hAnsi="Times New Roman" w:eastAsia="Times New Roman" w:cs="Times New Roman"/>
        </w:rPr>
        <w:t>«L’histoire des nations qui, l’une après l’autre, ont occupé le temps et la place qui leur étaient assignés, rendant inconsciemment témoignage à la vérité dont elles-mêmes ne comprenaient pas le sens, nous parle. À chaque nation et à chaque individu d’aujourd’hui, Dieu a assigné une place dans son grand dessein. Aujourd’hui, les hommes et les nations sont mesurés au fil à plomb dans la main de Celui qui ne se trompe jamais. Tous décident, par leur propre choix, de leur destinée, et Dieu dirige souverainement toutes choses pour l’accomplissement de ses desseins. »</w:t>
      </w:r>
    </w:p>
    <w:p>
      <w:pPr>
        <w:pStyle w:val="ArticleScripture"/>
        <w:jc w:val="left"/>
      </w:pPr>
      <w:r>
        <w:rPr>
          <w:rFonts w:ascii="Times New Roman" w:hAnsi="Times New Roman" w:eastAsia="Times New Roman" w:cs="Times New Roman"/>
        </w:rPr>
        <w:t>“Ko e hisitōlia ʻa ia kuo fokotuʻu ʻe he ʻI AM lahi ʻi Heʻene folofola, ʻo fakatahatahaʻi ʻa e mataʻi-sēini kotoa pē ʻi he filifili fakakikite, mei he taʻengata ʻi he kuohili ki he taʻengata ʻi he kahaʻu, ʻoku ne fakahā mai ʻa e feituʻu ʻoku tau tuʻu ai he ʻaho ni ʻi he hokohoko ʻa e ngaahi kuonga, pea mo ia ʻe ala ʻamanekina ʻi he taimi ka hoko mai. Ko e meʻa kotoa pē kuo tomuʻa tala ʻe he kikite ʻe hoko mai, ʻo aʻu mai ki he taimi lolotonga ni, kuo lava hono hifo ʻi he ngaahi peesi ʻo e hisitōlia, pea te tau lava ʻo fakapapauʻi ʻe fakahoko fakaʻotua pē ʻi hono tuʻunga totonu ʻa e meʻa kotoa pē ʻoku kei toe ke hoko mai.”</w:t>
      </w:r>
    </w:p>
    <w:p>
      <w:pPr>
        <w:pStyle w:val="ArticleScripture"/>
        <w:jc w:val="left"/>
      </w:pPr>
      <w:r>
        <w:rPr>
          <w:rFonts w:ascii="Times New Roman" w:hAnsi="Times New Roman" w:eastAsia="Times New Roman" w:cs="Times New Roman"/>
        </w:rPr>
        <w:t>«Соңғы жердегі барлық патшалықтардың түпкілікті құлатылуы ақиқат сөзінде айқын алдын ала айтылған. Исраилдің соңғы патшасына Құдайдың үкімі жарияланған кезде айтылған пайғамбарлықта мына хабар берілген:</w:t>
      </w:r>
    </w:p>
    <w:p>
      <w:pPr>
        <w:pStyle w:val="ArticleScripture"/>
        <w:jc w:val="left"/>
      </w:pPr>
      <w:r>
        <w:rPr>
          <w:rFonts w:ascii="Times New Roman" w:hAnsi="Times New Roman" w:eastAsia="Times New Roman" w:cs="Times New Roman"/>
        </w:rPr>
        <w:t>« Ainsi parle le Seigneur, l’Éternel : Ôte la tiare, et enlève la couronne : … élève celui qui est abaissé, et abaisse celui qui est élevé. Je la renverserai, la renverserai, la renverserai ; et elle ne sera plus, jusqu’à ce que vienne celui à qui appartient le droit ; et je la lui donnerai. » Ézéchiel 21:26, 27.</w:t>
      </w:r>
    </w:p>
    <w:p>
      <w:pPr>
        <w:pStyle w:val="ArticleScripture"/>
        <w:jc w:val="left"/>
      </w:pPr>
      <w:r>
        <w:rPr>
          <w:rFonts w:ascii="Nirmala UI" w:hAnsi="Nirmala UI" w:eastAsia="Nirmala UI" w:cs="Nirmala UI"/>
        </w:rPr>
        <w:t>ତେଣୁ</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ଅପସାରିତ</w:t>
      </w:r>
      <w:r>
        <w:rPr>
          <w:rFonts w:ascii="Times New Roman" w:hAnsi="Times New Roman" w:eastAsia="Times New Roman" w:cs="Times New Roman"/>
        </w:rPr>
        <w:t xml:space="preserve"> </w:t>
      </w:r>
      <w:r>
        <w:rPr>
          <w:rFonts w:ascii="Nirmala UI" w:hAnsi="Nirmala UI" w:eastAsia="Nirmala UI" w:cs="Nirmala UI"/>
        </w:rPr>
        <w:t>ମୁକୁଟ</w:t>
      </w:r>
      <w:r>
        <w:rPr>
          <w:rFonts w:ascii="Times New Roman" w:hAnsi="Times New Roman" w:eastAsia="Times New Roman" w:cs="Times New Roman"/>
        </w:rPr>
        <w:t xml:space="preserve"> </w:t>
      </w:r>
      <w:r>
        <w:rPr>
          <w:rFonts w:ascii="Nirmala UI" w:hAnsi="Nirmala UI" w:eastAsia="Nirmala UI" w:cs="Nirmala UI"/>
        </w:rPr>
        <w:t>କ୍ରମେ</w:t>
      </w:r>
      <w:r>
        <w:rPr>
          <w:rFonts w:ascii="Times New Roman" w:hAnsi="Times New Roman" w:eastAsia="Times New Roman" w:cs="Times New Roman"/>
        </w:rPr>
        <w:t xml:space="preserve"> </w:t>
      </w:r>
      <w:r>
        <w:rPr>
          <w:rFonts w:ascii="Nirmala UI" w:hAnsi="Nirmala UI" w:eastAsia="Nirmala UI" w:cs="Nirmala UI"/>
        </w:rPr>
        <w:t>ବାବିଲୋନ</w:t>
      </w:r>
      <w:r>
        <w:rPr>
          <w:rFonts w:ascii="Times New Roman" w:hAnsi="Times New Roman" w:eastAsia="Times New Roman" w:cs="Times New Roman"/>
        </w:rPr>
        <w:t xml:space="preserve">, </w:t>
      </w:r>
      <w:r>
        <w:rPr>
          <w:rFonts w:ascii="Nirmala UI" w:hAnsi="Nirmala UI" w:eastAsia="Nirmala UI" w:cs="Nirmala UI"/>
        </w:rPr>
        <w:t>ମେଦୋ</w:t>
      </w:r>
      <w:r>
        <w:rPr>
          <w:rFonts w:ascii="Times New Roman" w:hAnsi="Times New Roman" w:eastAsia="Times New Roman" w:cs="Times New Roman"/>
        </w:rPr>
        <w:t>-</w:t>
      </w:r>
      <w:r>
        <w:rPr>
          <w:rFonts w:ascii="Nirmala UI" w:hAnsi="Nirmala UI" w:eastAsia="Nirmala UI" w:cs="Nirmala UI"/>
        </w:rPr>
        <w:t>ପର୍ସିଆ</w:t>
      </w:r>
      <w:r>
        <w:rPr>
          <w:rFonts w:ascii="Times New Roman" w:hAnsi="Times New Roman" w:eastAsia="Times New Roman" w:cs="Times New Roman"/>
        </w:rPr>
        <w:t xml:space="preserve">, </w:t>
      </w:r>
      <w:r>
        <w:rPr>
          <w:rFonts w:ascii="Nirmala UI" w:hAnsi="Nirmala UI" w:eastAsia="Nirmala UI" w:cs="Nirmala UI"/>
        </w:rPr>
        <w:t>ଗ୍ରୀସ</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ରୋମର</w:t>
      </w:r>
      <w:r>
        <w:rPr>
          <w:rFonts w:ascii="Times New Roman" w:hAnsi="Times New Roman" w:eastAsia="Times New Roman" w:cs="Times New Roman"/>
        </w:rPr>
        <w:t xml:space="preserve"> </w:t>
      </w:r>
      <w:r>
        <w:rPr>
          <w:rFonts w:ascii="Nirmala UI" w:hAnsi="Nirmala UI" w:eastAsia="Nirmala UI" w:cs="Nirmala UI"/>
        </w:rPr>
        <w:t>ରାଜ୍ୟଗୁଡ଼ିକ</w:t>
      </w:r>
      <w:r>
        <w:rPr>
          <w:rFonts w:ascii="Times New Roman" w:hAnsi="Times New Roman" w:eastAsia="Times New Roman" w:cs="Times New Roman"/>
        </w:rPr>
        <w:t xml:space="preserve"> </w:t>
      </w:r>
      <w:r>
        <w:rPr>
          <w:rFonts w:ascii="Nirmala UI" w:hAnsi="Nirmala UI" w:eastAsia="Nirmala UI" w:cs="Nirmala UI"/>
        </w:rPr>
        <w:t>ପାଖକୁ</w:t>
      </w:r>
      <w:r>
        <w:rPr>
          <w:rFonts w:ascii="Times New Roman" w:hAnsi="Times New Roman" w:eastAsia="Times New Roman" w:cs="Times New Roman"/>
        </w:rPr>
        <w:t xml:space="preserve"> </w:t>
      </w:r>
      <w:r>
        <w:rPr>
          <w:rFonts w:ascii="Nirmala UI" w:hAnsi="Nirmala UI" w:eastAsia="Nirmala UI" w:cs="Nirmala UI"/>
        </w:rPr>
        <w:t>ଗଲା।</w:t>
      </w:r>
      <w:r>
        <w:rPr>
          <w:rFonts w:ascii="Times New Roman" w:hAnsi="Times New Roman" w:eastAsia="Times New Roman" w:cs="Times New Roman"/>
        </w:rPr>
        <w:t xml:space="preserve"> </w:t>
      </w:r>
      <w:r>
        <w:rPr>
          <w:rFonts w:ascii="Nirmala UI" w:hAnsi="Nirmala UI" w:eastAsia="Nirmala UI" w:cs="Nirmala UI"/>
        </w:rPr>
        <w:t>ଈଶ୍ୱର</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ରହିବ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ଯାଏପର୍ଯ୍ୟନ୍ତ</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w:t>
      </w:r>
      <w:r>
        <w:rPr>
          <w:rFonts w:ascii="Times New Roman" w:hAnsi="Times New Roman" w:eastAsia="Times New Roman" w:cs="Times New Roman"/>
        </w:rPr>
        <w:t xml:space="preserve"> </w:t>
      </w:r>
      <w:r>
        <w:rPr>
          <w:rFonts w:ascii="Nirmala UI" w:hAnsi="Nirmala UI" w:eastAsia="Nirmala UI" w:cs="Nirmala UI"/>
        </w:rPr>
        <w:t>ଆସନ୍ତି</w:t>
      </w:r>
      <w:r>
        <w:rPr>
          <w:rFonts w:ascii="Times New Roman" w:hAnsi="Times New Roman" w:eastAsia="Times New Roman" w:cs="Times New Roman"/>
        </w:rPr>
        <w:t xml:space="preserve"> </w:t>
      </w:r>
      <w:r>
        <w:rPr>
          <w:rFonts w:ascii="Nirmala UI" w:hAnsi="Nirmala UI" w:eastAsia="Nirmala UI" w:cs="Nirmala UI"/>
        </w:rPr>
        <w:t>ଯାହାଙ୍କର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ଅଧିକାର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जवळ</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काळाची</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जाहीर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गंभीर</w:t>
      </w:r>
      <w:r>
        <w:rPr>
          <w:rFonts w:ascii="Times New Roman" w:hAnsi="Times New Roman" w:eastAsia="Times New Roman" w:cs="Times New Roman"/>
        </w:rPr>
        <w:t xml:space="preserve"> </w:t>
      </w:r>
      <w:r>
        <w:rPr>
          <w:rFonts w:ascii="Nirmala UI" w:hAnsi="Nirmala UI" w:eastAsia="Nirmala UI" w:cs="Nirmala UI"/>
        </w:rPr>
        <w:t>घटनांच्या</w:t>
      </w:r>
      <w:r>
        <w:rPr>
          <w:rFonts w:ascii="Times New Roman" w:hAnsi="Times New Roman" w:eastAsia="Times New Roman" w:cs="Times New Roman"/>
        </w:rPr>
        <w:t xml:space="preserve"> </w:t>
      </w:r>
      <w:r>
        <w:rPr>
          <w:rFonts w:ascii="Nirmala UI" w:hAnsi="Nirmala UI" w:eastAsia="Nirmala UI" w:cs="Nirmala UI"/>
        </w:rPr>
        <w:t>उंबरठ्यावर</w:t>
      </w:r>
      <w:r>
        <w:rPr>
          <w:rFonts w:ascii="Times New Roman" w:hAnsi="Times New Roman" w:eastAsia="Times New Roman" w:cs="Times New Roman"/>
        </w:rPr>
        <w:t xml:space="preserve"> </w:t>
      </w:r>
      <w:r>
        <w:rPr>
          <w:rFonts w:ascii="Nirmala UI" w:hAnsi="Nirmala UI" w:eastAsia="Nirmala UI" w:cs="Nirmala UI"/>
        </w:rPr>
        <w:t>उभे</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जगातील</w:t>
      </w:r>
      <w:r>
        <w:rPr>
          <w:rFonts w:ascii="Times New Roman" w:hAnsi="Times New Roman" w:eastAsia="Times New Roman" w:cs="Times New Roman"/>
        </w:rPr>
        <w:t xml:space="preserve"> </w:t>
      </w: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खळबळीत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डोळ्यांसमोर</w:t>
      </w:r>
      <w:r>
        <w:rPr>
          <w:rFonts w:ascii="Times New Roman" w:hAnsi="Times New Roman" w:eastAsia="Times New Roman" w:cs="Times New Roman"/>
        </w:rPr>
        <w:t xml:space="preserve"> </w:t>
      </w:r>
      <w:r>
        <w:rPr>
          <w:rFonts w:ascii="Nirmala UI" w:hAnsi="Nirmala UI" w:eastAsia="Nirmala UI" w:cs="Nirmala UI"/>
        </w:rPr>
        <w:t>तारणहाराची</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आगमनापूर्वी</w:t>
      </w:r>
      <w:r>
        <w:rPr>
          <w:rFonts w:ascii="Times New Roman" w:hAnsi="Times New Roman" w:eastAsia="Times New Roman" w:cs="Times New Roman"/>
        </w:rPr>
        <w:t xml:space="preserve"> </w:t>
      </w:r>
      <w:r>
        <w:rPr>
          <w:rFonts w:ascii="Nirmala UI" w:hAnsi="Nirmala UI" w:eastAsia="Nirmala UI" w:cs="Nirmala UI"/>
        </w:rPr>
        <w:t>घडणाऱ्या</w:t>
      </w:r>
      <w:r>
        <w:rPr>
          <w:rFonts w:ascii="Times New Roman" w:hAnsi="Times New Roman" w:eastAsia="Times New Roman" w:cs="Times New Roman"/>
        </w:rPr>
        <w:t xml:space="preserve"> </w:t>
      </w:r>
      <w:r>
        <w:rPr>
          <w:rFonts w:ascii="Nirmala UI" w:hAnsi="Nirmala UI" w:eastAsia="Nirmala UI" w:cs="Nirmala UI"/>
        </w:rPr>
        <w:t>घटनांविषयीची</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युद्धांच्या</w:t>
      </w:r>
      <w:r>
        <w:rPr>
          <w:rFonts w:ascii="Times New Roman" w:hAnsi="Times New Roman" w:eastAsia="Times New Roman" w:cs="Times New Roman"/>
        </w:rPr>
        <w:t xml:space="preserve"> </w:t>
      </w:r>
      <w:r>
        <w:rPr>
          <w:rFonts w:ascii="Nirmala UI" w:hAnsi="Nirmala UI" w:eastAsia="Nirmala UI" w:cs="Nirmala UI"/>
        </w:rPr>
        <w:t>अफवा</w:t>
      </w:r>
      <w:r>
        <w:rPr>
          <w:rFonts w:ascii="Times New Roman" w:hAnsi="Times New Roman" w:eastAsia="Times New Roman" w:cs="Times New Roman"/>
        </w:rPr>
        <w:t xml:space="preserve"> </w:t>
      </w:r>
      <w:r>
        <w:rPr>
          <w:rFonts w:ascii="Nirmala UI" w:hAnsi="Nirmala UI" w:eastAsia="Nirmala UI" w:cs="Nirmala UI"/>
        </w:rPr>
        <w:t>ऐकाल</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राष्ट्राविरुद्ध</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राज्याविरुद्ध</w:t>
      </w:r>
      <w:r>
        <w:rPr>
          <w:rFonts w:ascii="Times New Roman" w:hAnsi="Times New Roman" w:eastAsia="Times New Roman" w:cs="Times New Roman"/>
        </w:rPr>
        <w:t xml:space="preserve"> </w:t>
      </w:r>
      <w:r>
        <w:rPr>
          <w:rFonts w:ascii="Nirmala UI" w:hAnsi="Nirmala UI" w:eastAsia="Nirmala UI" w:cs="Nirmala UI"/>
        </w:rPr>
        <w:t>उठेल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निरनिराळ्या</w:t>
      </w:r>
      <w:r>
        <w:rPr>
          <w:rFonts w:ascii="Times New Roman" w:hAnsi="Times New Roman" w:eastAsia="Times New Roman" w:cs="Times New Roman"/>
        </w:rPr>
        <w:t xml:space="preserve"> </w:t>
      </w:r>
      <w:r>
        <w:rPr>
          <w:rFonts w:ascii="Nirmala UI" w:hAnsi="Nirmala UI" w:eastAsia="Nirmala UI" w:cs="Nirmala UI"/>
        </w:rPr>
        <w:t>ठिकाणी</w:t>
      </w:r>
      <w:r>
        <w:rPr>
          <w:rFonts w:ascii="Times New Roman" w:hAnsi="Times New Roman" w:eastAsia="Times New Roman" w:cs="Times New Roman"/>
        </w:rPr>
        <w:t xml:space="preserve"> </w:t>
      </w:r>
      <w:r>
        <w:rPr>
          <w:rFonts w:ascii="Nirmala UI" w:hAnsi="Nirmala UI" w:eastAsia="Nirmala UI" w:cs="Nirmala UI"/>
        </w:rPr>
        <w:t>दुष्काळ</w:t>
      </w:r>
      <w:r>
        <w:rPr>
          <w:rFonts w:ascii="Times New Roman" w:hAnsi="Times New Roman" w:eastAsia="Times New Roman" w:cs="Times New Roman"/>
        </w:rPr>
        <w:t xml:space="preserve">, </w:t>
      </w:r>
      <w:r>
        <w:rPr>
          <w:rFonts w:ascii="Nirmala UI" w:hAnsi="Nirmala UI" w:eastAsia="Nirmala UI" w:cs="Nirmala UI"/>
        </w:rPr>
        <w:t>साथीचे</w:t>
      </w:r>
      <w:r>
        <w:rPr>
          <w:rFonts w:ascii="Times New Roman" w:hAnsi="Times New Roman" w:eastAsia="Times New Roman" w:cs="Times New Roman"/>
        </w:rPr>
        <w:t xml:space="preserve"> </w:t>
      </w:r>
      <w:r>
        <w:rPr>
          <w:rFonts w:ascii="Nirmala UI" w:hAnsi="Nirmala UI" w:eastAsia="Nirmala UI" w:cs="Nirmala UI"/>
        </w:rPr>
        <w:t>रोग</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भूकंप</w:t>
      </w:r>
      <w:r>
        <w:rPr>
          <w:rFonts w:ascii="Times New Roman" w:hAnsi="Times New Roman" w:eastAsia="Times New Roman" w:cs="Times New Roman"/>
        </w:rPr>
        <w:t xml:space="preserve"> </w:t>
      </w:r>
      <w:r>
        <w:rPr>
          <w:rFonts w:ascii="Nirmala UI" w:hAnsi="Nirmala UI" w:eastAsia="Nirmala UI" w:cs="Nirmala UI"/>
        </w:rPr>
        <w:t>होतील</w:t>
      </w:r>
      <w:r>
        <w:rPr>
          <w:rFonts w:ascii="Times New Roman" w:hAnsi="Times New Roman" w:eastAsia="Times New Roman" w:cs="Times New Roman"/>
        </w:rPr>
        <w:t xml:space="preserve">.’ </w:t>
      </w:r>
      <w:r>
        <w:rPr>
          <w:rFonts w:ascii="Nirmala UI" w:hAnsi="Nirmala UI" w:eastAsia="Nirmala UI" w:cs="Nirmala UI"/>
        </w:rPr>
        <w:t>मत्तय</w:t>
      </w:r>
      <w:r>
        <w:rPr>
          <w:rFonts w:ascii="Times New Roman" w:hAnsi="Times New Roman" w:eastAsia="Times New Roman" w:cs="Times New Roman"/>
        </w:rPr>
        <w:t xml:space="preserve"> 24:6, 7.”</w:t>
      </w:r>
    </w:p>
    <w:p>
      <w:pPr>
        <w:pStyle w:val="ArticleScripture"/>
        <w:jc w:val="left"/>
      </w:pP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गंभीर</w:t>
      </w:r>
      <w:r>
        <w:rPr>
          <w:rFonts w:ascii="Times New Roman" w:hAnsi="Times New Roman" w:eastAsia="Times New Roman" w:cs="Times New Roman"/>
        </w:rPr>
        <w:t xml:space="preserve"> </w:t>
      </w:r>
      <w:r>
        <w:rPr>
          <w:rFonts w:ascii="Nirmala UI" w:hAnsi="Nirmala UI" w:eastAsia="Nirmala UI" w:cs="Nirmala UI"/>
        </w:rPr>
        <w:t>रुचि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शासक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राजनेता</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आसीन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विचारशील</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लगाए</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विद्यमान</w:t>
      </w:r>
      <w:r>
        <w:rPr>
          <w:rFonts w:ascii="Times New Roman" w:hAnsi="Times New Roman" w:eastAsia="Times New Roman" w:cs="Times New Roman"/>
        </w:rPr>
        <w:t xml:space="preserve"> </w:t>
      </w:r>
      <w:r>
        <w:rPr>
          <w:rFonts w:ascii="Nirmala UI" w:hAnsi="Nirmala UI" w:eastAsia="Nirmala UI" w:cs="Nirmala UI"/>
        </w:rPr>
        <w:t>तनावपूर्ण</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अशांत</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तीव्रता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तत्व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निर्णायक</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महाविशाल</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कगार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«Արեշտակներն այժմ զսպում են կռվի քամիները, որպեսզի նրանք չփչեն, մինչև աշխարհը չզգուշացվի իրեն սպասվող կործանման մասին. բայց մի փոթորիկ է կուտակվում, պատրաստ՝ պայթելու երկրի վրա. և երբ Աստված Իր հրեշտակներին պատվիրի արձակել քամիները, այնպիսի կռվի տեսարան կլինի, որ ոչ մի գրչով հնարավոր չէ պատկերել։</w:t>
      </w:r>
    </w:p>
    <w:p>
      <w:pPr>
        <w:pStyle w:val="ArticleScripture"/>
        <w:jc w:val="left"/>
      </w:pPr>
      <w:r>
        <w:rPr>
          <w:rFonts w:ascii="Times New Roman" w:hAnsi="Times New Roman" w:eastAsia="Times New Roman" w:cs="Times New Roman"/>
        </w:rPr>
        <w:t>“Á Bìlíà, àti Bìlíà nìkan, ni ń fi ojú ìwòye tó pé hàn nípa àwọn nǹkan wọ̀nyí. Níhìn-ín ni a ti ṣí àwọn ìṣẹ̀lẹ̀ ńlá ìkẹyìn nínú ìtàn ayé wa hàn, àwọn ìṣẹ̀lẹ̀ tí ó ti ń ju òjìji wọn síwájú tẹ́lẹ̀ pẹ̀lú, tí ariwo ìsúnmọ́ wọn sì ń mú kí ilẹ̀ ayé máa wárìrì, tí ó sì ń mú kí ọkàn ènìyàn rẹ̀wẹ̀sì nítorí ìbẹ̀rù.</w:t>
      </w:r>
    </w:p>
    <w:p>
      <w:pPr>
        <w:pStyle w:val="ArticleScripture"/>
        <w:jc w:val="left"/>
      </w:pPr>
      <w:r>
        <w:rPr>
          <w:rFonts w:ascii="Times New Roman" w:hAnsi="Times New Roman" w:eastAsia="Times New Roman" w:cs="Times New Roman"/>
        </w:rPr>
        <w:t>«“Lo, il Signore rende la terra deserta, la devasta, ne sconvolge la faccia e ne disperde gli abitanti…. Hanno trasgredito le leggi, mutato lo statuto, infranto il patto eterno. Perciò la maledizione divora la terra, e i suoi abitanti ne portano la pena…. Cessa l’allegria dei tamburelli, finisce il clamore di quelli che gioiscono, cessa la gioia della cetra”. Isaia 24:1–18.»</w:t>
      </w:r>
    </w:p>
    <w:p>
      <w:pPr>
        <w:pStyle w:val="ArticleScripture"/>
        <w:jc w:val="left"/>
      </w:pPr>
      <w:r>
        <w:rPr>
          <w:rFonts w:ascii="Times New Roman" w:hAnsi="Times New Roman" w:eastAsia="Times New Roman" w:cs="Times New Roman"/>
        </w:rPr>
        <w:t>«“Hélas, quel jour ! car le jour de l’Éternel est proche, et il vient comme une destruction de la part du Tout-Puissant…. La semence a pourri sous les mottes de terre ; les greniers sont dévastés, les magasins sont en ruines ; car le blé est desséché. Comme les bêtes gémissent ! Les troupeaux de gros bétail sont dans la consternation, parce qu’ils n’ont point de pâturage ; même les troupeaux de brebis sont frappés de désolation.” “La vigne est desséchée, et le figuier languit ; le grenadier, le palmier aussi, et le pommier, tous les arbres des champs sont flétris ; car la joie a disparu d’entre les fils des hommes.” Joël 1:15–18, 12.</w:t>
      </w:r>
    </w:p>
    <w:p>
      <w:pPr>
        <w:pStyle w:val="ArticleScripture"/>
        <w:jc w:val="left"/>
      </w:pPr>
      <w:r>
        <w:rPr>
          <w:rFonts w:ascii="Times New Roman" w:hAnsi="Times New Roman" w:eastAsia="Times New Roman" w:cs="Times New Roman"/>
        </w:rPr>
        <w:t>« Mon cœur se tord de douleur au dedans de moi ; … je ne puis garder le silence, car toi, ô mon âme, tu as entendu le son de la trompette, le cri de guerre. Ruine sur ruine est proclamée ; car tout le pays est dévasté. »</w:t>
      </w:r>
    </w:p>
    <w:p>
      <w:pPr>
        <w:pStyle w:val="ArticleScripture"/>
        <w:jc w:val="left"/>
      </w:pPr>
      <w:r>
        <w:rPr>
          <w:rFonts w:ascii="Times New Roman" w:hAnsi="Times New Roman" w:eastAsia="Times New Roman" w:cs="Times New Roman"/>
        </w:rPr>
        <w:t>« Je regardai la terre, et voici, elle était informe et vide ; et les cieux, et ils étaient sans lumière. Je regardai les montagnes, et voici, elles tremblaient, et toutes les collines étaient ébranlées. Je regardai, et voici, il n’y avait point d’homme, et tous les oiseaux des cieux s’étaient enfuis. Je regardai, et voici, le pays fertile était un désert, et toutes ses villes étaient détruites. » Jérémie 4:19, 20, 23–26.</w:t>
      </w:r>
    </w:p>
    <w:p>
      <w:pPr>
        <w:pStyle w:val="ArticleScripture"/>
        <w:jc w:val="left"/>
      </w:pPr>
      <w:r>
        <w:rPr>
          <w:rFonts w:ascii="Times New Roman" w:hAnsi="Times New Roman" w:eastAsia="Times New Roman" w:cs="Times New Roman"/>
        </w:rPr>
        <w:t>“‘Ôi than! Vì ngày ấy là lớn lao, không có ngày nào giống như vậy: ấy chính là thời kỳ hoạn nạn của Gia-cốp; nhưng người sẽ được cứu khỏi đó.’ Giê-rê-mi 30:7.” Giáo dục,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soixante-dix-sept</dc:title>
  <dc:subject>Den forseglende mærkning af de 144.000: Indsigter fra Daniels syn og profetisk symbolik</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