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Akwụkwọ Daniel—Nọmba Otu Narị na Iri Asaa na Asatọ</w:t>
      </w:r>
    </w:p>
    <w:p>
      <w:pPr>
        <w:pStyle w:val="ArticleSubtitle"/>
        <w:jc w:val="left"/>
      </w:pPr>
      <w:r>
        <w:rPr>
          <w:rFonts w:ascii="Arial" w:hAnsi="Arial" w:eastAsia="Arial" w:cs="Arial"/>
        </w:rPr>
        <w:t>Parallèles prophétiques : le déploiement de Daniel 11 dans les derniers jours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Ang mga bersikulo labing-anim hanggang labing-siyam ng Daniel kabanata labing-isa ay kumakatawan sa kasaysayang nagsisimula sa nalalapit na batas ng Linggo sa Estados Unidos, hanggang sa pagtindig ni Miguel at sa pagsasara ng panahon ng pagsubok ng sangkatauhan. Kaya naman, kinakatawanan din nito ang kasaysayan ng bersikulo apatnapu’t isa hanggang bersikulo apatnapu’t lima ng gayon ding kabanata.</w:t>
      </w:r>
    </w:p>
    <w:p>
      <w:pPr>
        <w:pStyle w:val="ArticleScripture"/>
        <w:jc w:val="left"/>
      </w:pPr>
      <w:r>
        <w:rPr>
          <w:rFonts w:ascii="Times New Roman" w:hAnsi="Times New Roman" w:eastAsia="Times New Roman" w:cs="Times New Roman"/>
        </w:rPr>
        <w:t>Þó skal sá, er kemur gegn honum, gjöra að eigin geðþótta, og enginn mun standast fyrir honum; og hann mun standa í hinu dýrlega landi, sem fyrir hans hendi mun verða eytt. Hann mun og beina ásjónu sinni að því að ganga inn með afli alls ríkis síns, og hinir réttsýnu með honum; þannig mun hann gjöra; og hann mun gefa honum dóttur kvenna til að spilla henni; en hún mun ekki standa hans megin, né vera fyrir hann. Eftir þetta mun hann beina ásjónu sinni til eyjanna og taka margar; en höfðingi fyrir eigin hönd mun láta smán þá, er hann bar fram, taka enda; án sinnar eigin smánar mun hann láta henni hverfa aftur á hann. Þá mun hann beina ásjónu sinni að vígi síns eigin lands; en hann mun hrasa og falla, og ekki finnast. Daníel 11:16–19.</w:t>
      </w:r>
    </w:p>
    <w:p>
      <w:pPr>
        <w:pStyle w:val="ArticleBody"/>
        <w:jc w:val="left"/>
      </w:pPr>
      <w:r>
        <w:rPr>
          <w:rFonts w:ascii="Microsoft YaHei" w:hAnsi="Microsoft YaHei" w:eastAsia="Microsoft YaHei" w:cs="Microsoft YaHei"/>
        </w:rPr>
        <w:t>當懷愛倫姐妹論到但以理書第十一章之最終應驗時</w:t>
      </w:r>
      <w:r>
        <w:rPr>
          <w:rFonts w:ascii="Times New Roman" w:hAnsi="Times New Roman" w:eastAsia="Times New Roman" w:cs="Times New Roman"/>
        </w:rPr>
        <w:t>,</w:t>
      </w:r>
      <w:r>
        <w:rPr>
          <w:rFonts w:ascii="Microsoft YaHei" w:hAnsi="Microsoft YaHei" w:eastAsia="Microsoft YaHei" w:cs="Microsoft YaHei"/>
        </w:rPr>
        <w:t>她曾說：「這預言中許多已經應驗的歷史</w:t>
      </w:r>
      <w:r>
        <w:rPr>
          <w:rFonts w:ascii="Times New Roman" w:hAnsi="Times New Roman" w:eastAsia="Times New Roman" w:cs="Times New Roman"/>
        </w:rPr>
        <w:t>,</w:t>
      </w:r>
      <w:r>
        <w:rPr>
          <w:rFonts w:ascii="Microsoft YaHei" w:hAnsi="Microsoft YaHei" w:eastAsia="Microsoft YaHei" w:cs="Microsoft YaHei"/>
        </w:rPr>
        <w:t>將要重演</w:t>
      </w:r>
      <w:r>
        <w:rPr>
          <w:rFonts w:ascii="Times New Roman" w:hAnsi="Times New Roman" w:eastAsia="Times New Roman" w:cs="Times New Roman"/>
        </w:rPr>
        <w:t>.</w:t>
      </w:r>
      <w:r>
        <w:rPr>
          <w:rFonts w:ascii="Microsoft YaHei" w:hAnsi="Microsoft YaHei" w:eastAsia="Microsoft YaHei" w:cs="Microsoft YaHei"/>
        </w:rPr>
        <w:t>」第四十一至第四十五節重述了這些經文中的預言歷史</w:t>
      </w:r>
      <w:r>
        <w:rPr>
          <w:rFonts w:ascii="Times New Roman" w:hAnsi="Times New Roman" w:eastAsia="Times New Roman" w:cs="Times New Roman"/>
        </w:rPr>
        <w:t>.</w:t>
      </w:r>
      <w:r>
        <w:rPr>
          <w:rFonts w:ascii="Microsoft YaHei" w:hAnsi="Microsoft YaHei" w:eastAsia="Microsoft YaHei" w:cs="Microsoft YaHei"/>
        </w:rPr>
        <w:t>這些經文曾在異教羅馬先征服三個地理區域、從而取得世界統治權時得著應驗</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Bien que l’Égypte n’ait pu tenir devant Antiochus, le roi du nord, Antiochus ne put tenir devant les Romains, qui vinrent alors contre lui. Plus aucun royaume ne fut désormais capable de résister à cette puissance montante. La Syrie fut conquise et ajoutée à l’Empire romain, lorsque Pompée, en 65 av. J.-C., dépouilla Antiochus Asiaticus de ses possessions et réduisit la Syrie au rang de province romaine. »</w:t>
      </w:r>
    </w:p>
    <w:p>
      <w:pPr>
        <w:pStyle w:val="ArticleScripture"/>
        <w:jc w:val="left"/>
      </w:pPr>
      <w:r>
        <w:rPr>
          <w:rFonts w:ascii="Times New Roman" w:hAnsi="Times New Roman" w:eastAsia="Times New Roman" w:cs="Times New Roman"/>
        </w:rPr>
        <w:t>«Пайванд, ки ҳамон қудрат низ дар Замини Муқаддас барпо шавад ва онро фурӯ барад. Рум дар соли 162 то м. бо қавми Худо, яъне яҳудиён, ба воситаи иттиҳод пайваст гардид; аз ҳамин таърих он дар тақвими нубувватӣ ҷойгоҳи барҷаста дорад. Аммо он то соли 63 то м. ҳокимият бар Яҳудияро ба воситаи фатҳи воқеӣ ба даст наовард; ва он гоҳ ба тариқи зерин.»</w:t>
      </w:r>
    </w:p>
    <w:p>
      <w:pPr>
        <w:pStyle w:val="ArticleScripture"/>
        <w:jc w:val="left"/>
      </w:pPr>
      <w:r>
        <w:rPr>
          <w:rFonts w:ascii="Times New Roman" w:hAnsi="Times New Roman" w:eastAsia="Times New Roman" w:cs="Times New Roman"/>
        </w:rPr>
        <w:t>“Pompey Pontus an miraz Mithridates, an zallawh, a-dre an eghenys dhe’n gansow, dew gystadnydh, Hyrcanus hag Aristobulus, a wrug strifya rag coron Iudeya. Aga acheson a dheuth dhe-ves dhe Bhompey, hag y fuan y welas ev an anghyfiander a’n hawlyow a Aristobulus, mes mynnes ev gortos an dyfennans yn mater ma dhe-dhia gwosa’y vaylyans hir-wansys dhe Arabia, ow asasya y’n termyn-na dyffrans dhe-dreist, ha settya aga aferyow herwydh an pyth a semyas dhe ve jüst ha proper. Aristobulus, ow fathmi sentementyow gwir Bhompey, a hastyas yn ôl dhe Iudeya, a arfasas y deyluyon, ha y’n em bareas rag defens krev, fermes y tewlyans, yn pub peryl, dalya an coron, a ragwelas y vethens dyffarnys dhe unn arall. Pompey a heulias yn nessel an fygadowr. Pan nesas ev dhe Jerusalem, Aristobulus, ow talleth dhe arrepentya a’y gwrys, a dheuth mes dhe’y gwrddya, hag a esevyas kompromissa an pethau dre bromenya subjessioun oll anfeus ha summow bras a arian. Pompey, ow asental dhe’n offryn ma, a danvonas Gabinius, yn penn detachment a swardhes, dhe dhegemeres an arian. Mes pan esa an lefftynans-jeneral-se dhe Jerusalem, ev a gafas an yethyow kews yn erbyn ev, hag y fydh dhodho a’n krepow an mogerow na vytha an cita na omstondya gans an accord.”</w:t>
      </w:r>
    </w:p>
    <w:p>
      <w:pPr>
        <w:pStyle w:val="ArticleScripture"/>
        <w:jc w:val="left"/>
      </w:pPr>
      <w:r>
        <w:rPr>
          <w:rFonts w:ascii="Times New Roman" w:hAnsi="Times New Roman" w:eastAsia="Times New Roman" w:cs="Times New Roman"/>
        </w:rPr>
        <w:t>«Пոմպեոսը, որպեսզի այս կերպ անպատիժ չխաբվեր, Արիստոբուլոսին, որին իր մոտ էր պահել, շղթայակապ արեց և իսկույն իր ամբողջ զորքով արշավեց դեպի Երուսաղեմ։ Արիստոբուլոսի կողմնակիցները ցանկանում էին պաշտպանել քաղաքը, իսկ Հիրկանոսի կողմնակիցները՝ բացել դարպասները։ Վերջիններս, լինելով մեծամասնություն և հաղթելով, Պոմպեոսին ազատ մուտք տվեցին քաղաք։ Դրանից հետո Արիստոբուլոսի հետևորդները քաշվեցին տաճարի լեռը՝ լիովին վճռած պաշտպանել այդ վայրը նույնքան, որքան Պոմպեոսը՝ այն գրավել։ Երեք ամսվա վերջում պարսպի մեջ ճեղք բացվեց, որը բավարար էր գրոհի համար, և վայրը սրի ուժով առնվեց։ Հաջորդած սոսկալի կոտորածի ընթացքում տասներկու հազար մարդ սպանվեց։ Պատմիչը նկատում է, թե սրտաճմլիկ տեսարան էր տեսնել քահանաներին, որոնք այդ պահին զբաղված էին աստվածային պաշտամունքով, հանդարտ ձեռքով և անսասան նպատակադրությամբ շարունակել իրենց սովորական ծառայությունը՝ իբր բոլորովին անգիտակից լինելով վայրագ խռովությանը, մինչ իրենց շուրջը իրենց բարեկամները մատնվում էին սրի, և մինչ հաճախ իրենց իսկ արյունը խառնվում էր իրենց զոհերի արյանը»։</w:t>
      </w:r>
    </w:p>
    <w:p>
      <w:pPr>
        <w:pStyle w:val="ArticleScripture"/>
        <w:jc w:val="left"/>
      </w:pPr>
      <w:r>
        <w:rPr>
          <w:rFonts w:ascii="Times New Roman" w:hAnsi="Times New Roman" w:eastAsia="Times New Roman" w:cs="Times New Roman"/>
        </w:rPr>
        <w:t>«پس از آن‌که پومپیوس به جنگ پایان داد، دیوارهای اورشلیم را ویران کرد، چندین شهر را از قلمرو یهودیه به حوزهٔ اقتدار سوریه منتقل ساخت، و بر یهودیان خراج مقرر داشت. بدین‌سان، برای نخستین بار، اورشلیم به‌واسطهٔ فتح به دست آن قدرت سپرده شد که می‌بایست «سرزمینِ جلال» را در چنگال آهنین خود نگاه دارد تا آن را به‌کلی نابود سازد. »</w:t>
      </w:r>
    </w:p>
    <w:p>
      <w:pPr>
        <w:pStyle w:val="ArticleScripture"/>
        <w:jc w:val="left"/>
      </w:pPr>
      <w:r>
        <w:rPr>
          <w:rFonts w:ascii="Times New Roman" w:hAnsi="Times New Roman" w:eastAsia="Times New Roman" w:cs="Times New Roman"/>
        </w:rPr>
        <w:t>« VERSE 17. Il tournera aussi sa face pour entrer avec la force de tout son royaume, et des hommes droits avec lui ; ainsi fera-t-il : et il lui donnera la fille des femmes, pour la corrompre ; mais elle ne se tiendra pas de son côté, et ne sera pas pour lui. »</w:t>
      </w:r>
    </w:p>
    <w:p>
      <w:pPr>
        <w:pStyle w:val="ArticleScripture"/>
        <w:jc w:val="left"/>
      </w:pPr>
      <w:r>
        <w:rPr>
          <w:rFonts w:ascii="Times New Roman" w:hAnsi="Times New Roman" w:eastAsia="Times New Roman" w:cs="Times New Roman"/>
        </w:rPr>
        <w:t>“Bishop Newton waxay aayaddan u bixisaa akhrin kale, taas oo u muuqata inay si ka sii cad u muujinayso macnaha, sida tan soo socota: ‘Oo isna wejigiisa wuxuu u jeedin doonaa inuu xoog ku galo boqortooyada oo dhan.’ Aayadda 16 waxay ina soo gaadhsiisay qabsashadii Roomaanku ku qabsadeen Suuriya iyo Yahuudiya. Rooma waxay hore u qabsatay Makedooniya iyo Tiraakiya. Masar haddaba waxay ahayd waxa keliya ee ka hadhay ‘boqortooyadii oo dhan’ ee Aleksander, oo aan weli loo hoos keenin awoodda Roomaanka, taas oo haddana wejigeeda u jeedisay inay xoog ku gasho dalkaas.</w:t>
      </w:r>
    </w:p>
    <w:p>
      <w:pPr>
        <w:pStyle w:val="ArticleScripture"/>
        <w:jc w:val="left"/>
      </w:pPr>
      <w:r>
        <w:rPr>
          <w:rFonts w:ascii="Times New Roman" w:hAnsi="Times New Roman" w:eastAsia="Times New Roman" w:cs="Times New Roman"/>
        </w:rPr>
        <w:t>“Птолемей Авлет умер в 51 году до Р. Х. Он оставил венец и царство Египта своим старшим детям — сыну и дочери, Птолемею и Клеопатре. В его завещании было предусмотрено, чтобы они вступили в брак между собою и царствовали совместно; а поскольку они были молоды, их отдали под опеку римлян. Римский народ принял на себя это попечение и назначил Помпея опекуном юных наследников Египта.</w:t>
      </w:r>
    </w:p>
    <w:p>
      <w:pPr>
        <w:pStyle w:val="ArticleScripture"/>
        <w:jc w:val="left"/>
      </w:pPr>
      <w:r>
        <w:rPr>
          <w:rFonts w:ascii="Microsoft YaHei" w:hAnsi="Microsoft YaHei" w:eastAsia="Microsoft YaHei" w:cs="Microsoft YaHei"/>
        </w:rPr>
        <w:t>「間</w:t>
      </w:r>
      <w:r>
        <w:rPr>
          <w:rFonts w:ascii="MS Gothic" w:hAnsi="MS Gothic" w:eastAsia="MS Gothic" w:cs="MS Gothic"/>
        </w:rPr>
        <w:t>もなくしてポンペイウスとカエサルとの</w:t>
      </w:r>
      <w:r>
        <w:rPr>
          <w:rFonts w:ascii="Microsoft YaHei" w:hAnsi="Microsoft YaHei" w:eastAsia="Microsoft YaHei" w:cs="Microsoft YaHei"/>
        </w:rPr>
        <w:t>間</w:t>
      </w:r>
      <w:r>
        <w:rPr>
          <w:rFonts w:ascii="MS Gothic" w:hAnsi="MS Gothic" w:eastAsia="MS Gothic" w:cs="MS Gothic"/>
        </w:rPr>
        <w:t>に</w:t>
      </w:r>
      <w:r>
        <w:rPr>
          <w:rFonts w:ascii="Microsoft YaHei" w:hAnsi="Microsoft YaHei" w:eastAsia="Microsoft YaHei" w:cs="Microsoft YaHei"/>
        </w:rPr>
        <w:t>争</w:t>
      </w:r>
      <w:r>
        <w:rPr>
          <w:rFonts w:ascii="MS Gothic" w:hAnsi="MS Gothic" w:eastAsia="MS Gothic" w:cs="MS Gothic"/>
        </w:rPr>
        <w:t>いが</w:t>
      </w:r>
      <w:r>
        <w:rPr>
          <w:rFonts w:ascii="Microsoft YaHei" w:hAnsi="Microsoft YaHei" w:eastAsia="Microsoft YaHei" w:cs="Microsoft YaHei"/>
        </w:rPr>
        <w:t>勃発</w:t>
      </w:r>
      <w:r>
        <w:rPr>
          <w:rFonts w:ascii="MS Gothic" w:hAnsi="MS Gothic" w:eastAsia="MS Gothic" w:cs="MS Gothic"/>
        </w:rPr>
        <w:t>し</w:t>
      </w:r>
      <w:r>
        <w:rPr>
          <w:rFonts w:ascii="Microsoft YaHei" w:hAnsi="Microsoft YaHei" w:eastAsia="Microsoft YaHei" w:cs="Microsoft YaHei"/>
        </w:rPr>
        <w:t>、両将軍</w:t>
      </w:r>
      <w:r>
        <w:rPr>
          <w:rFonts w:ascii="MS Gothic" w:hAnsi="MS Gothic" w:eastAsia="MS Gothic" w:cs="MS Gothic"/>
        </w:rPr>
        <w:t>の</w:t>
      </w:r>
      <w:r>
        <w:rPr>
          <w:rFonts w:ascii="Microsoft YaHei" w:hAnsi="Microsoft YaHei" w:eastAsia="Microsoft YaHei" w:cs="Microsoft YaHei"/>
        </w:rPr>
        <w:t>間</w:t>
      </w:r>
      <w:r>
        <w:rPr>
          <w:rFonts w:ascii="MS Gothic" w:hAnsi="MS Gothic" w:eastAsia="MS Gothic" w:cs="MS Gothic"/>
        </w:rPr>
        <w:t>で</w:t>
      </w:r>
      <w:r>
        <w:rPr>
          <w:rFonts w:ascii="Microsoft YaHei" w:hAnsi="Microsoft YaHei" w:eastAsia="Microsoft YaHei" w:cs="Microsoft YaHei"/>
        </w:rPr>
        <w:t>著名</w:t>
      </w:r>
      <w:r>
        <w:rPr>
          <w:rFonts w:ascii="MS Gothic" w:hAnsi="MS Gothic" w:eastAsia="MS Gothic" w:cs="MS Gothic"/>
        </w:rPr>
        <w:t>なファルサルスの</w:t>
      </w:r>
      <w:r>
        <w:rPr>
          <w:rFonts w:ascii="Microsoft YaHei" w:hAnsi="Microsoft YaHei" w:eastAsia="Microsoft YaHei" w:cs="Microsoft YaHei"/>
        </w:rPr>
        <w:t>戦</w:t>
      </w:r>
      <w:r>
        <w:rPr>
          <w:rFonts w:ascii="MS Gothic" w:hAnsi="MS Gothic" w:eastAsia="MS Gothic" w:cs="MS Gothic"/>
        </w:rPr>
        <w:t>いが</w:t>
      </w:r>
      <w:r>
        <w:rPr>
          <w:rFonts w:ascii="Microsoft YaHei" w:hAnsi="Microsoft YaHei" w:eastAsia="Microsoft YaHei" w:cs="Microsoft YaHei"/>
        </w:rPr>
        <w:t>戦</w:t>
      </w:r>
      <w:r>
        <w:rPr>
          <w:rFonts w:ascii="MS Gothic" w:hAnsi="MS Gothic" w:eastAsia="MS Gothic" w:cs="MS Gothic"/>
        </w:rPr>
        <w:t>われた</w:t>
      </w:r>
      <w:r>
        <w:rPr>
          <w:rFonts w:ascii="Times New Roman" w:hAnsi="Times New Roman" w:eastAsia="Times New Roman" w:cs="Times New Roman"/>
        </w:rPr>
        <w:t>.</w:t>
      </w:r>
      <w:r>
        <w:rPr>
          <w:rFonts w:ascii="MS Gothic" w:hAnsi="MS Gothic" w:eastAsia="MS Gothic" w:cs="MS Gothic"/>
        </w:rPr>
        <w:t>ポンペイウスは</w:t>
      </w:r>
      <w:r>
        <w:rPr>
          <w:rFonts w:ascii="Microsoft YaHei" w:hAnsi="Microsoft YaHei" w:eastAsia="Microsoft YaHei" w:cs="Microsoft YaHei"/>
        </w:rPr>
        <w:t>敗</w:t>
      </w:r>
      <w:r>
        <w:rPr>
          <w:rFonts w:ascii="MS Gothic" w:hAnsi="MS Gothic" w:eastAsia="MS Gothic" w:cs="MS Gothic"/>
        </w:rPr>
        <w:t>れてエジプトへ</w:t>
      </w:r>
      <w:r>
        <w:rPr>
          <w:rFonts w:ascii="Microsoft YaHei" w:hAnsi="Microsoft YaHei" w:eastAsia="Microsoft YaHei" w:cs="Microsoft YaHei"/>
        </w:rPr>
        <w:t>逃</w:t>
      </w:r>
      <w:r>
        <w:rPr>
          <w:rFonts w:ascii="MS Gothic" w:hAnsi="MS Gothic" w:eastAsia="MS Gothic" w:cs="MS Gothic"/>
        </w:rPr>
        <w:t>れた</w:t>
      </w:r>
      <w:r>
        <w:rPr>
          <w:rFonts w:ascii="Times New Roman" w:hAnsi="Times New Roman" w:eastAsia="Times New Roman" w:cs="Times New Roman"/>
        </w:rPr>
        <w:t>.</w:t>
      </w:r>
      <w:r>
        <w:rPr>
          <w:rFonts w:ascii="MS Gothic" w:hAnsi="MS Gothic" w:eastAsia="MS Gothic" w:cs="MS Gothic"/>
        </w:rPr>
        <w:t>カエサルは</w:t>
      </w:r>
      <w:r>
        <w:rPr>
          <w:rFonts w:ascii="Microsoft YaHei" w:hAnsi="Microsoft YaHei" w:eastAsia="Microsoft YaHei" w:cs="Microsoft YaHei"/>
        </w:rPr>
        <w:t>直</w:t>
      </w:r>
      <w:r>
        <w:rPr>
          <w:rFonts w:ascii="MS Gothic" w:hAnsi="MS Gothic" w:eastAsia="MS Gothic" w:cs="MS Gothic"/>
        </w:rPr>
        <w:t>ちに</w:t>
      </w:r>
      <w:r>
        <w:rPr>
          <w:rFonts w:ascii="Microsoft YaHei" w:hAnsi="Microsoft YaHei" w:eastAsia="Microsoft YaHei" w:cs="Microsoft YaHei"/>
        </w:rPr>
        <w:t>彼</w:t>
      </w:r>
      <w:r>
        <w:rPr>
          <w:rFonts w:ascii="MS Gothic" w:hAnsi="MS Gothic" w:eastAsia="MS Gothic" w:cs="MS Gothic"/>
        </w:rPr>
        <w:t>を</w:t>
      </w:r>
      <w:r>
        <w:rPr>
          <w:rFonts w:ascii="Microsoft YaHei" w:hAnsi="Microsoft YaHei" w:eastAsia="Microsoft YaHei" w:cs="Microsoft YaHei"/>
        </w:rPr>
        <w:t>追</w:t>
      </w:r>
      <w:r>
        <w:rPr>
          <w:rFonts w:ascii="MS Gothic" w:hAnsi="MS Gothic" w:eastAsia="MS Gothic" w:cs="MS Gothic"/>
        </w:rPr>
        <w:t>ってそこへ</w:t>
      </w:r>
      <w:r>
        <w:rPr>
          <w:rFonts w:ascii="Microsoft YaHei" w:hAnsi="Microsoft YaHei" w:eastAsia="Microsoft YaHei" w:cs="Microsoft YaHei"/>
        </w:rPr>
        <w:t>赴</w:t>
      </w:r>
      <w:r>
        <w:rPr>
          <w:rFonts w:ascii="MS Gothic" w:hAnsi="MS Gothic" w:eastAsia="MS Gothic" w:cs="MS Gothic"/>
        </w:rPr>
        <w:t>いたが</w:t>
      </w:r>
      <w:r>
        <w:rPr>
          <w:rFonts w:ascii="Microsoft YaHei" w:hAnsi="Microsoft YaHei" w:eastAsia="Microsoft YaHei" w:cs="Microsoft YaHei"/>
        </w:rPr>
        <w:t>、彼</w:t>
      </w:r>
      <w:r>
        <w:rPr>
          <w:rFonts w:ascii="MS Gothic" w:hAnsi="MS Gothic" w:eastAsia="MS Gothic" w:cs="MS Gothic"/>
        </w:rPr>
        <w:t>の</w:t>
      </w:r>
      <w:r>
        <w:rPr>
          <w:rFonts w:ascii="Microsoft YaHei" w:hAnsi="Microsoft YaHei" w:eastAsia="Microsoft YaHei" w:cs="Microsoft YaHei"/>
        </w:rPr>
        <w:t>到着以前</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ポンペイウスは</w:t>
      </w:r>
      <w:r>
        <w:rPr>
          <w:rFonts w:ascii="Microsoft YaHei" w:hAnsi="Microsoft YaHei" w:eastAsia="Microsoft YaHei" w:cs="Microsoft YaHei"/>
        </w:rPr>
        <w:t>、自</w:t>
      </w:r>
      <w:r>
        <w:rPr>
          <w:rFonts w:ascii="MS Gothic" w:hAnsi="MS Gothic" w:eastAsia="MS Gothic" w:cs="MS Gothic"/>
        </w:rPr>
        <w:t>らがその</w:t>
      </w:r>
      <w:r>
        <w:rPr>
          <w:rFonts w:ascii="Microsoft YaHei" w:hAnsi="Microsoft YaHei" w:eastAsia="Microsoft YaHei" w:cs="Microsoft YaHei"/>
        </w:rPr>
        <w:t>後見人</w:t>
      </w:r>
      <w:r>
        <w:rPr>
          <w:rFonts w:ascii="MS Gothic" w:hAnsi="MS Gothic" w:eastAsia="MS Gothic" w:cs="MS Gothic"/>
        </w:rPr>
        <w:t>に</w:t>
      </w:r>
      <w:r>
        <w:rPr>
          <w:rFonts w:ascii="Microsoft YaHei" w:hAnsi="Microsoft YaHei" w:eastAsia="Microsoft YaHei" w:cs="Microsoft YaHei"/>
        </w:rPr>
        <w:t>任</w:t>
      </w:r>
      <w:r>
        <w:rPr>
          <w:rFonts w:ascii="MS Gothic" w:hAnsi="MS Gothic" w:eastAsia="MS Gothic" w:cs="MS Gothic"/>
        </w:rPr>
        <w:t>ぜられていたプトレマイオスによって</w:t>
      </w:r>
      <w:r>
        <w:rPr>
          <w:rFonts w:ascii="Microsoft YaHei" w:hAnsi="Microsoft YaHei" w:eastAsia="Microsoft YaHei" w:cs="Microsoft YaHei"/>
        </w:rPr>
        <w:t>卑劣</w:t>
      </w:r>
      <w:r>
        <w:rPr>
          <w:rFonts w:ascii="MS Gothic" w:hAnsi="MS Gothic" w:eastAsia="MS Gothic" w:cs="MS Gothic"/>
        </w:rPr>
        <w:t>にも</w:t>
      </w:r>
      <w:r>
        <w:rPr>
          <w:rFonts w:ascii="Microsoft YaHei" w:hAnsi="Microsoft YaHei" w:eastAsia="Microsoft YaHei" w:cs="Microsoft YaHei"/>
        </w:rPr>
        <w:t>殺害</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そこでカエサルは</w:t>
      </w:r>
      <w:r>
        <w:rPr>
          <w:rFonts w:ascii="Microsoft YaHei" w:hAnsi="Microsoft YaHei" w:eastAsia="Microsoft YaHei" w:cs="Microsoft YaHei"/>
        </w:rPr>
        <w:t>、</w:t>
      </w:r>
      <w:r>
        <w:rPr>
          <w:rFonts w:ascii="MS Gothic" w:hAnsi="MS Gothic" w:eastAsia="MS Gothic" w:cs="MS Gothic"/>
        </w:rPr>
        <w:t>プトレマイオスとクレオパトラの</w:t>
      </w:r>
      <w:r>
        <w:rPr>
          <w:rFonts w:ascii="Microsoft YaHei" w:hAnsi="Microsoft YaHei" w:eastAsia="Microsoft YaHei" w:cs="Microsoft YaHei"/>
        </w:rPr>
        <w:t>後見人</w:t>
      </w:r>
      <w:r>
        <w:rPr>
          <w:rFonts w:ascii="MS Gothic" w:hAnsi="MS Gothic" w:eastAsia="MS Gothic" w:cs="MS Gothic"/>
        </w:rPr>
        <w:t>としてポンペイウスに</w:t>
      </w:r>
      <w:r>
        <w:rPr>
          <w:rFonts w:ascii="Microsoft YaHei" w:hAnsi="Microsoft YaHei" w:eastAsia="Microsoft YaHei" w:cs="Microsoft YaHei"/>
        </w:rPr>
        <w:t>与</w:t>
      </w:r>
      <w:r>
        <w:rPr>
          <w:rFonts w:ascii="MS Gothic" w:hAnsi="MS Gothic" w:eastAsia="MS Gothic" w:cs="MS Gothic"/>
        </w:rPr>
        <w:t>えられていた</w:t>
      </w:r>
      <w:r>
        <w:rPr>
          <w:rFonts w:ascii="Microsoft YaHei" w:hAnsi="Microsoft YaHei" w:eastAsia="Microsoft YaHei" w:cs="Microsoft YaHei"/>
        </w:rPr>
        <w:t>任命</w:t>
      </w:r>
      <w:r>
        <w:rPr>
          <w:rFonts w:ascii="MS Gothic" w:hAnsi="MS Gothic" w:eastAsia="MS Gothic" w:cs="MS Gothic"/>
        </w:rPr>
        <w:t>を</w:t>
      </w:r>
      <w:r>
        <w:rPr>
          <w:rFonts w:ascii="Microsoft YaHei" w:hAnsi="Microsoft YaHei" w:eastAsia="Microsoft YaHei" w:cs="Microsoft YaHei"/>
        </w:rPr>
        <w:t>引</w:t>
      </w:r>
      <w:r>
        <w:rPr>
          <w:rFonts w:ascii="MS Gothic" w:hAnsi="MS Gothic" w:eastAsia="MS Gothic" w:cs="MS Gothic"/>
        </w:rPr>
        <w:t>き</w:t>
      </w:r>
      <w:r>
        <w:rPr>
          <w:rFonts w:ascii="Microsoft YaHei" w:hAnsi="Microsoft YaHei" w:eastAsia="Microsoft YaHei" w:cs="Microsoft YaHei"/>
        </w:rPr>
        <w:t>受</w:t>
      </w:r>
      <w:r>
        <w:rPr>
          <w:rFonts w:ascii="MS Gothic" w:hAnsi="MS Gothic" w:eastAsia="MS Gothic" w:cs="MS Gothic"/>
        </w:rPr>
        <w:t>けた</w:t>
      </w:r>
      <w:r>
        <w:rPr>
          <w:rFonts w:ascii="Times New Roman" w:hAnsi="Times New Roman" w:eastAsia="Times New Roman" w:cs="Times New Roman"/>
        </w:rPr>
        <w:t>.</w:t>
      </w:r>
      <w:r>
        <w:rPr>
          <w:rFonts w:ascii="Microsoft YaHei" w:hAnsi="Microsoft YaHei" w:eastAsia="Microsoft YaHei" w:cs="Microsoft YaHei"/>
        </w:rPr>
        <w:t>彼</w:t>
      </w:r>
      <w:r>
        <w:rPr>
          <w:rFonts w:ascii="MS Gothic" w:hAnsi="MS Gothic" w:eastAsia="MS Gothic" w:cs="MS Gothic"/>
        </w:rPr>
        <w:t>が</w:t>
      </w:r>
      <w:r>
        <w:rPr>
          <w:rFonts w:ascii="Microsoft YaHei" w:hAnsi="Microsoft YaHei" w:eastAsia="Microsoft YaHei" w:cs="Microsoft YaHei"/>
        </w:rPr>
        <w:t>見</w:t>
      </w:r>
      <w:r>
        <w:rPr>
          <w:rFonts w:ascii="MS Gothic" w:hAnsi="MS Gothic" w:eastAsia="MS Gothic" w:cs="MS Gothic"/>
        </w:rPr>
        <w:t>いだしたエジプトは</w:t>
      </w:r>
      <w:r>
        <w:rPr>
          <w:rFonts w:ascii="Microsoft YaHei" w:hAnsi="Microsoft YaHei" w:eastAsia="Microsoft YaHei" w:cs="Microsoft YaHei"/>
        </w:rPr>
        <w:t>内乱</w:t>
      </w:r>
      <w:r>
        <w:rPr>
          <w:rFonts w:ascii="MS Gothic" w:hAnsi="MS Gothic" w:eastAsia="MS Gothic" w:cs="MS Gothic"/>
        </w:rPr>
        <w:t>のために</w:t>
      </w:r>
      <w:r>
        <w:rPr>
          <w:rFonts w:ascii="Microsoft YaHei" w:hAnsi="Microsoft YaHei" w:eastAsia="Microsoft YaHei" w:cs="Microsoft YaHei"/>
        </w:rPr>
        <w:t>騒然</w:t>
      </w:r>
      <w:r>
        <w:rPr>
          <w:rFonts w:ascii="MS Gothic" w:hAnsi="MS Gothic" w:eastAsia="MS Gothic" w:cs="MS Gothic"/>
        </w:rPr>
        <w:t>としていた</w:t>
      </w:r>
      <w:r>
        <w:rPr>
          <w:rFonts w:ascii="Times New Roman" w:hAnsi="Times New Roman" w:eastAsia="Times New Roman" w:cs="Times New Roman"/>
        </w:rPr>
        <w:t>.</w:t>
      </w:r>
      <w:r>
        <w:rPr>
          <w:rFonts w:ascii="MS Gothic" w:hAnsi="MS Gothic" w:eastAsia="MS Gothic" w:cs="MS Gothic"/>
        </w:rPr>
        <w:t>というのも</w:t>
      </w:r>
      <w:r>
        <w:rPr>
          <w:rFonts w:ascii="Microsoft YaHei" w:hAnsi="Microsoft YaHei" w:eastAsia="Microsoft YaHei" w:cs="Microsoft YaHei"/>
        </w:rPr>
        <w:t>、</w:t>
      </w:r>
      <w:r>
        <w:rPr>
          <w:rFonts w:ascii="MS Gothic" w:hAnsi="MS Gothic" w:eastAsia="MS Gothic" w:cs="MS Gothic"/>
        </w:rPr>
        <w:t>プトレマイオスとクレオパトラは</w:t>
      </w:r>
      <w:r>
        <w:rPr>
          <w:rFonts w:ascii="Microsoft YaHei" w:hAnsi="Microsoft YaHei" w:eastAsia="Microsoft YaHei" w:cs="Microsoft YaHei"/>
        </w:rPr>
        <w:t>互</w:t>
      </w:r>
      <w:r>
        <w:rPr>
          <w:rFonts w:ascii="MS Gothic" w:hAnsi="MS Gothic" w:eastAsia="MS Gothic" w:cs="MS Gothic"/>
        </w:rPr>
        <w:t>いに</w:t>
      </w:r>
      <w:r>
        <w:rPr>
          <w:rFonts w:ascii="Microsoft YaHei" w:hAnsi="Microsoft YaHei" w:eastAsia="Microsoft YaHei" w:cs="Microsoft YaHei"/>
        </w:rPr>
        <w:t>敵対</w:t>
      </w:r>
      <w:r>
        <w:rPr>
          <w:rFonts w:ascii="MS Gothic" w:hAnsi="MS Gothic" w:eastAsia="MS Gothic" w:cs="MS Gothic"/>
        </w:rPr>
        <w:t>するに</w:t>
      </w:r>
      <w:r>
        <w:rPr>
          <w:rFonts w:ascii="Microsoft YaHei" w:hAnsi="Microsoft YaHei" w:eastAsia="Microsoft YaHei" w:cs="Microsoft YaHei"/>
        </w:rPr>
        <w:t>至</w:t>
      </w:r>
      <w:r>
        <w:rPr>
          <w:rFonts w:ascii="MS Gothic" w:hAnsi="MS Gothic" w:eastAsia="MS Gothic" w:cs="MS Gothic"/>
        </w:rPr>
        <w:t>っており</w:t>
      </w:r>
      <w:r>
        <w:rPr>
          <w:rFonts w:ascii="Microsoft YaHei" w:hAnsi="Microsoft YaHei" w:eastAsia="Microsoft YaHei" w:cs="Microsoft YaHei"/>
        </w:rPr>
        <w:t>、彼女</w:t>
      </w:r>
      <w:r>
        <w:rPr>
          <w:rFonts w:ascii="MS Gothic" w:hAnsi="MS Gothic" w:eastAsia="MS Gothic" w:cs="MS Gothic"/>
        </w:rPr>
        <w:t>は</w:t>
      </w:r>
      <w:r>
        <w:rPr>
          <w:rFonts w:ascii="Microsoft YaHei" w:hAnsi="Microsoft YaHei" w:eastAsia="Microsoft YaHei" w:cs="Microsoft YaHei"/>
        </w:rPr>
        <w:t>統治</w:t>
      </w:r>
      <w:r>
        <w:rPr>
          <w:rFonts w:ascii="MS Gothic" w:hAnsi="MS Gothic" w:eastAsia="MS Gothic" w:cs="MS Gothic"/>
        </w:rPr>
        <w:t>における</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分</w:t>
      </w:r>
      <w:r>
        <w:rPr>
          <w:rFonts w:ascii="MS Gothic" w:hAnsi="MS Gothic" w:eastAsia="MS Gothic" w:cs="MS Gothic"/>
        </w:rPr>
        <w:t>を</w:t>
      </w:r>
      <w:r>
        <w:rPr>
          <w:rFonts w:ascii="Microsoft YaHei" w:hAnsi="Microsoft YaHei" w:eastAsia="Microsoft YaHei" w:cs="Microsoft YaHei"/>
        </w:rPr>
        <w:t>奪</w:t>
      </w:r>
      <w:r>
        <w:rPr>
          <w:rFonts w:ascii="MS Gothic" w:hAnsi="MS Gothic" w:eastAsia="MS Gothic" w:cs="MS Gothic"/>
        </w:rPr>
        <w:t>われていたからである</w:t>
      </w:r>
      <w:r>
        <w:rPr>
          <w:rFonts w:ascii="Times New Roman" w:hAnsi="Times New Roman" w:eastAsia="Times New Roman" w:cs="Times New Roman"/>
        </w:rPr>
        <w:t>.</w:t>
      </w:r>
      <w:r>
        <w:rPr>
          <w:rFonts w:ascii="MS Gothic" w:hAnsi="MS Gothic" w:eastAsia="MS Gothic" w:cs="MS Gothic"/>
        </w:rPr>
        <w:t>それにもかかわらず</w:t>
      </w:r>
      <w:r>
        <w:rPr>
          <w:rFonts w:ascii="Microsoft YaHei" w:hAnsi="Microsoft YaHei" w:eastAsia="Microsoft YaHei" w:cs="Microsoft YaHei"/>
        </w:rPr>
        <w:t>、彼</w:t>
      </w:r>
      <w:r>
        <w:rPr>
          <w:rFonts w:ascii="MS Gothic" w:hAnsi="MS Gothic" w:eastAsia="MS Gothic" w:cs="MS Gothic"/>
        </w:rPr>
        <w:t>は</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小兵力、</w:t>
      </w:r>
      <w:r>
        <w:rPr>
          <w:rFonts w:ascii="MS Gothic" w:hAnsi="MS Gothic" w:eastAsia="MS Gothic" w:cs="MS Gothic"/>
        </w:rPr>
        <w:t>すなわち</w:t>
      </w:r>
      <w:r>
        <w:rPr>
          <w:rFonts w:ascii="Microsoft YaHei" w:hAnsi="Microsoft YaHei" w:eastAsia="Microsoft YaHei" w:cs="Microsoft YaHei"/>
        </w:rPr>
        <w:t>騎兵八百、歩兵三千二百</w:t>
      </w:r>
      <w:r>
        <w:rPr>
          <w:rFonts w:ascii="MS Gothic" w:hAnsi="MS Gothic" w:eastAsia="MS Gothic" w:cs="MS Gothic"/>
        </w:rPr>
        <w:t>を</w:t>
      </w:r>
      <w:r>
        <w:rPr>
          <w:rFonts w:ascii="Microsoft YaHei" w:hAnsi="Microsoft YaHei" w:eastAsia="Microsoft YaHei" w:cs="Microsoft YaHei"/>
        </w:rPr>
        <w:t>率</w:t>
      </w:r>
      <w:r>
        <w:rPr>
          <w:rFonts w:ascii="MS Gothic" w:hAnsi="MS Gothic" w:eastAsia="MS Gothic" w:cs="MS Gothic"/>
        </w:rPr>
        <w:t>いてアレクサンドリアに</w:t>
      </w:r>
      <w:r>
        <w:rPr>
          <w:rFonts w:ascii="Microsoft YaHei" w:hAnsi="Microsoft YaHei" w:eastAsia="Microsoft YaHei" w:cs="Microsoft YaHei"/>
        </w:rPr>
        <w:t>上陸</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争</w:t>
      </w:r>
      <w:r>
        <w:rPr>
          <w:rFonts w:ascii="MS Gothic" w:hAnsi="MS Gothic" w:eastAsia="MS Gothic" w:cs="MS Gothic"/>
        </w:rPr>
        <w:t>いを</w:t>
      </w:r>
      <w:r>
        <w:rPr>
          <w:rFonts w:ascii="Microsoft YaHei" w:hAnsi="Microsoft YaHei" w:eastAsia="Microsoft YaHei" w:cs="Microsoft YaHei"/>
        </w:rPr>
        <w:t>審理</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解決</w:t>
      </w:r>
      <w:r>
        <w:rPr>
          <w:rFonts w:ascii="MS Gothic" w:hAnsi="MS Gothic" w:eastAsia="MS Gothic" w:cs="MS Gothic"/>
        </w:rPr>
        <w:t>に</w:t>
      </w:r>
      <w:r>
        <w:rPr>
          <w:rFonts w:ascii="Microsoft YaHei" w:hAnsi="Microsoft YaHei" w:eastAsia="Microsoft YaHei" w:cs="Microsoft YaHei"/>
        </w:rPr>
        <w:t>当</w:t>
      </w:r>
      <w:r>
        <w:rPr>
          <w:rFonts w:ascii="MS Gothic" w:hAnsi="MS Gothic" w:eastAsia="MS Gothic" w:cs="MS Gothic"/>
        </w:rPr>
        <w:t>たることをためらわなかった</w:t>
      </w:r>
      <w:r>
        <w:rPr>
          <w:rFonts w:ascii="Times New Roman" w:hAnsi="Times New Roman" w:eastAsia="Times New Roman" w:cs="Times New Roman"/>
        </w:rPr>
        <w:t>.</w:t>
      </w:r>
      <w:r>
        <w:rPr>
          <w:rFonts w:ascii="Microsoft YaHei" w:hAnsi="Microsoft YaHei" w:eastAsia="Microsoft YaHei" w:cs="Microsoft YaHei"/>
        </w:rPr>
        <w:t>騒乱</w:t>
      </w:r>
      <w:r>
        <w:rPr>
          <w:rFonts w:ascii="MS Gothic" w:hAnsi="MS Gothic" w:eastAsia="MS Gothic" w:cs="MS Gothic"/>
        </w:rPr>
        <w:t>は</w:t>
      </w:r>
      <w:r>
        <w:rPr>
          <w:rFonts w:ascii="Microsoft YaHei" w:hAnsi="Microsoft YaHei" w:eastAsia="Microsoft YaHei" w:cs="Microsoft YaHei"/>
        </w:rPr>
        <w:t>日</w:t>
      </w:r>
      <w:r>
        <w:rPr>
          <w:rFonts w:ascii="MS Gothic" w:hAnsi="MS Gothic" w:eastAsia="MS Gothic" w:cs="MS Gothic"/>
        </w:rPr>
        <w:t>ごとに</w:t>
      </w:r>
      <w:r>
        <w:rPr>
          <w:rFonts w:ascii="Microsoft YaHei" w:hAnsi="Microsoft YaHei" w:eastAsia="Microsoft YaHei" w:cs="Microsoft YaHei"/>
        </w:rPr>
        <w:t>増大</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カエサルはその</w:t>
      </w:r>
      <w:r>
        <w:rPr>
          <w:rFonts w:ascii="Microsoft YaHei" w:hAnsi="Microsoft YaHei" w:eastAsia="Microsoft YaHei" w:cs="Microsoft YaHei"/>
        </w:rPr>
        <w:t>小兵力</w:t>
      </w:r>
      <w:r>
        <w:rPr>
          <w:rFonts w:ascii="MS Gothic" w:hAnsi="MS Gothic" w:eastAsia="MS Gothic" w:cs="MS Gothic"/>
        </w:rPr>
        <w:t>では</w:t>
      </w:r>
      <w:r>
        <w:rPr>
          <w:rFonts w:ascii="Microsoft YaHei" w:hAnsi="Microsoft YaHei" w:eastAsia="Microsoft YaHei" w:cs="Microsoft YaHei"/>
        </w:rPr>
        <w:t>自</w:t>
      </w:r>
      <w:r>
        <w:rPr>
          <w:rFonts w:ascii="MS Gothic" w:hAnsi="MS Gothic" w:eastAsia="MS Gothic" w:cs="MS Gothic"/>
        </w:rPr>
        <w:t>らの</w:t>
      </w:r>
      <w:r>
        <w:rPr>
          <w:rFonts w:ascii="Microsoft YaHei" w:hAnsi="Microsoft YaHei" w:eastAsia="Microsoft YaHei" w:cs="Microsoft YaHei"/>
        </w:rPr>
        <w:t>地位</w:t>
      </w:r>
      <w:r>
        <w:rPr>
          <w:rFonts w:ascii="MS Gothic" w:hAnsi="MS Gothic" w:eastAsia="MS Gothic" w:cs="MS Gothic"/>
        </w:rPr>
        <w:t>を</w:t>
      </w:r>
      <w:r>
        <w:rPr>
          <w:rFonts w:ascii="Microsoft YaHei" w:hAnsi="Microsoft YaHei" w:eastAsia="Microsoft YaHei" w:cs="Microsoft YaHei"/>
        </w:rPr>
        <w:t>維持</w:t>
      </w:r>
      <w:r>
        <w:rPr>
          <w:rFonts w:ascii="MS Gothic" w:hAnsi="MS Gothic" w:eastAsia="MS Gothic" w:cs="MS Gothic"/>
        </w:rPr>
        <w:t>するに</w:t>
      </w:r>
      <w:r>
        <w:rPr>
          <w:rFonts w:ascii="Microsoft YaHei" w:hAnsi="Microsoft YaHei" w:eastAsia="Microsoft YaHei" w:cs="Microsoft YaHei"/>
        </w:rPr>
        <w:t>不十分</w:t>
      </w:r>
      <w:r>
        <w:rPr>
          <w:rFonts w:ascii="MS Gothic" w:hAnsi="MS Gothic" w:eastAsia="MS Gothic" w:cs="MS Gothic"/>
        </w:rPr>
        <w:t>であることを</w:t>
      </w:r>
      <w:r>
        <w:rPr>
          <w:rFonts w:ascii="Microsoft YaHei" w:hAnsi="Microsoft YaHei" w:eastAsia="Microsoft YaHei" w:cs="Microsoft YaHei"/>
        </w:rPr>
        <w:t>知</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またその</w:t>
      </w:r>
      <w:r>
        <w:rPr>
          <w:rFonts w:ascii="Microsoft YaHei" w:hAnsi="Microsoft YaHei" w:eastAsia="Microsoft YaHei" w:cs="Microsoft YaHei"/>
        </w:rPr>
        <w:t>季節</w:t>
      </w:r>
      <w:r>
        <w:rPr>
          <w:rFonts w:ascii="MS Gothic" w:hAnsi="MS Gothic" w:eastAsia="MS Gothic" w:cs="MS Gothic"/>
        </w:rPr>
        <w:t>に</w:t>
      </w:r>
      <w:r>
        <w:rPr>
          <w:rFonts w:ascii="Microsoft YaHei" w:hAnsi="Microsoft YaHei" w:eastAsia="Microsoft YaHei" w:cs="Microsoft YaHei"/>
        </w:rPr>
        <w:t>吹</w:t>
      </w:r>
      <w:r>
        <w:rPr>
          <w:rFonts w:ascii="MS Gothic" w:hAnsi="MS Gothic" w:eastAsia="MS Gothic" w:cs="MS Gothic"/>
        </w:rPr>
        <w:t>く</w:t>
      </w:r>
      <w:r>
        <w:rPr>
          <w:rFonts w:ascii="Microsoft YaHei" w:hAnsi="Microsoft YaHei" w:eastAsia="Microsoft YaHei" w:cs="Microsoft YaHei"/>
        </w:rPr>
        <w:t>北風</w:t>
      </w:r>
      <w:r>
        <w:rPr>
          <w:rFonts w:ascii="MS Gothic" w:hAnsi="MS Gothic" w:eastAsia="MS Gothic" w:cs="MS Gothic"/>
        </w:rPr>
        <w:t>のためエジプトを</w:t>
      </w:r>
      <w:r>
        <w:rPr>
          <w:rFonts w:ascii="Microsoft YaHei" w:hAnsi="Microsoft YaHei" w:eastAsia="Microsoft YaHei" w:cs="Microsoft YaHei"/>
        </w:rPr>
        <w:t>去</w:t>
      </w:r>
      <w:r>
        <w:rPr>
          <w:rFonts w:ascii="MS Gothic" w:hAnsi="MS Gothic" w:eastAsia="MS Gothic" w:cs="MS Gothic"/>
        </w:rPr>
        <w:t>ることもできなかったので</w:t>
      </w:r>
      <w:r>
        <w:rPr>
          <w:rFonts w:ascii="Microsoft YaHei" w:hAnsi="Microsoft YaHei" w:eastAsia="Microsoft YaHei" w:cs="Microsoft YaHei"/>
        </w:rPr>
        <w:t>、小</w:t>
      </w:r>
      <w:r>
        <w:rPr>
          <w:rFonts w:ascii="MS Gothic" w:hAnsi="MS Gothic" w:eastAsia="MS Gothic" w:cs="MS Gothic"/>
        </w:rPr>
        <w:t>アジアに</w:t>
      </w:r>
      <w:r>
        <w:rPr>
          <w:rFonts w:ascii="Microsoft YaHei" w:hAnsi="Microsoft YaHei" w:eastAsia="Microsoft YaHei" w:cs="Microsoft YaHei"/>
        </w:rPr>
        <w:t>使者</w:t>
      </w:r>
      <w:r>
        <w:rPr>
          <w:rFonts w:ascii="MS Gothic" w:hAnsi="MS Gothic" w:eastAsia="MS Gothic" w:cs="MS Gothic"/>
        </w:rPr>
        <w:t>を</w:t>
      </w:r>
      <w:r>
        <w:rPr>
          <w:rFonts w:ascii="Microsoft YaHei" w:hAnsi="Microsoft YaHei" w:eastAsia="Microsoft YaHei" w:cs="Microsoft YaHei"/>
        </w:rPr>
        <w:t>送</w:t>
      </w:r>
      <w:r>
        <w:rPr>
          <w:rFonts w:ascii="MS Gothic" w:hAnsi="MS Gothic" w:eastAsia="MS Gothic" w:cs="MS Gothic"/>
        </w:rPr>
        <w:t>り</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方面</w:t>
      </w:r>
      <w:r>
        <w:rPr>
          <w:rFonts w:ascii="MS Gothic" w:hAnsi="MS Gothic" w:eastAsia="MS Gothic" w:cs="MS Gothic"/>
        </w:rPr>
        <w:t>に</w:t>
      </w:r>
      <w:r>
        <w:rPr>
          <w:rFonts w:ascii="Microsoft YaHei" w:hAnsi="Microsoft YaHei" w:eastAsia="Microsoft YaHei" w:cs="Microsoft YaHei"/>
        </w:rPr>
        <w:t>有</w:t>
      </w:r>
      <w:r>
        <w:rPr>
          <w:rFonts w:ascii="MS Gothic" w:hAnsi="MS Gothic" w:eastAsia="MS Gothic" w:cs="MS Gothic"/>
        </w:rPr>
        <w:t>していたすべての</w:t>
      </w:r>
      <w:r>
        <w:rPr>
          <w:rFonts w:ascii="Microsoft YaHei" w:hAnsi="Microsoft YaHei" w:eastAsia="Microsoft YaHei" w:cs="Microsoft YaHei"/>
        </w:rPr>
        <w:t>軍勢</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できるかぎり</w:t>
      </w:r>
      <w:r>
        <w:rPr>
          <w:rFonts w:ascii="Microsoft YaHei" w:hAnsi="Microsoft YaHei" w:eastAsia="Microsoft YaHei" w:cs="Microsoft YaHei"/>
        </w:rPr>
        <w:t>速</w:t>
      </w:r>
      <w:r>
        <w:rPr>
          <w:rFonts w:ascii="MS Gothic" w:hAnsi="MS Gothic" w:eastAsia="MS Gothic" w:cs="MS Gothic"/>
        </w:rPr>
        <w:t>やかに</w:t>
      </w:r>
      <w:r>
        <w:rPr>
          <w:rFonts w:ascii="Microsoft YaHei" w:hAnsi="Microsoft YaHei" w:eastAsia="Microsoft YaHei" w:cs="Microsoft YaHei"/>
        </w:rPr>
        <w:t>来援</w:t>
      </w:r>
      <w:r>
        <w:rPr>
          <w:rFonts w:ascii="MS Gothic" w:hAnsi="MS Gothic" w:eastAsia="MS Gothic" w:cs="MS Gothic"/>
        </w:rPr>
        <w:t>するよう</w:t>
      </w:r>
      <w:r>
        <w:rPr>
          <w:rFonts w:ascii="Microsoft YaHei" w:hAnsi="Microsoft YaHei" w:eastAsia="Microsoft YaHei" w:cs="Microsoft YaHei"/>
        </w:rPr>
        <w:t>命</w:t>
      </w:r>
      <w:r>
        <w:rPr>
          <w:rFonts w:ascii="MS Gothic" w:hAnsi="MS Gothic" w:eastAsia="MS Gothic" w:cs="MS Gothic"/>
        </w:rPr>
        <w:t>じた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«С наивысшей надменностью он повелел, чтобы Птолемей и Клеопатра распустили свои войска, предстали перед ним для урегулирования своих разногласий и подчинились его решению. Поскольку Египет был независимым царством, этот высокомерный указ был сочтён оскорблением его царского достоинства, и египтяне, крайне возмущённые, взялись за оружие. Цезарь ответил, что действует в силу воли их отца, Авлета, который поручил своих детей опеке сената и народа Рима, вся власть которых теперь была сосредоточена в его лице как консула; и что, как опекун, он имеет право быть между ними судьею».</w:t>
      </w:r>
    </w:p>
    <w:p>
      <w:pPr>
        <w:pStyle w:val="ArticleScripture"/>
        <w:jc w:val="left"/>
      </w:pPr>
      <w:r>
        <w:rPr>
          <w:rFonts w:ascii="Times New Roman" w:hAnsi="Times New Roman" w:eastAsia="Times New Roman" w:cs="Times New Roman"/>
        </w:rPr>
        <w:t>«کار سرانجام به حضور او برده شد، و برای دفاع از دعوای هر یک از دو طرف، وکلایی تعیین گردیدند. کلئوپاترا که از نقطه‌ضعف آن فاتح بزرگ رومی آگاه بود، چنین داوری کرد که زیبایی حضورش برای به دست آوردن حکمی به سود او، مؤثرتر از هر وکیلی خواهد بود که بتواند به خدمت گیرد. برای آنکه بی‌آنکه شناخته شود به حضور او راه یابد، به حیلهٔ زیر متوسل شد: خود را به تمامی در میان بسته‌ای از جامه‌ها دراز کشید، و آپولودوروس، خادم سیسیلیِ او، آن را در پارچه‌ای پیچید، با تسمه‌ای بست، و چون آن را بر شانه‌های هرکولیِ خود برداشت، رهسپار اقامتگاه قیصر شد. او با ادعای اینکه هدیه‌ای برای سردار رومی دارد، از دروازهٔ ارگ به درون راه یافت، به حضور قیصر درآمد، و آن بار را پیش پای او نهاد. هنگامی که قیصر این بستهٔ جاندار را گشود، اینک! کلئوپاترای زیبا در برابر او ایستاده بود. او از این حیله به هیچ روی ناخشنود نشد، و چون دارای خصلتی بود که در 2 Peter 2:14 وصف شده است، رولَن می‌گوید نخستین دیدارِ چنان شخص زیبایی، تمام آن اثری را بر او نهاد که وی آرزو کرده بود.»</w:t>
      </w:r>
    </w:p>
    <w:p>
      <w:pPr>
        <w:pStyle w:val="ArticleScripture"/>
        <w:jc w:val="left"/>
      </w:pPr>
      <w:r>
        <w:rPr>
          <w:rFonts w:ascii="Times New Roman" w:hAnsi="Times New Roman" w:eastAsia="Times New Roman" w:cs="Times New Roman"/>
        </w:rPr>
        <w:t>قیصر سرانجام فرمان داد که برادر و خواهر، مطابق مقصود وصیت‌نامه، به‌طور مشترک بر تخت سلطنت بنشینند. پوتینوس، وزیر اعظم حکومت، که بیش از همه در بیرون راندن کلئوپاترا از تخت نقش اساسی داشت، از پیامد بازگرداندن او بیمناک بود. ازاین‌رو آغاز کرد به برانگیختن حسادت و خصومت بر ضد قیصر، بدین‌گونه که در میان مردم القا می‌کرد که او سرانجام قصد دارد قدرت را به‌تنهایی به کلئوپاترا واگذارد. دیری نپایید که پس از آن آشوبی علنی پدید آمد. اخیلاس، در رأس ۲۰٬۰۰۰ مرد، پیش آمد تا قیصر را از اسکندریه بیرون براند. قیصر با آرایش ماهرانه دسته کوچک سپاهیان خود در کوچه‌ها و گذرگاه‌های شهر، در دفع این حمله با هیچ دشواری‌ای روبه‌رو نشد. مصریان کوشیدند ناوگان او را نابود کنند. او در پاسخ، ناوگان ایشان را به آتش کشید. چون برخی از کشتی‌های در حال سوختن به نزدیکی اسکله رانده شدند، چندین بنای شهر آتش گرفت، و کتابخانه نامدار اسکندریه، که نزدیک به ۴۰۰٬۰۰۰ جلد را در خود جای داده بود، نابود شد.</w:t>
      </w:r>
    </w:p>
    <w:p>
      <w:pPr>
        <w:pStyle w:val="ArticleScripture"/>
        <w:jc w:val="left"/>
      </w:pPr>
      <w:r>
        <w:rPr>
          <w:rFonts w:ascii="Times New Roman" w:hAnsi="Times New Roman" w:eastAsia="Times New Roman" w:cs="Times New Roman"/>
        </w:rPr>
        <w:t>“</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दिनानुदिन</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भयावह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पड़ोसी</w:t>
      </w:r>
      <w:r>
        <w:rPr>
          <w:rFonts w:ascii="Times New Roman" w:hAnsi="Times New Roman" w:eastAsia="Times New Roman" w:cs="Times New Roman"/>
        </w:rPr>
        <w:t xml:space="preserve"> </w:t>
      </w:r>
      <w:r>
        <w:rPr>
          <w:rFonts w:ascii="Nirmala UI" w:hAnsi="Nirmala UI" w:eastAsia="Nirmala UI" w:cs="Nirmala UI"/>
        </w:rPr>
        <w:t>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सहायता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एशिया</w:t>
      </w:r>
      <w:r>
        <w:rPr>
          <w:rFonts w:ascii="Times New Roman" w:hAnsi="Times New Roman" w:eastAsia="Times New Roman" w:cs="Times New Roman"/>
        </w:rPr>
        <w:t xml:space="preserve"> </w:t>
      </w:r>
      <w:r>
        <w:rPr>
          <w:rFonts w:ascii="Nirmala UI" w:hAnsi="Nirmala UI" w:eastAsia="Nirmala UI" w:cs="Nirmala UI"/>
        </w:rPr>
        <w:t>माइनर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मिथ्रिदातेस</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किलिकिया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संगृहीत</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इदूमी</w:t>
      </w:r>
      <w:r>
        <w:rPr>
          <w:rFonts w:ascii="Times New Roman" w:hAnsi="Times New Roman" w:eastAsia="Times New Roman" w:cs="Times New Roman"/>
        </w:rPr>
        <w:t xml:space="preserve"> </w:t>
      </w:r>
      <w:r>
        <w:rPr>
          <w:rFonts w:ascii="Nirmala UI" w:hAnsi="Nirmala UI" w:eastAsia="Nirmala UI" w:cs="Nirmala UI"/>
        </w:rPr>
        <w:t>अन्तिपातर</w:t>
      </w:r>
      <w:r>
        <w:rPr>
          <w:rFonts w:ascii="Times New Roman" w:hAnsi="Times New Roman" w:eastAsia="Times New Roman" w:cs="Times New Roman"/>
        </w:rPr>
        <w:t xml:space="preserve"> 3,000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यहूदियों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रखते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बढ़ने</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सहयोग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योजना</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विफल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संघर्ष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निर्णय</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नील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निकट</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निर्णायक</w:t>
      </w:r>
      <w:r>
        <w:rPr>
          <w:rFonts w:ascii="Times New Roman" w:hAnsi="Times New Roman" w:eastAsia="Times New Roman" w:cs="Times New Roman"/>
        </w:rPr>
        <w:t xml:space="preserve"> </w:t>
      </w:r>
      <w:r>
        <w:rPr>
          <w:rFonts w:ascii="Nirmala UI" w:hAnsi="Nirmala UI" w:eastAsia="Nirmala UI" w:cs="Nirmala UI"/>
        </w:rPr>
        <w:t>युद्ध</w:t>
      </w:r>
      <w:r>
        <w:rPr>
          <w:rFonts w:ascii="Times New Roman" w:hAnsi="Times New Roman" w:eastAsia="Times New Roman" w:cs="Times New Roman"/>
        </w:rPr>
        <w:t xml:space="preserve"> </w:t>
      </w:r>
      <w:r>
        <w:rPr>
          <w:rFonts w:ascii="Nirmala UI" w:hAnsi="Nirmala UI" w:eastAsia="Nirmala UI" w:cs="Nirmala UI"/>
        </w:rPr>
        <w:t>लड़ा</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कैसर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विजय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टॉलेमी</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निकलने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डूब</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अलेक्ज़ान्द्रिया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समस्त</w:t>
      </w:r>
      <w:r>
        <w:rPr>
          <w:rFonts w:ascii="Times New Roman" w:hAnsi="Times New Roman" w:eastAsia="Times New Roman" w:cs="Times New Roman"/>
        </w:rPr>
        <w:t xml:space="preserve"> </w:t>
      </w:r>
      <w:r>
        <w:rPr>
          <w:rFonts w:ascii="Nirmala UI" w:hAnsi="Nirmala UI" w:eastAsia="Nirmala UI" w:cs="Nirmala UI"/>
        </w:rPr>
        <w:t>मिस्र</w:t>
      </w:r>
      <w:r>
        <w:rPr>
          <w:rFonts w:ascii="Times New Roman" w:hAnsi="Times New Roman" w:eastAsia="Times New Roman" w:cs="Times New Roman"/>
        </w:rPr>
        <w:t xml:space="preserve"> </w:t>
      </w:r>
      <w:r>
        <w:rPr>
          <w:rFonts w:ascii="Nirmala UI" w:hAnsi="Nirmala UI" w:eastAsia="Nirmala UI" w:cs="Nirmala UI"/>
        </w:rPr>
        <w:t>विजेता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सिकन्दर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सम्पूर्ण</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समाहित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下文所谓</w:t>
      </w:r>
      <w:r>
        <w:rPr>
          <w:rFonts w:ascii="Times New Roman" w:hAnsi="Times New Roman" w:eastAsia="Times New Roman" w:cs="Times New Roman"/>
        </w:rPr>
        <w:t>‘</w:t>
      </w:r>
      <w:r>
        <w:rPr>
          <w:rFonts w:ascii="Microsoft YaHei" w:hAnsi="Microsoft YaHei" w:eastAsia="Microsoft YaHei" w:cs="Microsoft YaHei"/>
        </w:rPr>
        <w:t>正直人</w:t>
      </w:r>
      <w:r>
        <w:rPr>
          <w:rFonts w:ascii="Times New Roman" w:hAnsi="Times New Roman" w:eastAsia="Times New Roman" w:cs="Times New Roman"/>
        </w:rPr>
        <w:t>’,</w:t>
      </w:r>
      <w:r>
        <w:rPr>
          <w:rFonts w:ascii="Microsoft YaHei" w:hAnsi="Microsoft YaHei" w:eastAsia="Microsoft YaHei" w:cs="Microsoft YaHei"/>
        </w:rPr>
        <w:t>无疑是指犹太人</w:t>
      </w:r>
      <w:r>
        <w:rPr>
          <w:rFonts w:ascii="Times New Roman" w:hAnsi="Times New Roman" w:eastAsia="Times New Roman" w:cs="Times New Roman"/>
        </w:rPr>
        <w:t>;</w:t>
      </w:r>
      <w:r>
        <w:rPr>
          <w:rFonts w:ascii="Microsoft YaHei" w:hAnsi="Microsoft YaHei" w:eastAsia="Microsoft YaHei" w:cs="Microsoft YaHei"/>
        </w:rPr>
        <w:t>他们曾给予他前文所述的援助</w:t>
      </w:r>
      <w:r>
        <w:rPr>
          <w:rFonts w:ascii="Times New Roman" w:hAnsi="Times New Roman" w:eastAsia="Times New Roman" w:cs="Times New Roman"/>
        </w:rPr>
        <w:t>.</w:t>
      </w:r>
      <w:r>
        <w:rPr>
          <w:rFonts w:ascii="Microsoft YaHei" w:hAnsi="Microsoft YaHei" w:eastAsia="Microsoft YaHei" w:cs="Microsoft YaHei"/>
        </w:rPr>
        <w:t>若无此助</w:t>
      </w:r>
      <w:r>
        <w:rPr>
          <w:rFonts w:ascii="Times New Roman" w:hAnsi="Times New Roman" w:eastAsia="Times New Roman" w:cs="Times New Roman"/>
        </w:rPr>
        <w:t>,</w:t>
      </w:r>
      <w:r>
        <w:rPr>
          <w:rFonts w:ascii="Microsoft YaHei" w:hAnsi="Microsoft YaHei" w:eastAsia="Microsoft YaHei" w:cs="Microsoft YaHei"/>
        </w:rPr>
        <w:t>他必至于失败</w:t>
      </w:r>
      <w:r>
        <w:rPr>
          <w:rFonts w:ascii="Times New Roman" w:hAnsi="Times New Roman" w:eastAsia="Times New Roman" w:cs="Times New Roman"/>
        </w:rPr>
        <w:t>;</w:t>
      </w:r>
      <w:r>
        <w:rPr>
          <w:rFonts w:ascii="Microsoft YaHei" w:hAnsi="Microsoft YaHei" w:eastAsia="Microsoft YaHei" w:cs="Microsoft YaHei"/>
        </w:rPr>
        <w:t>凭借此助</w:t>
      </w:r>
      <w:r>
        <w:rPr>
          <w:rFonts w:ascii="Times New Roman" w:hAnsi="Times New Roman" w:eastAsia="Times New Roman" w:cs="Times New Roman"/>
        </w:rPr>
        <w:t>,</w:t>
      </w:r>
      <w:r>
        <w:rPr>
          <w:rFonts w:ascii="Microsoft YaHei" w:hAnsi="Microsoft YaHei" w:eastAsia="Microsoft YaHei" w:cs="Microsoft YaHei"/>
        </w:rPr>
        <w:t>他便于主前</w:t>
      </w:r>
      <w:r>
        <w:rPr>
          <w:rFonts w:ascii="Times New Roman" w:hAnsi="Times New Roman" w:eastAsia="Times New Roman" w:cs="Times New Roman"/>
        </w:rPr>
        <w:t>47</w:t>
      </w:r>
      <w:r>
        <w:rPr>
          <w:rFonts w:ascii="Microsoft YaHei" w:hAnsi="Microsoft YaHei" w:eastAsia="Microsoft YaHei" w:cs="Microsoft YaHei"/>
        </w:rPr>
        <w:t>年将埃及完全征服于其权下</w:t>
      </w:r>
      <w:r>
        <w:rPr>
          <w:rFonts w:ascii="Times New Roman" w:hAnsi="Times New Roman" w:eastAsia="Times New Roman" w:cs="Times New Roman"/>
        </w:rPr>
        <w:t>. ”</w:t>
      </w:r>
    </w:p>
    <w:p>
      <w:pPr>
        <w:pStyle w:val="ArticleScripture"/>
        <w:jc w:val="left"/>
      </w:pPr>
      <w:r>
        <w:rPr>
          <w:rFonts w:ascii="Times New Roman" w:hAnsi="Times New Roman" w:eastAsia="Times New Roman" w:cs="Times New Roman"/>
        </w:rPr>
        <w:t>“‘</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රීන්ගේ</w:t>
      </w:r>
      <w:r>
        <w:rPr>
          <w:rFonts w:ascii="Times New Roman" w:hAnsi="Times New Roman" w:eastAsia="Times New Roman" w:cs="Times New Roman"/>
        </w:rPr>
        <w:t xml:space="preserve"> </w:t>
      </w:r>
      <w:r>
        <w:rPr>
          <w:rFonts w:ascii="Nirmala UI" w:hAnsi="Nirmala UI" w:eastAsia="Nirmala UI" w:cs="Nirmala UI"/>
        </w:rPr>
        <w:t>දුව</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දූෂණයට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ක්ලියෝපැට්රා</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සීසර්</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උපන්</w:t>
      </w:r>
      <w:r>
        <w:rPr>
          <w:rFonts w:ascii="Times New Roman" w:hAnsi="Times New Roman" w:eastAsia="Times New Roman" w:cs="Times New Roman"/>
        </w:rPr>
        <w:t xml:space="preserve"> </w:t>
      </w:r>
      <w:r>
        <w:rPr>
          <w:rFonts w:ascii="Nirmala UI" w:hAnsi="Nirmala UI" w:eastAsia="Nirmala UI" w:cs="Nirmala UI"/>
        </w:rPr>
        <w:t>ආශාව</w:t>
      </w:r>
      <w:r>
        <w:rPr>
          <w:rFonts w:ascii="Times New Roman" w:hAnsi="Times New Roman" w:eastAsia="Times New Roman" w:cs="Times New Roman"/>
        </w:rPr>
        <w:t>—</w:t>
      </w:r>
      <w:r>
        <w:rPr>
          <w:rFonts w:ascii="Nirmala UI" w:hAnsi="Nirmala UI" w:eastAsia="Nirmala UI" w:cs="Nirmala UI"/>
        </w:rPr>
        <w:t>ඇයගෙන්</w:t>
      </w:r>
      <w:r>
        <w:rPr>
          <w:rFonts w:ascii="Times New Roman" w:hAnsi="Times New Roman" w:eastAsia="Times New Roman" w:cs="Times New Roman"/>
        </w:rPr>
        <w:t xml:space="preserve"> </w:t>
      </w:r>
      <w:r>
        <w:rPr>
          <w:rFonts w:ascii="Nirmala UI" w:hAnsi="Nirmala UI" w:eastAsia="Nirmala UI" w:cs="Nirmala UI"/>
        </w:rPr>
        <w:t>ඔහුට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w:t>
      </w:r>
      <w:r>
        <w:rPr>
          <w:rFonts w:ascii="Nirmala UI" w:hAnsi="Nirmala UI" w:eastAsia="Nirmala UI" w:cs="Nirmala UI"/>
        </w:rPr>
        <w:t>රයෙකුද</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w:t>
      </w:r>
      <w:r>
        <w:rPr>
          <w:rFonts w:ascii="Nirmala UI" w:hAnsi="Nirmala UI" w:eastAsia="Nirmala UI" w:cs="Nirmala UI"/>
        </w:rPr>
        <w:t>ඉතිහාසකරු</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මිසර</w:t>
      </w:r>
      <w:r>
        <w:rPr>
          <w:rFonts w:ascii="Times New Roman" w:hAnsi="Times New Roman" w:eastAsia="Times New Roman" w:cs="Times New Roman"/>
        </w:rPr>
        <w:t xml:space="preserve"> </w:t>
      </w:r>
      <w:r>
        <w:rPr>
          <w:rFonts w:ascii="Nirmala UI" w:hAnsi="Nirmala UI" w:eastAsia="Nirmala UI" w:cs="Nirmala UI"/>
        </w:rPr>
        <w:t>යුද්ධය</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එතරම්</w:t>
      </w:r>
      <w:r>
        <w:rPr>
          <w:rFonts w:ascii="Times New Roman" w:hAnsi="Times New Roman" w:eastAsia="Times New Roman" w:cs="Times New Roman"/>
        </w:rPr>
        <w:t xml:space="preserve"> </w:t>
      </w:r>
      <w:r>
        <w:rPr>
          <w:rFonts w:ascii="Nirmala UI" w:hAnsi="Nirmala UI" w:eastAsia="Nirmala UI" w:cs="Nirmala UI"/>
        </w:rPr>
        <w:t>භයානක</w:t>
      </w:r>
      <w:r>
        <w:rPr>
          <w:rFonts w:ascii="Times New Roman" w:hAnsi="Times New Roman" w:eastAsia="Times New Roman" w:cs="Times New Roman"/>
        </w:rPr>
        <w:t xml:space="preserve"> </w:t>
      </w:r>
      <w:r>
        <w:rPr>
          <w:rFonts w:ascii="Nirmala UI" w:hAnsi="Nirmala UI" w:eastAsia="Nirmala UI" w:cs="Nirmala UI"/>
        </w:rPr>
        <w:t>අභියානයක්</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අරඹා</w:t>
      </w:r>
      <w:r>
        <w:rPr>
          <w:rFonts w:ascii="Times New Roman" w:hAnsi="Times New Roman" w:eastAsia="Times New Roman" w:cs="Times New Roman"/>
        </w:rPr>
        <w:t xml:space="preserve"> </w:t>
      </w:r>
      <w:r>
        <w:rPr>
          <w:rFonts w:ascii="Nirmala UI" w:hAnsi="Nirmala UI" w:eastAsia="Nirmala UI" w:cs="Nirmala UI"/>
        </w:rPr>
        <w:t>ගැනීමට</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එකම</w:t>
      </w:r>
      <w:r>
        <w:rPr>
          <w:rFonts w:ascii="Times New Roman" w:hAnsi="Times New Roman" w:eastAsia="Times New Roman" w:cs="Times New Roman"/>
        </w:rPr>
        <w:t xml:space="preserve"> </w:t>
      </w:r>
      <w:r>
        <w:rPr>
          <w:rFonts w:ascii="Nirmala UI" w:hAnsi="Nirmala UI" w:eastAsia="Nirmala UI" w:cs="Nirmala UI"/>
        </w:rPr>
        <w:t>හේතුව</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සඳහන්</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මේ</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කාර්යයන්</w:t>
      </w:r>
      <w:r>
        <w:rPr>
          <w:rFonts w:ascii="Times New Roman" w:hAnsi="Times New Roman" w:eastAsia="Times New Roman" w:cs="Times New Roman"/>
        </w:rPr>
        <w:t xml:space="preserve"> </w:t>
      </w:r>
      <w:r>
        <w:rPr>
          <w:rFonts w:ascii="Nirmala UI" w:hAnsi="Nirmala UI" w:eastAsia="Nirmala UI" w:cs="Nirmala UI"/>
        </w:rPr>
        <w:t>ඉල්ලා</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රමාණයට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දිගු</w:t>
      </w:r>
      <w:r>
        <w:rPr>
          <w:rFonts w:ascii="Times New Roman" w:hAnsi="Times New Roman" w:eastAsia="Times New Roman" w:cs="Times New Roman"/>
        </w:rPr>
        <w:t xml:space="preserve"> </w:t>
      </w:r>
      <w:r>
        <w:rPr>
          <w:rFonts w:ascii="Nirmala UI" w:hAnsi="Nirmala UI" w:eastAsia="Nirmala UI" w:cs="Nirmala UI"/>
        </w:rPr>
        <w:t>කාලයක්</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මිසරයේ</w:t>
      </w:r>
      <w:r>
        <w:rPr>
          <w:rFonts w:ascii="Times New Roman" w:hAnsi="Times New Roman" w:eastAsia="Times New Roman" w:cs="Times New Roman"/>
        </w:rPr>
        <w:t xml:space="preserve"> </w:t>
      </w:r>
      <w:r>
        <w:rPr>
          <w:rFonts w:ascii="Nirmala UI" w:hAnsi="Nirmala UI" w:eastAsia="Nirmala UI" w:cs="Nirmala UI"/>
        </w:rPr>
        <w:t>රැඳී</w:t>
      </w:r>
      <w:r>
        <w:rPr>
          <w:rFonts w:ascii="Times New Roman" w:hAnsi="Times New Roman" w:eastAsia="Times New Roman" w:cs="Times New Roman"/>
        </w:rPr>
        <w:t xml:space="preserve"> </w:t>
      </w:r>
      <w:r>
        <w:rPr>
          <w:rFonts w:ascii="Nirmala UI" w:hAnsi="Nirmala UI" w:eastAsia="Nirmala UI" w:cs="Nirmala UI"/>
        </w:rPr>
        <w:t>සිටියේය</w:t>
      </w:r>
      <w:r>
        <w:rPr>
          <w:rFonts w:ascii="Times New Roman" w:hAnsi="Times New Roman" w:eastAsia="Times New Roman" w:cs="Times New Roman"/>
        </w:rPr>
        <w:t xml:space="preserve">; </w:t>
      </w:r>
      <w:r>
        <w:rPr>
          <w:rFonts w:ascii="Nirmala UI" w:hAnsi="Nirmala UI" w:eastAsia="Nirmala UI" w:cs="Nirmala UI"/>
        </w:rPr>
        <w:t>විනයහීන</w:t>
      </w:r>
      <w:r>
        <w:rPr>
          <w:rFonts w:ascii="Times New Roman" w:hAnsi="Times New Roman" w:eastAsia="Times New Roman" w:cs="Times New Roman"/>
        </w:rPr>
        <w:t xml:space="preserve"> </w:t>
      </w:r>
      <w:r>
        <w:rPr>
          <w:rFonts w:ascii="Nirmala UI" w:hAnsi="Nirmala UI" w:eastAsia="Nirmala UI" w:cs="Nirmala UI"/>
        </w:rPr>
        <w:t>රැජින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උත්සව</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යෝත්සවවල</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රාත්</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ගත</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අනාගතවක්තයා</w:t>
      </w:r>
      <w:r>
        <w:rPr>
          <w:rFonts w:ascii="Times New Roman" w:hAnsi="Times New Roman" w:eastAsia="Times New Roman" w:cs="Times New Roman"/>
        </w:rPr>
        <w:t xml:space="preserve"> </w:t>
      </w:r>
      <w:r>
        <w:rPr>
          <w:rFonts w:ascii="Nirmala UI" w:hAnsi="Nirmala UI" w:eastAsia="Nirmala UI" w:cs="Nirmala UI"/>
        </w:rPr>
        <w:t>කීවේය</w:t>
      </w:r>
      <w:r>
        <w:rPr>
          <w:rFonts w:ascii="Times New Roman" w:hAnsi="Times New Roman" w:eastAsia="Times New Roman" w:cs="Times New Roman"/>
        </w:rPr>
        <w:t>,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ඔහුගේ</w:t>
      </w:r>
      <w:r>
        <w:rPr>
          <w:rFonts w:ascii="Times New Roman" w:hAnsi="Times New Roman" w:eastAsia="Times New Roman" w:cs="Times New Roman"/>
        </w:rPr>
        <w:t xml:space="preserve"> </w:t>
      </w:r>
      <w:r>
        <w:rPr>
          <w:rFonts w:ascii="Nirmala UI" w:hAnsi="Nirmala UI" w:eastAsia="Nirmala UI" w:cs="Nirmala UI"/>
        </w:rPr>
        <w:t>පක්ෂයේ</w:t>
      </w:r>
      <w:r>
        <w:rPr>
          <w:rFonts w:ascii="Times New Roman" w:hAnsi="Times New Roman" w:eastAsia="Times New Roman" w:cs="Times New Roman"/>
        </w:rPr>
        <w:t xml:space="preserve"> </w:t>
      </w:r>
      <w:r>
        <w:rPr>
          <w:rFonts w:ascii="Nirmala UI" w:hAnsi="Nirmala UI" w:eastAsia="Nirmala UI" w:cs="Nirmala UI"/>
        </w:rPr>
        <w:t>නොසිටිනු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සඳහාද</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පසුව</w:t>
      </w:r>
      <w:r>
        <w:rPr>
          <w:rFonts w:ascii="Times New Roman" w:hAnsi="Times New Roman" w:eastAsia="Times New Roman" w:cs="Times New Roman"/>
        </w:rPr>
        <w:t xml:space="preserve"> </w:t>
      </w:r>
      <w:r>
        <w:rPr>
          <w:rFonts w:ascii="Nirmala UI" w:hAnsi="Nirmala UI" w:eastAsia="Nirmala UI" w:cs="Nirmala UI"/>
        </w:rPr>
        <w:t>ක්ලියෝපැට්රා</w:t>
      </w:r>
      <w:r>
        <w:rPr>
          <w:rFonts w:ascii="Times New Roman" w:hAnsi="Times New Roman" w:eastAsia="Times New Roman" w:cs="Times New Roman"/>
        </w:rPr>
        <w:t xml:space="preserve"> </w:t>
      </w:r>
      <w:r>
        <w:rPr>
          <w:rFonts w:ascii="Nirmala UI" w:hAnsi="Nirmala UI" w:eastAsia="Nirmala UI" w:cs="Nirmala UI"/>
        </w:rPr>
        <w:t>ඔගස්ටස්</w:t>
      </w:r>
      <w:r>
        <w:rPr>
          <w:rFonts w:ascii="Times New Roman" w:hAnsi="Times New Roman" w:eastAsia="Times New Roman" w:cs="Times New Roman"/>
        </w:rPr>
        <w:t xml:space="preserve"> </w:t>
      </w:r>
      <w:r>
        <w:rPr>
          <w:rFonts w:ascii="Nirmala UI" w:hAnsi="Nirmala UI" w:eastAsia="Nirmala UI" w:cs="Nirmala UI"/>
        </w:rPr>
        <w:t>සීසර්ගේ</w:t>
      </w:r>
      <w:r>
        <w:rPr>
          <w:rFonts w:ascii="Times New Roman" w:hAnsi="Times New Roman" w:eastAsia="Times New Roman" w:cs="Times New Roman"/>
        </w:rPr>
        <w:t xml:space="preserve"> </w:t>
      </w:r>
      <w:r>
        <w:rPr>
          <w:rFonts w:ascii="Nirmala UI" w:hAnsi="Nirmala UI" w:eastAsia="Nirmala UI" w:cs="Nirmala UI"/>
        </w:rPr>
        <w:t>සතුරා</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ඇන්ටනි</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එකතු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රෝමයට</w:t>
      </w:r>
      <w:r>
        <w:rPr>
          <w:rFonts w:ascii="Times New Roman" w:hAnsi="Times New Roman" w:eastAsia="Times New Roman" w:cs="Times New Roman"/>
        </w:rPr>
        <w:t xml:space="preserve"> </w:t>
      </w:r>
      <w:r>
        <w:rPr>
          <w:rFonts w:ascii="Nirmala UI" w:hAnsi="Nirmala UI" w:eastAsia="Nirmala UI" w:cs="Nirmala UI"/>
        </w:rPr>
        <w:t>විරුද්ධව</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බලය</w:t>
      </w:r>
      <w:r>
        <w:rPr>
          <w:rFonts w:ascii="Times New Roman" w:hAnsi="Times New Roman" w:eastAsia="Times New Roman" w:cs="Times New Roman"/>
        </w:rPr>
        <w:t xml:space="preserve"> </w:t>
      </w:r>
      <w:r>
        <w:rPr>
          <w:rFonts w:ascii="Nirmala UI" w:hAnsi="Nirmala UI" w:eastAsia="Nirmala UI" w:cs="Nirmala UI"/>
        </w:rPr>
        <w:t>යෙදුවාය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VERSÍCULO 18. Después de esto volverá su rostro hacia las islas, y tomará muchas; pero un príncipe, por su propia cuenta, hará cesar el oprobio ofrecido por él; y hará recaer sobre él su propio oprobio sin cargar con él. »</w:t>
      </w:r>
    </w:p>
    <w:p>
      <w:pPr>
        <w:pStyle w:val="ArticleScripture"/>
        <w:jc w:val="left"/>
      </w:pPr>
      <w:r>
        <w:rPr>
          <w:rFonts w:ascii="Times New Roman" w:hAnsi="Times New Roman" w:eastAsia="Times New Roman" w:cs="Times New Roman"/>
        </w:rPr>
        <w:t>«جنگ با فرناسِس، پادشاهِ بسفورِ کیمِری، سرانجام او را از مصر بازکشید. پرایدو می‌گوید: «چون به جایی رسید که دشمن در آن بود، بی‌آنکه نه به خود و نه به ایشان هیچ مهلتی دهد، بی‌درنگ بر آنان تاخت و پیروزیِ کامل و قاطعی بر ایشان به دست آورد؛ گزارشی از آن را نیز در این سه کلمه برای یکی از دوستان خود نوشت: Veni, vidi, vici؛ آمدم، دیدم، فتح کردم.» بخشِ اخیرِ این آیه در هاله‌ای از ابهام قرار دارد، و دربارهٔ تطبیق آن اختلافِ نظر هست. بعضی آن را به دوره‌ای پیش‌تر در زندگیِ قیصر بازمی‌گردانند و می‌پندارند که تحقق آن را در نزاعِ او با پومپه می‌یابند. اما رویدادهای پیشین و پسین که در نبوت به‌روشنی معیّن شده‌اند، ما را ناگزیر می‌سازند که تحقق این بخش از پیشگویی را میانِ پیروزی بر فرناسِس و مرگِ قیصر در روم، که در آیهٔ بعد به آن اشاره شده است، بجوییم. تاریخی کامل‌تر از این دوره ممکن است رویدادهایی را آشکار سازد که تطبیقِ این عبارت را بی‌دشواری گرداند.»</w:t>
      </w:r>
    </w:p>
    <w:p>
      <w:pPr>
        <w:pStyle w:val="ArticleScripture"/>
        <w:jc w:val="left"/>
      </w:pPr>
      <w:r>
        <w:rPr>
          <w:rFonts w:ascii="Times New Roman" w:hAnsi="Times New Roman" w:eastAsia="Times New Roman" w:cs="Times New Roman"/>
        </w:rPr>
        <w:t>«Вірш 19. Тоді він зверне своє обличчя до укріплень своєї землі; але спіткнеться, і впаде, і не буде знайдений».</w:t>
      </w:r>
    </w:p>
    <w:p>
      <w:pPr>
        <w:pStyle w:val="ArticleScripture"/>
        <w:jc w:val="left"/>
      </w:pPr>
      <w:r>
        <w:rPr>
          <w:rFonts w:ascii="Times New Roman" w:hAnsi="Times New Roman" w:eastAsia="Times New Roman" w:cs="Times New Roman"/>
        </w:rPr>
        <w:t>“Ushbu g‘alabadan so‘ng, Qaysar Pompey tarafdorlarining qolgan so‘nggi bo‘laklarini ham mag‘lub etdi: Afrikada Kato va Skipionni, Ispaniyada esa Labienus va Varni. U Rimga, ya’ni ‘o‘z yurtining qal’asi’ga qaytganida, umrbod diktator etib tayinlandi; va unga yana shunday boshqa vakolatlar hamda sharaflar berildiki, ular uni amalda butun imperiyaning mutlaq hukmdoriga aylantirdi. Ammo payg‘ambar uning qoqilib yiqilishini aytgan edi. Bu ifoda uning halokati kutilmagan va to‘satdan bo‘lishini bildiradi, xuddi odam yurib borayotib tasodifan qoqilib ketgandek. Va shunday ham bo‘ldi: besh yuz jang qilib g‘alaba qozongan, mingta shaharni qo‘lga kiritgan va bir million bir yuz to‘qson ikki ming odamni o‘ldirgan bu kishi jang suroni va olishuv soatida emas, balki o‘z yo‘li tekis va gullarga burkalgandek tuyulgan, xavf esa juda yiroqda deb hisoblangan bir paytda yiqildi; chunki u senat majlislar zalida oltin taxtiga o‘tirib, o‘sha majlis qo‘lidan podsho unvonini qabul qilmoqchi bo‘lganida, xiyonat xanjarining zarbasi to‘satdan uning yuragiga yetdi. Kassiy, Brut va boshqa fitnachilar uning ustiga yopirildilar, va u yigirma uchta yara bilan teshilgan holda yiqildi. Shunday qilib u to‘satdan qoqilib yiqildi va topilmadi, miloddan avvalgi 44-yilda.” Uriah Smith, Daniel and the Revelation, 258–264.</w:t>
      </w:r>
    </w:p>
    <w:p>
      <w:pPr>
        <w:pStyle w:val="ArticleBody"/>
        <w:jc w:val="left"/>
      </w:pPr>
      <w:r>
        <w:rPr>
          <w:rFonts w:ascii="Times New Roman" w:hAnsi="Times New Roman" w:eastAsia="Times New Roman" w:cs="Times New Roman"/>
        </w:rPr>
        <w:t>Kemurnian sejarah penggenapan Roma kafir (raja utara), ketika ditegakkan di atas takhta, adalah suatu sejarah yang melambangkan terlebih dahulu sejarah penobatan Roma modern pada persatuan rangkap tiga yang terjadi pada undang-undang hari Minggu yang segera akan datang. Sejarah itu juga ditipologikan dalam ayat tiga puluh sampai tiga puluh enam, yang menunjukkan kapan kepausan pertama kali ditempatkan di atas takhta pada tahun 538. Ayat enam belas sampai sembilan belas, dan ayat tiga puluh satu sampai tiga puluh enam, keduanya melambangkan kebangkitan terakhir dan kejatuhan perempuan sundal Tirus. Sejarah itu juga digambarkan dalam ayat lima sampai sembilan, ketika raja utara yang pertama ditegakkan setelah menaklukkan tiga wilayah geografis. Sesudah itu ia mengikat perjanjian dengan raja selatan, tetapi melanggar perjanjian itu, dan sebagai tanggapan raja selatan menimpakan luka yang mematikan, dan raja utara mati dalam penawanan di Mesir.</w:t>
      </w:r>
    </w:p>
    <w:p>
      <w:pPr>
        <w:pStyle w:val="ArticleBody"/>
        <w:jc w:val="left"/>
      </w:pPr>
      <w:r>
        <w:rPr>
          <w:rFonts w:ascii="Times New Roman" w:hAnsi="Times New Roman" w:eastAsia="Times New Roman" w:cs="Times New Roman"/>
        </w:rPr>
        <w:t>دەقی ئایەتەکانی پێنج تا نۆ، ئایەتەکانی شانزە تا نۆزدە، و ئایەتەکانی سی تا سی و شەش، سێ هێڵی پێشبینی پێشکەش دەکەن کە لە ئایەتەکانی چل تا چل و پێنجدا تەواو دەبن. کاتێک خوشک وایت دیاری کرد کە «بەشێکی زۆر لەو مێژووەی کە لەم پێشبینییەدا هاتۆتە دی، دووبارە دەبێتەوە»، ئەمە لە ڕاستیدا ئەوەی دەگەیەنێت کە تەواوی ئەو بەشە ئایەتەکانی چل تا چل و پێنج ڕوون دەکاتەوە. ئایەتەکانی بیست تا بیست و دوو لەدایکبوون و مردنی مەسیح دیاری دەکەن؛ بەم شێوەیە کۆتایی کات لە هەردوو ساڵی 1798 و 1989دا بە لەدایکبوونی ئەو نوێنەرایەتی دەکرێت، و پاشان مردنی ئەو لەسەر خاچ نوێنەرایەتیی 22ی ئۆکتۆبری 1844 و یاسای ڕۆژی یەکشەممە دەکات.</w:t>
      </w:r>
    </w:p>
    <w:p>
      <w:pPr>
        <w:pStyle w:val="ArticleBody"/>
        <w:jc w:val="left"/>
      </w:pPr>
      <w:r>
        <w:rPr>
          <w:rFonts w:ascii="Times New Roman" w:hAnsi="Times New Roman" w:eastAsia="Times New Roman" w:cs="Times New Roman"/>
        </w:rPr>
        <w:t>Verset vingt-trois identifie l’alliance conclue entre les Juifs et Rome, au cours de l’histoire de la révolte des Maccabées. L’« alliance » dans cette histoire est représentée par les dates de 161 av. J.-C. et de 158 av. J.-C. L’histoire des Maccabées représente une ligne interne qui trouve son commencement avec une « alliance » entre Rome et les Juifs maccabéens, alliance initiée par les Juifs, et qui s’acheva finalement lorsque les Juifs proclamèrent qu’ils n’avaient d’autre roi que César. Le verset vingt-trois, bien sûr, suit les versets vingt et un et vingt-deux, et le verset vingt et un identifie la naissance du Christ, qui est un temps prophétique de la fin, et le verset vingt-deux identifie la croix, qui représente la loi du dimanche.</w:t>
      </w:r>
    </w:p>
    <w:p>
      <w:pPr>
        <w:pStyle w:val="ArticleBody"/>
        <w:jc w:val="left"/>
      </w:pPr>
      <w:r>
        <w:rPr>
          <w:rFonts w:ascii="Times New Roman" w:hAnsi="Times New Roman" w:eastAsia="Times New Roman" w:cs="Times New Roman"/>
        </w:rPr>
        <w:t>Ha mogong a Bajuda ba ile ba supa Kesara (Roma) e le morena oa bona, ’me “selekane” sa temana ea mashome a mabeli a metso e meraro se supa qalo ea khetho ea Bajuda ea ho sebeletsa Roma, hantle-ntle ntlheng ea pheletso ea ha Bajuda ba ne ba bolela botšepehi ba bona ho Roma. Qetello ea Bajuda, joalokaha e emetsoe mogong, e lateloa ke qalo ea kopano ea Bajuda le Roma.</w:t>
      </w:r>
    </w:p>
    <w:p>
      <w:pPr>
        <w:pStyle w:val="ArticleBody"/>
        <w:jc w:val="left"/>
      </w:pPr>
      <w:r>
        <w:rPr>
          <w:rFonts w:ascii="Times New Roman" w:hAnsi="Times New Roman" w:eastAsia="Times New Roman" w:cs="Times New Roman"/>
        </w:rPr>
        <w:t>Les versets vingt-quatre à trente décrivent les trois cent soixante années durant lesquelles la Rome païenne domina souverainement, depuis la bataille d’Actium en 31 av. J.-C. jusqu’au transfert de la capitale de Rome à Constantinople en l’an 330. La période de trois cent soixante années est le type des mille deux cent soixante années durant lesquelles la Rome papale domina souverainement, et ensemble elles représentent la période mentionnée au verset quarante et un, ainsi que la triple union qui se produit lors de la loi dominicale imminente, jusqu’à la clôture du temps de grâce.</w:t>
      </w:r>
    </w:p>
    <w:p>
      <w:pPr>
        <w:pStyle w:val="ArticleBody"/>
        <w:jc w:val="left"/>
      </w:pPr>
      <w:r>
        <w:rPr>
          <w:rFonts w:ascii="Nirmala UI" w:hAnsi="Nirmala UI" w:eastAsia="Nirmala UI" w:cs="Nirmala UI"/>
        </w:rPr>
        <w:t>বই</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এগারোর</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সমস্ত</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ছয়টি</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সামঞ্জস্যপূর্ণ</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১৯৮৯</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ভাববাদী</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চল্লিশতম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একচল্লিশতম</w:t>
      </w:r>
      <w:r>
        <w:rPr>
          <w:rFonts w:ascii="Times New Roman" w:hAnsi="Times New Roman" w:eastAsia="Times New Roman" w:cs="Times New Roman"/>
        </w:rPr>
        <w:t xml:space="preserve"> </w:t>
      </w:r>
      <w:r>
        <w:rPr>
          <w:rFonts w:ascii="Nirmala UI" w:hAnsi="Nirmala UI" w:eastAsia="Nirmala UI" w:cs="Nirmala UI"/>
        </w:rPr>
        <w:t>পদের</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প্রসারিত</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দানিয়েলের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ভাববাণীর</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সম্পর্কিত।</w:t>
      </w:r>
      <w:r>
        <w:rPr>
          <w:rFonts w:ascii="Times New Roman" w:hAnsi="Times New Roman" w:eastAsia="Times New Roman" w:cs="Times New Roman"/>
        </w:rPr>
        <w:t xml:space="preserve">” </w:t>
      </w:r>
      <w:r>
        <w:rPr>
          <w:rFonts w:ascii="Nirmala UI" w:hAnsi="Nirmala UI" w:eastAsia="Nirmala UI" w:cs="Nirmala UI"/>
        </w:rPr>
        <w:t>চল্লিশতম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শূন্য</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প্রত্যাদেশ</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নিকটবর্তী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পূর্বে</w:t>
      </w:r>
      <w:r>
        <w:rPr>
          <w:rFonts w:ascii="Times New Roman" w:hAnsi="Times New Roman" w:eastAsia="Times New Roman" w:cs="Times New Roman"/>
        </w:rPr>
        <w:t xml:space="preserve">, </w:t>
      </w:r>
      <w:r>
        <w:rPr>
          <w:rFonts w:ascii="Nirmala UI" w:hAnsi="Nirmala UI" w:eastAsia="Nirmala UI" w:cs="Nirmala UI"/>
        </w:rPr>
        <w:t>উন্মোচিত</w:t>
      </w:r>
      <w:r>
        <w:rPr>
          <w:rFonts w:ascii="Times New Roman" w:hAnsi="Times New Roman" w:eastAsia="Times New Roman" w:cs="Times New Roman"/>
        </w:rPr>
        <w:t xml:space="preserve"> </w:t>
      </w:r>
      <w:r>
        <w:rPr>
          <w:rFonts w:ascii="Nirmala UI" w:hAnsi="Nirmala UI" w:eastAsia="Nirmala UI" w:cs="Nirmala UI"/>
        </w:rPr>
        <w:t>হয়।</w:t>
      </w:r>
    </w:p>
    <w:p>
      <w:pPr>
        <w:pStyle w:val="ArticleBody"/>
        <w:jc w:val="left"/>
      </w:pPr>
      <w:r>
        <w:rPr>
          <w:rFonts w:ascii="Times New Roman" w:hAnsi="Times New Roman" w:eastAsia="Times New Roman" w:cs="Times New Roman"/>
        </w:rPr>
        <w:t>Chúng ta sẽ tiếp tục bài nghiên cứu này trong bài viết kế tiếp.</w:t>
      </w:r>
    </w:p>
    <w:p>
      <w:pPr>
        <w:pStyle w:val="ArticleScripture"/>
        <w:jc w:val="left"/>
      </w:pPr>
      <w:r>
        <w:rPr>
          <w:rFonts w:ascii="Times New Roman" w:hAnsi="Times New Roman" w:eastAsia="Times New Roman" w:cs="Times New Roman"/>
        </w:rPr>
        <w:t>“Tunazo amri za Mungu na ushuhuda wa Yesu Kristo, ambao ndio roho ya unabii. Hazina za thamani isiyo na kifani zinapatikana katika neno la Mungu. Wale wanaolichunguza neno hili wanapaswa kuudumisha akili katika hali ya uwazi. Kamwe hawapaswi kujitia katika tamaa potovu ya kula au kunywa.</w:t>
      </w:r>
    </w:p>
    <w:p>
      <w:pPr>
        <w:pStyle w:val="ArticleScripture"/>
        <w:jc w:val="left"/>
      </w:pPr>
      <w:r>
        <w:rPr>
          <w:rFonts w:ascii="Times New Roman" w:hAnsi="Times New Roman" w:eastAsia="Times New Roman" w:cs="Times New Roman"/>
        </w:rPr>
        <w:t>«As woyɛ eyi a, adwene no bɛyɛ basaa; wɔrentumi nnyina ɔhaw a ɛwɔ mu sɛ wobetu fam kɔ akyiri ahwehwɛ nneɛma a ɛfa asase yi abakɔsɛm no awiei mu nsɛm ho no asekyerɛ no ano.</w:t>
      </w:r>
    </w:p>
    <w:p>
      <w:pPr>
        <w:pStyle w:val="ArticleScripture"/>
        <w:jc w:val="left"/>
      </w:pPr>
      <w:r>
        <w:rPr>
          <w:rFonts w:ascii="Times New Roman" w:hAnsi="Times New Roman" w:eastAsia="Times New Roman" w:cs="Times New Roman"/>
        </w:rPr>
        <w:t>“Cuando los libros de Daniel y del Apocalipsis sean mejor comprendidos, los creyentes tendrán una experiencia religiosa enteramente diferente. Se les concederán tales vislumbres de las puertas abiertas del cielo, que el corazón y la mente quedarán impresionados por el carácter que todos deben desarrollar para alcanzar la bienaventuranza que ha de ser la recompensa de los puros de corazón.</w:t>
      </w:r>
    </w:p>
    <w:p>
      <w:pPr>
        <w:pStyle w:val="ArticleScripture"/>
        <w:jc w:val="left"/>
      </w:pPr>
      <w:r>
        <w:rPr>
          <w:rFonts w:ascii="Times New Roman" w:hAnsi="Times New Roman" w:eastAsia="Times New Roman" w:cs="Times New Roman"/>
        </w:rPr>
        <w:t>‘Le Seigneur bénira tous ceux qui chercheront humblement et avec douceur à comprendre ce qui est révélé dans l’Apocalypse. Ce livre contient tant de choses porteuses d’immortalité et pleines de gloire que tous ceux qui le lisent et le sondent avec sincérité reçoivent la bénédiction promise à ceux « qui entendent les paroles de cette prophétie, et qui gardent les choses qui y sont écrites ». ’</w:t>
      </w:r>
    </w:p>
    <w:p>
      <w:pPr>
        <w:pStyle w:val="ArticleScripture"/>
        <w:jc w:val="left"/>
      </w:pPr>
      <w:r>
        <w:rPr>
          <w:rFonts w:ascii="Times New Roman" w:hAnsi="Times New Roman" w:eastAsia="Times New Roman" w:cs="Times New Roman"/>
        </w:rPr>
        <w:t>« Une chose sera certainement comprise à l’étude de l’Apocalypse : c’est que le lien entre Dieu et son peuple est étroit et bien défini. »</w:t>
      </w:r>
    </w:p>
    <w:p>
      <w:pPr>
        <w:pStyle w:val="ArticleScripture"/>
        <w:jc w:val="left"/>
      </w:pPr>
      <w:r>
        <w:rPr>
          <w:rFonts w:ascii="Times New Roman" w:hAnsi="Times New Roman" w:eastAsia="Times New Roman" w:cs="Times New Roman"/>
        </w:rPr>
        <w:t>«Գեղեցիկ մի կապ է երևում երկնքի տիեզերքի և այս աշխարհի միջև։ Դանիելին հայտնված բաները հետո լրացվեցին այն հայտնությամբ, որ Հովհաննեսին տրվեց Պատմոս կղզում։ Այս երկու գրքերը պետք է խնամքով ուսումնասիրվեն։ Երկու անգամ Դանիելը հարցրեց. Մինչև ե՞րբ կլինի ժամանակի վախճանը»</w:t>
      </w:r>
    </w:p>
    <w:p>
      <w:pPr>
        <w:pStyle w:val="ArticleScripture"/>
        <w:jc w:val="left"/>
      </w:pPr>
      <w:r>
        <w:rPr>
          <w:rFonts w:ascii="Times New Roman" w:hAnsi="Times New Roman" w:eastAsia="Times New Roman" w:cs="Times New Roman"/>
        </w:rPr>
        <w:t>“‘And I heard, but I understood not: then said I, O my Lord, what shall be the end of these things? And He said, Go thy way, Daniel: for the words are closed up and sealed till the time of the end. Many shall be purified, and made white, and tried; but the wicked shall do wickedly: and none of the wicked shall understand; but the wise shall understand. And from the time that the daily sacrifice shall be taken away, and the abomination that maketh desolate set up, there shall be a thousand two hundred and ninety days. Blessed is he that waiteth, and cometh to the thousand three hundred and five and thirty days. But go thou thy way till the end be: for thou shalt rest, and stand in thy lot at the end of the days.’</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គឺជាសិង្ហនៃកុលសម្ព័ន្ធយូដាទ្រង់ដែលបានបើកត្រាសៀវភៅនោះ</w:t>
      </w:r>
      <w:r>
        <w:rPr>
          <w:rFonts w:ascii="Times New Roman" w:hAnsi="Times New Roman" w:eastAsia="Times New Roman" w:cs="Times New Roman"/>
        </w:rPr>
        <w:t xml:space="preserve"> </w:t>
      </w:r>
      <w:r>
        <w:rPr>
          <w:rFonts w:ascii="Leelawadee UI" w:hAnsi="Leelawadee UI" w:eastAsia="Leelawadee UI" w:cs="Leelawadee UI"/>
        </w:rPr>
        <w:t>ហើយប្រទានដល់យ៉ូហាននូវវិវរណៈអំពីអ្វីៗដែលនឹងកើតមានក្នុងថ្ងៃចុងក្រោយទាំងនេះ។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“دانيال قام في نصيبه ليحمل شهادته التي كانت مختومة إلى وقت النهاية، حين كان ينبغي أن تُعلَن رسالة الملاك الأول لعالمنا. هذه الأمور ذات أهمية لا نهائية في هذه الأيام الأخيرة؛ ولكن بينما «يُطهَّر كثيرون ويُبيَّضون ويُمتحنون»، فإن «الأشرار يفعلون شرًّا، ولا يفهم أحد الأشرار». ما أصدق هذا! الخطية هي التعدي على شريعة الله؛ والذين لا يقبلون النور المتعلق بشريعة الله لن يفهموا المناداة برسائل الملائكة الأول والثاني والثالث. إن سفر دانيال قد فُكَّ ختمه في الرؤيا المعطاة ليوحنا، وهو يحملنا إلى المشاهد الأخيرة من تاريخ هذه الأرض.”</w:t>
      </w:r>
    </w:p>
    <w:p>
      <w:pPr>
        <w:pStyle w:val="ArticleScripture"/>
        <w:jc w:val="left"/>
      </w:pPr>
      <w:r>
        <w:rPr>
          <w:rFonts w:ascii="Times New Roman" w:hAnsi="Times New Roman" w:eastAsia="Times New Roman" w:cs="Times New Roman"/>
        </w:rPr>
        <w:t>«Бидний ах дүүс бид эцсийн өдрүүдийн аюул дунд амьдарч байгаагаа санаж явах болов уу? Илчлэлийг Даниелтай холбон унш. Эдгээр зүйлийг заа».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Akwụkwọ Daniel—Nọmba Otu Narị na Iri Asaa na Asatọ</dc:title>
  <dc:subject>Parallèles prophétiques : le déploiement de Daniel 11 dans les derniers jours</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