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soixante-dix-neuf</w:t>
      </w:r>
    </w:p>
    <w:p>
      <w:pPr>
        <w:pStyle w:val="ArticleSubtitle"/>
        <w:jc w:val="left"/>
      </w:pPr>
      <w:r>
        <w:rPr>
          <w:rFonts w:ascii="Arial" w:hAnsi="Arial" w:eastAsia="Arial" w:cs="Arial"/>
        </w:rPr>
        <w:t>Le Cri de Minuit et le rôle prophétique de Rome : dévoiler les derniers jours dans le livre de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Nous nous tenons maintenant sur une terre sainte, au regard du livre de Daniel, car nous sommes parvenus aux versets qui représentent le Cri de Minuit pour les cent quarante-quatre mille. Ces versets identifient aussi le scellement de l’étendard de ceux qui sont élevés. Ce sont là les versets qui constituent la portion du livre de Daniel relative aux derniers jours, laquelle est descellée, et qui représentent l’expression, par Daniel, de la Révélation de Jésus-Christ, descellée lorsque « le temps est proche », juste avant la clôture du temps de grâce au verset seize.</w:t>
      </w:r>
    </w:p>
    <w:p>
      <w:pPr>
        <w:pStyle w:val="ArticleBody"/>
        <w:jc w:val="left"/>
      </w:pPr>
      <w:r>
        <w:rPr>
          <w:rFonts w:ascii="Times New Roman" w:hAnsi="Times New Roman" w:eastAsia="Times New Roman" w:cs="Times New Roman"/>
        </w:rPr>
        <w:t>Ni Roma ndiyo inayoliweka msingi wa njozi hiyo, kama inavyowakilishwa katika aya ya kumi na nne ya sura ya kumi na moja; kwa hiyo ni muhimu kulichunguza Roma kwa makini tunapopitia aya ya kumi na moja hadi ya kumi na tano, kwa maana pasipo “maono, watu huangamia,” na ikiwa hamtaamini Isaya sura ya saba, aya ya nane na ya tisa, “hakika hamtaimarishwa.”</w:t>
      </w:r>
    </w:p>
    <w:p>
      <w:pPr>
        <w:pStyle w:val="ArticleBody"/>
        <w:jc w:val="left"/>
      </w:pPr>
      <w:r>
        <w:rPr>
          <w:rFonts w:ascii="Times New Roman" w:hAnsi="Times New Roman" w:eastAsia="Times New Roman" w:cs="Times New Roman"/>
        </w:rPr>
        <w:t>Uriah Smith fait référence au moins quatre fois, dans son ouvrage Daniel and the Revelation, à une règle prophétique. Cette règle établit qu’une puissance prophétique n’est pas identifiée dans la prophétie avant qu’elle ne devienne « liée » au peuple de Dieu. La première fois qu’il l’aborde, c’est en rapport avec l’introduction de Babylone dans le témoignage prophétique.</w:t>
      </w:r>
    </w:p>
    <w:p>
      <w:pPr>
        <w:pStyle w:val="ArticleScripture"/>
        <w:jc w:val="left"/>
      </w:pPr>
      <w:r>
        <w:rPr>
          <w:rFonts w:ascii="Times New Roman" w:hAnsi="Times New Roman" w:eastAsia="Times New Roman" w:cs="Times New Roman"/>
        </w:rPr>
        <w:t>«Il est une règle manifeste d’interprétation que l’on peut s’attendre à voir des nations mentionnées dans la prophétie lorsqu’elles en viennent à être à ce point liées au peuple de Dieu que leur mention devient nécessaire pour rendre complets les récits de l’histoire sacrée.» Uriah Smith, Daniel and the Revelation, 46.</w:t>
      </w:r>
    </w:p>
    <w:p>
      <w:pPr>
        <w:pStyle w:val="ArticleBody"/>
        <w:jc w:val="left"/>
      </w:pPr>
      <w:r>
        <w:rPr>
          <w:rFonts w:ascii="Times New Roman" w:hAnsi="Times New Roman" w:eastAsia="Times New Roman" w:cs="Times New Roman"/>
        </w:rPr>
        <w:t>Smith fait mention de cette règle à au moins trois autres reprises, et dans chacune des trois il renvoie à la « ligue » des Juifs ; toutefois, dans l’une de ces références, il identifie l’accomplissement de cette ligue à l’an 162 av. J.-C., tandis que les deux autres références s’accordent avec les historiens modernes, qui situent l’accomplissement de la « ligue » des Juifs et de Rome en 161 av. J.-C.</w:t>
      </w:r>
    </w:p>
    <w:p>
      <w:pPr>
        <w:pStyle w:val="ArticleScripture"/>
        <w:jc w:val="left"/>
      </w:pPr>
      <w:r>
        <w:rPr>
          <w:rFonts w:ascii="Times New Roman" w:hAnsi="Times New Roman" w:eastAsia="Times New Roman" w:cs="Times New Roman"/>
        </w:rPr>
        <w:t>«Չկա անհրաժեշտություն ընթերցողին հիշեցնելու, որ երկրային կառավարությունները մարգարեության մեջ չեն ներկայացվում, մինչև որ որևէ կերպ չկապվեն Աստծո ժողովրդի հետ։ Հռոմը կապվեց հրեաների՝ այն ժամանակվա Աստծո ժողովրդի հետ, Ք.ա. 161 թվականին կնքված նշանավոր Հրեական դաշինքով։ 1 Մակաբայեցիներ 8; Հովսեփոսի «Հնություններ», գիրք 12, գլուխ 10, բաժին 6; Prideaux, հ. II, էջ 166։ Բայց դրանից յոթ տարի առաջ, այսինքն՝ Ք.ա. 168 թվականին, Հռոմը նվաճել էր Մակեդոնիան և այդ երկիրը դարձրել իր կայսրության մի մասը։ Ուստի Հռոմը մարգարեության մեջ ներկայացվում է հենց այն պահին, երբ այծի նվաճված մակեդոնական եղջյուրից ելնելով՝ այն գնում է դեպի նոր նվաճումներ այլ ուղղություններով։ Հետևաբար այն մարգարեին երևաց, կամ այս մարգարեության մեջ կարող է պատշաճորեն ներկայացվել, որպես ելնող այծի եղջյուրներից մեկից»։ Ուրայա Սմիթ, Daniel and the Revelation, 175.</w:t>
      </w:r>
    </w:p>
    <w:p>
      <w:pPr>
        <w:pStyle w:val="ArticleBody"/>
        <w:jc w:val="left"/>
      </w:pPr>
      <w:r>
        <w:rPr>
          <w:rFonts w:ascii="Times New Roman" w:hAnsi="Times New Roman" w:eastAsia="Times New Roman" w:cs="Times New Roman"/>
        </w:rPr>
        <w:t>Kasi Smith mpe alobi ete ezalaki na 162 liboso ya Klisto.</w:t>
      </w:r>
    </w:p>
    <w:p>
      <w:pPr>
        <w:pStyle w:val="ArticleScripture"/>
        <w:jc w:val="left"/>
      </w:pPr>
      <w:r>
        <w:rPr>
          <w:rFonts w:ascii="Times New Roman" w:hAnsi="Times New Roman" w:eastAsia="Times New Roman" w:cs="Times New Roman"/>
        </w:rPr>
        <w:t>«همان قدرت نیز می‌بایست در سرزمین مقدّس برپا شود و آن را ببلعد. روم در سال ۱۶۲ پیش از میلاد، از راه هم‌پیمانی، با قوم خدا، یعنی یهودیان، مرتبط شد؛ و از همان تاریخ است که در گاه‌شمار نبوی جایگاهی برجسته می‌یابد. با این حال، تا سال ۶۳ پیش از میلاد، از طریق فتح واقعی، بر یهودیه حاکمیت نیافت؛ و سپس این امر به طریق زیر واقع شد.» Uriah Smith, Daniel and the Revelation, 259.</w:t>
      </w:r>
    </w:p>
    <w:p>
      <w:pPr>
        <w:pStyle w:val="ArticleBody"/>
        <w:jc w:val="left"/>
      </w:pPr>
      <w:r>
        <w:rPr>
          <w:rFonts w:ascii="Times New Roman" w:hAnsi="Times New Roman" w:eastAsia="Times New Roman" w:cs="Times New Roman"/>
        </w:rPr>
        <w:t>Ug pagkatapos, sa ikatulong higayon nga iyang gihisgotan ang maong hitabo, giingon na usab niya ang 161 BC.</w:t>
      </w:r>
    </w:p>
    <w:p>
      <w:pPr>
        <w:pStyle w:val="ArticleScripture"/>
        <w:jc w:val="left"/>
      </w:pPr>
      <w:r>
        <w:rPr>
          <w:rFonts w:ascii="Times New Roman" w:hAnsi="Times New Roman" w:eastAsia="Times New Roman" w:cs="Times New Roman"/>
        </w:rPr>
        <w:t>«После того как пророк провёл нас через светские события империи до конца семидесяти седмин, в стихе 23 он возвращает нас ко времени, когда римляне вступили в непосредственную связь с народом Божиим через иудейский союз, в 161 году до Р. Х.; от этой точки затем нас ведут по прямой линии событий к окончательной победе церкви и утверждению вечного Царства Божия. Иудеи, будучи тяжко угнетаемы сирийскими царями, отправили посольство в Рим, чтобы испросить помощь у римлян и вступить с ними в „союз дружбы и соглашения“. 1 Маккавейская 8; Prideaux, II, 234; Josephus’s Antiquities, book 12, chapter 10, section 6. Римляне вняли просьбе иудеев и даровали им постановление, изложенное в следующих словах:—»</w:t>
      </w:r>
    </w:p>
    <w:p>
      <w:pPr>
        <w:pStyle w:val="ArticleScripture"/>
        <w:jc w:val="left"/>
      </w:pPr>
      <w:r>
        <w:rPr>
          <w:rFonts w:ascii="Times New Roman" w:hAnsi="Times New Roman" w:eastAsia="Times New Roman" w:cs="Times New Roman"/>
        </w:rPr>
        <w:t>“‘Az zûmanga senatê ya Romayan li ser peymana alîkarî û dostaniyê bi neteweya Cihûyan re. Ji bo kesên ku bin desthilatdariya Romayan de ne, ne qanûnî ye ku bi neteweya Cihûyan re şer bikin, ne jî wan ku wisa dikin alîkarî bikin, ne bi şandina genim, ne keştiyan, ne jî pereyan; û heke êrîşek li ser Cihûyan were kirin, Romayî dê, heta ku karibin, alîkariya wan bikin; û herwiha, heke êrîşek li ser Romayan were kirin, Cihû dê alîkariya wan bikin. Û heke Cihû bixwazin li ser vê peymana alîkariyê tiştek zêde bikin an jê tiştek kêm bikin, ew ê bi razîbûna hevbeş a Romayan were kirin. Û her zêdekirinek ku bi vî awayî were kirin, dê xwedî hêz be.’ ‘Ev ferman,’ Josephus dibêje, ‘ji aliyê Eupolemus, kurê Yohanna, û Jason, kurê Eleazer, hate nivîsandin, dema ku Judas serok-kahînê neteweyê bû û birayê wî Simon fermandarê artêşê bû. Û ev yekem peyman bû ku Romayan bi Cihûyan re çêkir, û bi vî awayî hate birêvebirin.’” Uriah Smith, Daniel and the Revelation, 271.</w:t>
      </w:r>
    </w:p>
    <w:p>
      <w:pPr>
        <w:pStyle w:val="ArticleBody"/>
        <w:jc w:val="left"/>
      </w:pPr>
      <w:r>
        <w:rPr>
          <w:rFonts w:ascii="Times New Roman" w:hAnsi="Times New Roman" w:eastAsia="Times New Roman" w:cs="Times New Roman"/>
        </w:rPr>
        <w:t>Me nohia iau ke wehewehe i ke kumu i kuhikuhi ai ʻo Smith i ka 162 BC, koe wale nō koʻu manaʻo he hewa paʻi ia. ʻO koʻu manaʻo nui, aia nō ia i ka kuhikuhi ʻana i ka koʻikoʻi āna i kau ai ma luna o ka mea āna i kapa ai he “rula ʻike maka o ka wehewehe ʻana, e hiki ai iā kākou ke manaʻo e ʻike ʻia nā lāhui i loko o ka wānana i ka wā e pili loa ai lākou i ka poʻe o ke Akua a lilo ka ʻōlelo ʻana no lākou i mea e pono ai i mea e hoʻopihapiha pono ʻia ai nā moʻolelo o ka mōʻaukala hemolele.” I ka wā a Smith e hoʻoikaika ai i ia rula, hōʻike ʻo ia ua pili ʻo Roma me ka poʻe o ke Akua ma ka “kuʻikahi,” o ka paukū iwakāluakumamākolu i ka 161 BC, akā hōʻike pū ʻo Smith ua hoʻokomo mua ʻia ʻo Roma i loko o ka moʻolelo wānana ma ka 200 BC, he kanakolukūmāiwa makahiki ma mua o ka 161 BC.</w:t>
      </w:r>
    </w:p>
    <w:p>
      <w:pPr>
        <w:pStyle w:val="ArticleScripture"/>
        <w:jc w:val="left"/>
      </w:pPr>
      <w:r>
        <w:rPr>
          <w:rFonts w:ascii="Times New Roman" w:hAnsi="Times New Roman" w:eastAsia="Times New Roman" w:cs="Times New Roman"/>
        </w:rPr>
        <w:t>اوس یو نوی ځواک راپېژندل کېږي—«ستاسو د خلکو لوټماران»؛ بشپ نیوټن په لفظي ډول وایي: «ستاسو د خلکو ماتوونکي.» د ټایبر پر غاړو، په ډېر لرې ځای کې، یوه پاچاهي له جاه‌طلبو پروژو او تورو نقشو څخه ځان ته روزنه ورکوله. په پیل کې کوچنۍ او کمزورې وه، خو په ځواک او توان کې په حیرانوونکې چټکتیا وده وکړه، او دلته او هلته یې په احتیاط سره لاس غځاوه، څو خپله وړتیا وازمويي او د خپلې جګړه‌مارې مټې زور وازمېیي، تر دې چې، کله یې چې په خپل ځواک ځان خبر وموند، په زړورتیا یې د ځمکې د ملتونو په منځ کې سر راپورته کړ، او د هغوی د چارو واګې یې په نه ماتېدونکي لاس ونیولې. له دې وروسته د روم نوم د تاریخ پر مخ راڅرګندېږي، داسې برخلیک ورپه برخه چې د اوږدو پېړیو لپاره به د نړۍ چارې اداره کوي، او آن د زمانې تر پایه به د ملتونو په منځ کې ستر اغېز ښندي.</w:t>
      </w:r>
    </w:p>
    <w:p>
      <w:pPr>
        <w:pStyle w:val="ArticleScripture"/>
        <w:jc w:val="left"/>
      </w:pPr>
      <w:r>
        <w:rPr>
          <w:rFonts w:ascii="Times New Roman" w:hAnsi="Times New Roman" w:eastAsia="Times New Roman" w:cs="Times New Roman"/>
        </w:rPr>
        <w:t>«Мисрнин йәш батшаһы яҡланып ҡалырға тейеш, тигән ҡәтғи ҡарар менән римлеләр Антиох менән Филипп уйлап сығарған һәләкәттән уны аралап, эшкә ҡыҫылды. Рим һүҙен әйтте; һәм оҙаҡ та үтмәй, Сүриә менән Македония үҙҙәренең хыялдары йөҙөндәге үҙгәреште күрҙе. Был б. э. т. 200 йыл ине, һәм был римлеләрҙең Сүриә менән Мисыр эштәренә тәүге мөһим ҡыҫылыштарының береһе булды». Uriah Smith, Daniel and the Revelation, 256.</w:t>
      </w:r>
    </w:p>
    <w:p>
      <w:pPr>
        <w:pStyle w:val="ArticleBody"/>
        <w:jc w:val="left"/>
      </w:pPr>
      <w:r>
        <w:rPr>
          <w:rFonts w:ascii="Times New Roman" w:hAnsi="Times New Roman" w:eastAsia="Times New Roman" w:cs="Times New Roman"/>
        </w:rPr>
        <w:t>Roma bir ilk kez MÖ 200 yılında peygamberlik anlatısına dâhil edilir ve on dördüncü ayetteki bu takdim, Daniel kitabının tamamında Roma’ya ilişkin en önemli atıftır; zira görümü tesis eden simge olarak Roma’yı tanımlayan ayet bizzat budur. Smith’in peygamberlikte böyle bir kuralı vurguladıktan sonra MÖ 161 yılını zikretmesi ve aynı zamanda MÖ 200 yılını Roma gücünün “takdim edildiği” nokta olarak tanımlaması meselesi, çözmeyi arzu ettiğim bir sorun değildir. Eğer çözülmesi gereken bir sorum varsa, o da Smith tarafından tanımlanan bu kuralın geçerli olup olmadığıdır. Eğer geçerliyse, o takdirde on dördüncü ayetin, MÖ 161 yılındaki ittifaktan önce vuku bulan, Yahudilerle ilgili bir bağlantısının bulunması gerektiğini ileri sürerim.</w:t>
      </w:r>
    </w:p>
    <w:p>
      <w:pPr>
        <w:pStyle w:val="ArticleBody"/>
        <w:jc w:val="left"/>
      </w:pPr>
      <w:r>
        <w:rPr>
          <w:rFonts w:ascii="Times New Roman" w:hAnsi="Times New Roman" w:eastAsia="Times New Roman" w:cs="Times New Roman"/>
        </w:rPr>
        <w:t>J’ai compris que l’histoire des versets treize à quinze identifie une histoire des derniers jours où la Rome papale s’introduit elle-même dans l’histoire prophétique, et qu’elle le fait en relation avec les États-Unis, qui sont le peuple de Dieu dans cette histoire. Parce que Jésus illustre toujours la fin par le commencement, l’année 200 av. J.-C., lorsque la Rome païenne entra dans l’histoire, doit avoir un lien avec le peuple de Dieu dans cette histoire-là. Par conséquent, je suis d’accord avec la règle de Smith, même s’il n’a trouvé aucun lien direct entre Rome et les Juifs en l’an 200 av. J.-C.</w:t>
      </w:r>
    </w:p>
    <w:p>
      <w:pPr>
        <w:pStyle w:val="ArticleBody"/>
        <w:jc w:val="left"/>
      </w:pPr>
      <w:r>
        <w:rPr>
          <w:rFonts w:ascii="Nirmala UI" w:hAnsi="Nirmala UI" w:eastAsia="Nirmala UI" w:cs="Nirmala UI"/>
        </w:rPr>
        <w:t>वर्सेग्यारह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217 BC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सेल्यूसिड</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नेतृत्व</w:t>
      </w:r>
      <w:r>
        <w:rPr>
          <w:rFonts w:ascii="Times New Roman" w:hAnsi="Times New Roman" w:eastAsia="Times New Roman" w:cs="Times New Roman"/>
        </w:rPr>
        <w:t xml:space="preserve"> Antiochus III Magnus, </w:t>
      </w:r>
      <w:r>
        <w:rPr>
          <w:rFonts w:ascii="Nirmala UI" w:hAnsi="Nirmala UI" w:eastAsia="Nirmala UI" w:cs="Nirmala UI"/>
        </w:rPr>
        <w:t>अथवा</w:t>
      </w:r>
      <w:r>
        <w:rPr>
          <w:rFonts w:ascii="Times New Roman" w:hAnsi="Times New Roman" w:eastAsia="Times New Roman" w:cs="Times New Roman"/>
        </w:rPr>
        <w:t xml:space="preserve"> “The Great”,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टॉलेमिक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नेतृत्व</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Ptolemy IV Philopator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पलिश्तीन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टॉलेमिक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सेल्यूसिड</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विवादित</w:t>
      </w:r>
      <w:r>
        <w:rPr>
          <w:rFonts w:ascii="Times New Roman" w:hAnsi="Times New Roman" w:eastAsia="Times New Roman" w:cs="Times New Roman"/>
        </w:rPr>
        <w:t xml:space="preserve"> </w:t>
      </w:r>
      <w:r>
        <w:rPr>
          <w:rFonts w:ascii="Nirmala UI" w:hAnsi="Nirmala UI" w:eastAsia="Nirmala UI" w:cs="Nirmala UI"/>
        </w:rPr>
        <w:t>प्रदेश</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Ptolemy IV Philopator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पलिश्तीन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नियंत्रण</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w:t>
      </w:r>
    </w:p>
    <w:p>
      <w:pPr>
        <w:pStyle w:val="ArticleBody"/>
        <w:jc w:val="left"/>
      </w:pPr>
      <w:r>
        <w:rPr>
          <w:rFonts w:ascii="Times New Roman" w:hAnsi="Times New Roman" w:eastAsia="Times New Roman" w:cs="Times New Roman"/>
        </w:rPr>
        <w:t>Panium Savaşı, on yedi yıl sonra, MÖ 200 yılında meydana gelmiş olup, Panium Dağı Savaşı veya Paneas Savaşı olarak da bilinir; Kral III. Antiochus’un önderliğindeki Seleukos İmparatorluğu ile Kral V. Ptolemaios’un önderliğindeki Mısır’daki Ptolemaios Krallığı arasında gerçekleşmiştir.</w:t>
      </w:r>
    </w:p>
    <w:p>
      <w:pPr>
        <w:pStyle w:val="ArticleBody"/>
        <w:jc w:val="left"/>
      </w:pPr>
      <w:r>
        <w:rPr>
          <w:rFonts w:ascii="Leelawadee UI" w:hAnsi="Leelawadee UI" w:eastAsia="Leelawadee UI" w:cs="Leelawadee UI"/>
        </w:rPr>
        <w:t>៣១</w:t>
      </w:r>
      <w:r>
        <w:rPr>
          <w:rFonts w:ascii="Times New Roman" w:hAnsi="Times New Roman" w:eastAsia="Times New Roman" w:cs="Times New Roman"/>
        </w:rPr>
        <w:t xml:space="preserve"> </w:t>
      </w:r>
      <w:r>
        <w:rPr>
          <w:rFonts w:ascii="Leelawadee UI" w:hAnsi="Leelawadee UI" w:eastAsia="Leelawadee UI" w:cs="Leelawadee UI"/>
        </w:rPr>
        <w:t>ឆ្នាំក្រោយមក</w:t>
      </w:r>
      <w:r>
        <w:rPr>
          <w:rFonts w:ascii="Times New Roman" w:hAnsi="Times New Roman" w:eastAsia="Times New Roman" w:cs="Times New Roman"/>
        </w:rPr>
        <w:t xml:space="preserve"> </w:t>
      </w:r>
      <w:r>
        <w:rPr>
          <w:rFonts w:ascii="Leelawadee UI" w:hAnsi="Leelawadee UI" w:eastAsia="Leelawadee UI" w:cs="Leelawadee UI"/>
        </w:rPr>
        <w:t>គឺនៅឆ្នាំ</w:t>
      </w:r>
      <w:r>
        <w:rPr>
          <w:rFonts w:ascii="Times New Roman" w:hAnsi="Times New Roman" w:eastAsia="Times New Roman" w:cs="Times New Roman"/>
        </w:rPr>
        <w:t xml:space="preserve"> </w:t>
      </w:r>
      <w:r>
        <w:rPr>
          <w:rFonts w:ascii="Leelawadee UI" w:hAnsi="Leelawadee UI" w:eastAsia="Leelawadee UI" w:cs="Leelawadee UI"/>
        </w:rPr>
        <w:t>១៦៧</w:t>
      </w:r>
      <w:r>
        <w:rPr>
          <w:rFonts w:ascii="Times New Roman" w:hAnsi="Times New Roman" w:eastAsia="Times New Roman" w:cs="Times New Roman"/>
        </w:rPr>
        <w:t xml:space="preserve"> </w:t>
      </w:r>
      <w:r>
        <w:rPr>
          <w:rFonts w:ascii="Leelawadee UI" w:hAnsi="Leelawadee UI" w:eastAsia="Leelawadee UI" w:cs="Leelawadee UI"/>
        </w:rPr>
        <w:t>មុនគ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ការបះបោរម៉ាកាបេ</w:t>
      </w:r>
      <w:r>
        <w:rPr>
          <w:rFonts w:ascii="Times New Roman" w:hAnsi="Times New Roman" w:eastAsia="Times New Roman" w:cs="Times New Roman"/>
        </w:rPr>
        <w:t xml:space="preserve"> </w:t>
      </w:r>
      <w:r>
        <w:rPr>
          <w:rFonts w:ascii="Leelawadee UI" w:hAnsi="Leelawadee UI" w:eastAsia="Leelawadee UI" w:cs="Leelawadee UI"/>
        </w:rPr>
        <w:t>ដែលជាការបះបោររបស់ជនជាតិយូដាប្រឆាំងនឹងការប៉ុនប៉ងរបស់អាណាចក្រសេលេអ៊ុយស៊ីដក្នុងការបង្ក្រាបការអនុវត្តសាសនារបស់ជនជាតិយូដា</w:t>
      </w:r>
      <w:r>
        <w:rPr>
          <w:rFonts w:ascii="Times New Roman" w:hAnsi="Times New Roman" w:eastAsia="Times New Roman" w:cs="Times New Roman"/>
        </w:rPr>
        <w:t xml:space="preserve"> </w:t>
      </w:r>
      <w:r>
        <w:rPr>
          <w:rFonts w:ascii="Leelawadee UI" w:hAnsi="Leelawadee UI" w:eastAsia="Leelawadee UI" w:cs="Leelawadee UI"/>
        </w:rPr>
        <w:t>និងបង្ខំឲ្យទទួលយកវប្បធម៌ហេលេននិយម</w:t>
      </w:r>
      <w:r>
        <w:rPr>
          <w:rFonts w:ascii="Times New Roman" w:hAnsi="Times New Roman" w:eastAsia="Times New Roman" w:cs="Times New Roman"/>
        </w:rPr>
        <w:t xml:space="preserve"> </w:t>
      </w:r>
      <w:r>
        <w:rPr>
          <w:rFonts w:ascii="Leelawadee UI" w:hAnsi="Leelawadee UI" w:eastAsia="Leelawadee UI" w:cs="Leelawadee UI"/>
        </w:rPr>
        <w:t>បានចាប់ផ្តើមឡើងនៅទីក្រុងម៉ូឌេអ៊ីន</w:t>
      </w:r>
      <w:r>
        <w:rPr>
          <w:rFonts w:ascii="Times New Roman" w:hAnsi="Times New Roman" w:eastAsia="Times New Roman" w:cs="Times New Roman"/>
        </w:rPr>
        <w:t xml:space="preserve"> </w:t>
      </w:r>
      <w:r>
        <w:rPr>
          <w:rFonts w:ascii="Leelawadee UI" w:hAnsi="Leelawadee UI" w:eastAsia="Leelawadee UI" w:cs="Leelawadee UI"/>
        </w:rPr>
        <w:t>ជាទីក្រុងតូចមួយស្ថិតនៅក្នុងតំបន់យូដា</w:t>
      </w:r>
      <w:r>
        <w:rPr>
          <w:rFonts w:ascii="Times New Roman" w:hAnsi="Times New Roman" w:eastAsia="Times New Roman" w:cs="Times New Roman"/>
        </w:rPr>
        <w:t xml:space="preserve"> </w:t>
      </w:r>
      <w:r>
        <w:rPr>
          <w:rFonts w:ascii="Leelawadee UI" w:hAnsi="Leelawadee UI" w:eastAsia="Leelawadee UI" w:cs="Leelawadee UI"/>
        </w:rPr>
        <w:t>ដែលសព្វថ្ងៃស្ថិតនៅក្នុងប្រទេសអ៊ីស្រាអែលទំនើប។</w:t>
      </w:r>
    </w:p>
    <w:p>
      <w:pPr>
        <w:pStyle w:val="ArticleBody"/>
        <w:jc w:val="left"/>
      </w:pPr>
      <w:r>
        <w:rPr>
          <w:rFonts w:ascii="Times New Roman" w:hAnsi="Times New Roman" w:eastAsia="Times New Roman" w:cs="Times New Roman"/>
        </w:rPr>
        <w:t>Le fait en question concernait l’infâme souverain grec séleucide, Antiochos IV Épiphane, qui avait imposé à la population juive de strictes pratiques hellénistiques, notamment l’interdiction des observances religieuses juives et la profanation du Temple à Jérusalem. Dans le but de faire appliquer ses décrets, Antiochos envoya des représentants dans diverses villes et divers villages afin de contraindre les habitants juifs à se conformer à ses ordres.</w:t>
      </w:r>
    </w:p>
    <w:p>
      <w:pPr>
        <w:pStyle w:val="ArticleBody"/>
        <w:jc w:val="left"/>
      </w:pPr>
      <w:r>
        <w:rPr>
          <w:rFonts w:ascii="Times New Roman" w:hAnsi="Times New Roman" w:eastAsia="Times New Roman" w:cs="Times New Roman"/>
        </w:rPr>
        <w:t>In Modein, alikuwapo mmoja wa maafisa wa Seleukia ili kutekeleza amri ya mfalme kwa kuwaamuru wakaaji Wayahudi washiriki katika ibada za kipagani na kutoa dhabihu kwa miungu ya Kigiriki. Kuhani mmoja Myahudi mzee, aitwaye Mattathias, alikataa kutii amri hiyo, akamuua Myahudi aliyesonga mbele kutoa dhabihu hiyo pamoja na afisa wa Seleukia. Tendo hilo la ukaidi la Mattathias na familia yake lilitia alama mwanzo wa Uasi wa Wamakabayo dhidi ya utawala wa Seleukia.</w:t>
      </w:r>
    </w:p>
    <w:p>
      <w:pPr>
        <w:pStyle w:val="ArticleBody"/>
        <w:jc w:val="left"/>
      </w:pPr>
      <w:r>
        <w:rPr>
          <w:rFonts w:ascii="Myanmar Text" w:hAnsi="Myanmar Text" w:eastAsia="Myanmar Text" w:cs="Myanmar Text"/>
        </w:rPr>
        <w:t>မတ်တသိယနှင့်</w:t>
      </w:r>
      <w:r>
        <w:rPr>
          <w:rFonts w:ascii="Times New Roman" w:hAnsi="Times New Roman" w:eastAsia="Times New Roman" w:cs="Times New Roman"/>
        </w:rPr>
        <w:t xml:space="preserve"> </w:t>
      </w:r>
      <w:r>
        <w:rPr>
          <w:rFonts w:ascii="Myanmar Text" w:hAnsi="Myanmar Text" w:eastAsia="Myanmar Text" w:cs="Myanmar Text"/>
        </w:rPr>
        <w:t>ယုဒ</w:t>
      </w:r>
      <w:r>
        <w:rPr>
          <w:rFonts w:ascii="Times New Roman" w:hAnsi="Times New Roman" w:eastAsia="Times New Roman" w:cs="Times New Roman"/>
        </w:rPr>
        <w:t xml:space="preserve"> </w:t>
      </w:r>
      <w:r>
        <w:rPr>
          <w:rFonts w:ascii="Myanmar Text" w:hAnsi="Myanmar Text" w:eastAsia="Myanmar Text" w:cs="Myanmar Text"/>
        </w:rPr>
        <w:t>မက္ကဘေ</w:t>
      </w:r>
      <w:r>
        <w:rPr>
          <w:rFonts w:ascii="Times New Roman" w:hAnsi="Times New Roman" w:eastAsia="Times New Roman" w:cs="Times New Roman"/>
        </w:rPr>
        <w:t xml:space="preserve"> </w:t>
      </w:r>
      <w:r>
        <w:rPr>
          <w:rFonts w:ascii="Myanmar Text" w:hAnsi="Myanmar Text" w:eastAsia="Myanmar Text" w:cs="Myanmar Text"/>
        </w:rPr>
        <w:t>အပါအဝင်</w:t>
      </w:r>
      <w:r>
        <w:rPr>
          <w:rFonts w:ascii="Times New Roman" w:hAnsi="Times New Roman" w:eastAsia="Times New Roman" w:cs="Times New Roman"/>
        </w:rPr>
        <w:t xml:space="preserve"> </w:t>
      </w:r>
      <w:r>
        <w:rPr>
          <w:rFonts w:ascii="Myanmar Text" w:hAnsi="Myanmar Text" w:eastAsia="Myanmar Text" w:cs="Myanmar Text"/>
        </w:rPr>
        <w:t>သူ၏သားငါးယောက်တို့သည်</w:t>
      </w:r>
      <w:r>
        <w:rPr>
          <w:rFonts w:ascii="Times New Roman" w:hAnsi="Times New Roman" w:eastAsia="Times New Roman" w:cs="Times New Roman"/>
        </w:rPr>
        <w:t xml:space="preserve"> </w:t>
      </w:r>
      <w:r>
        <w:rPr>
          <w:rFonts w:ascii="Myanmar Text" w:hAnsi="Myanmar Text" w:eastAsia="Myanmar Text" w:cs="Myanmar Text"/>
        </w:rPr>
        <w:t>တောင်ကုန်းဒေသများသို့</w:t>
      </w:r>
      <w:r>
        <w:rPr>
          <w:rFonts w:ascii="Times New Roman" w:hAnsi="Times New Roman" w:eastAsia="Times New Roman" w:cs="Times New Roman"/>
        </w:rPr>
        <w:t xml:space="preserve"> </w:t>
      </w:r>
      <w:r>
        <w:rPr>
          <w:rFonts w:ascii="Myanmar Text" w:hAnsi="Myanmar Text" w:eastAsia="Myanmar Text" w:cs="Myanmar Text"/>
        </w:rPr>
        <w:t>ထွက်ပြေးကာ</w:t>
      </w:r>
      <w:r>
        <w:rPr>
          <w:rFonts w:ascii="Times New Roman" w:hAnsi="Times New Roman" w:eastAsia="Times New Roman" w:cs="Times New Roman"/>
        </w:rPr>
        <w:t xml:space="preserve"> </w:t>
      </w:r>
      <w:r>
        <w:rPr>
          <w:rFonts w:ascii="Myanmar Text" w:hAnsi="Myanmar Text" w:eastAsia="Myanmar Text" w:cs="Myanmar Text"/>
        </w:rPr>
        <w:t>ဆဲလျူစစ်တပ်များကို</w:t>
      </w:r>
      <w:r>
        <w:rPr>
          <w:rFonts w:ascii="Times New Roman" w:hAnsi="Times New Roman" w:eastAsia="Times New Roman" w:cs="Times New Roman"/>
        </w:rPr>
        <w:t xml:space="preserve"> </w:t>
      </w:r>
      <w:r>
        <w:rPr>
          <w:rFonts w:ascii="Myanmar Text" w:hAnsi="Myanmar Text" w:eastAsia="Myanmar Text" w:cs="Myanmar Text"/>
        </w:rPr>
        <w:t>ဆန့်ကျင်သော</w:t>
      </w:r>
      <w:r>
        <w:rPr>
          <w:rFonts w:ascii="Times New Roman" w:hAnsi="Times New Roman" w:eastAsia="Times New Roman" w:cs="Times New Roman"/>
        </w:rPr>
        <w:t xml:space="preserve"> </w:t>
      </w:r>
      <w:r>
        <w:rPr>
          <w:rFonts w:ascii="Myanmar Text" w:hAnsi="Myanmar Text" w:eastAsia="Myanmar Text" w:cs="Myanmar Text"/>
        </w:rPr>
        <w:t>ဂျရီလာစစ်ပွဲကို</w:t>
      </w:r>
      <w:r>
        <w:rPr>
          <w:rFonts w:ascii="Times New Roman" w:hAnsi="Times New Roman" w:eastAsia="Times New Roman" w:cs="Times New Roman"/>
        </w:rPr>
        <w:t xml:space="preserve"> </w:t>
      </w:r>
      <w:r>
        <w:rPr>
          <w:rFonts w:ascii="Myanmar Text" w:hAnsi="Myanmar Text" w:eastAsia="Myanmar Text" w:cs="Myanmar Text"/>
        </w:rPr>
        <w:t>စတင်ခဲ့ကြသည်။</w:t>
      </w:r>
      <w:r>
        <w:rPr>
          <w:rFonts w:ascii="Times New Roman" w:hAnsi="Times New Roman" w:eastAsia="Times New Roman" w:cs="Times New Roman"/>
        </w:rPr>
        <w:t xml:space="preserve"> </w:t>
      </w:r>
      <w:r>
        <w:rPr>
          <w:rFonts w:ascii="Myanmar Text" w:hAnsi="Myanmar Text" w:eastAsia="Myanmar Text" w:cs="Myanmar Text"/>
        </w:rPr>
        <w:t>ထိုပုန်ကန်ရေးသည်</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အင်အားနှင့်</w:t>
      </w:r>
      <w:r>
        <w:rPr>
          <w:rFonts w:ascii="Times New Roman" w:hAnsi="Times New Roman" w:eastAsia="Times New Roman" w:cs="Times New Roman"/>
        </w:rPr>
        <w:t xml:space="preserve"> </w:t>
      </w:r>
      <w:r>
        <w:rPr>
          <w:rFonts w:ascii="Myanmar Text" w:hAnsi="Myanmar Text" w:eastAsia="Myanmar Text" w:cs="Myanmar Text"/>
        </w:rPr>
        <w:t>ထောက်ခံမှုတိုးပွားလာကာ၊</w:t>
      </w:r>
      <w:r>
        <w:rPr>
          <w:rFonts w:ascii="Times New Roman" w:hAnsi="Times New Roman" w:eastAsia="Times New Roman" w:cs="Times New Roman"/>
        </w:rPr>
        <w:t xml:space="preserve"> </w:t>
      </w:r>
      <w:r>
        <w:rPr>
          <w:rFonts w:ascii="Myanmar Text" w:hAnsi="Myanmar Text" w:eastAsia="Myanmar Text" w:cs="Myanmar Text"/>
        </w:rPr>
        <w:t>ဆဲလျူစစ်တို့ကို</w:t>
      </w:r>
      <w:r>
        <w:rPr>
          <w:rFonts w:ascii="Times New Roman" w:hAnsi="Times New Roman" w:eastAsia="Times New Roman" w:cs="Times New Roman"/>
        </w:rPr>
        <w:t xml:space="preserve"> </w:t>
      </w:r>
      <w:r>
        <w:rPr>
          <w:rFonts w:ascii="Myanmar Text" w:hAnsi="Myanmar Text" w:eastAsia="Myanmar Text" w:cs="Myanmar Text"/>
        </w:rPr>
        <w:t>ဆန့်ကျင်သော</w:t>
      </w:r>
      <w:r>
        <w:rPr>
          <w:rFonts w:ascii="Times New Roman" w:hAnsi="Times New Roman" w:eastAsia="Times New Roman" w:cs="Times New Roman"/>
        </w:rPr>
        <w:t xml:space="preserve"> </w:t>
      </w:r>
      <w:r>
        <w:rPr>
          <w:rFonts w:ascii="Myanmar Text" w:hAnsi="Myanmar Text" w:eastAsia="Myanmar Text" w:cs="Myanmar Text"/>
        </w:rPr>
        <w:t>စစ်ရေးအောင်ပွဲများ</w:t>
      </w:r>
      <w:r>
        <w:rPr>
          <w:rFonts w:ascii="Times New Roman" w:hAnsi="Times New Roman" w:eastAsia="Times New Roman" w:cs="Times New Roman"/>
        </w:rPr>
        <w:t xml:space="preserve"> </w:t>
      </w:r>
      <w:r>
        <w:rPr>
          <w:rFonts w:ascii="Myanmar Text" w:hAnsi="Myanmar Text" w:eastAsia="Myanmar Text" w:cs="Myanmar Text"/>
        </w:rPr>
        <w:t>အစဉ်လိုက်</w:t>
      </w:r>
      <w:r>
        <w:rPr>
          <w:rFonts w:ascii="Times New Roman" w:hAnsi="Times New Roman" w:eastAsia="Times New Roman" w:cs="Times New Roman"/>
        </w:rPr>
        <w:t xml:space="preserve"> </w:t>
      </w:r>
      <w:r>
        <w:rPr>
          <w:rFonts w:ascii="Myanmar Text" w:hAnsi="Myanmar Text" w:eastAsia="Myanmar Text" w:cs="Myanmar Text"/>
        </w:rPr>
        <w:t>ပေါ်ပေါက်စေခဲ့သည်။</w:t>
      </w:r>
    </w:p>
    <w:p>
      <w:pPr>
        <w:pStyle w:val="ArticleBody"/>
        <w:jc w:val="left"/>
      </w:pPr>
      <w:r>
        <w:rPr>
          <w:rFonts w:ascii="Times New Roman" w:hAnsi="Times New Roman" w:eastAsia="Times New Roman" w:cs="Times New Roman"/>
        </w:rPr>
        <w:t>Οι γεγονότα στη Μωδεΐν το 167 π.Χ. υπήρξαν καίρια στιγμή στην εβραϊκή ιστορία, σηματοδοτώντας την έναρξη της Εξέγερσης των Μακκαβαίων και του αγώνα για θρησκευτική ελευθερία και ανεξαρτησία απέναντι σε ξένη κυριαρχία. Ο επανεγκαινιασμός του δευτέρου ναού στην Ιερουσαλήμ, ο οποίος σηματοδοτεί το ιστορικό γεγονός που εορτάζεται κατά τη Χανουκά, έλαβε χώρα το 164 π.Χ., τρία έτη πριν από τη «συμμαχία» του εδαφίου είκοσι τρία.</w:t>
      </w:r>
    </w:p>
    <w:p>
      <w:pPr>
        <w:pStyle w:val="ArticleBody"/>
        <w:jc w:val="left"/>
      </w:pPr>
      <w:r>
        <w:rPr>
          <w:rFonts w:ascii="Malgun Gothic" w:hAnsi="Malgun Gothic" w:eastAsia="Malgun Gothic" w:cs="Malgun Gothic"/>
        </w:rPr>
        <w:t>포</w:t>
      </w:r>
      <w:r>
        <w:rPr>
          <w:rFonts w:ascii="Nirmala UI" w:hAnsi="Nirmala UI" w:eastAsia="Nirmala UI" w:cs="Nirmala UI"/>
        </w:rPr>
        <w:t>ൾ</w:t>
      </w:r>
      <w:r>
        <w:rPr>
          <w:rFonts w:ascii="Times New Roman" w:hAnsi="Times New Roman" w:eastAsia="Times New Roman" w:cs="Times New Roman"/>
        </w:rPr>
        <w:t xml:space="preserve"> </w:t>
      </w:r>
      <w:r>
        <w:rPr>
          <w:rFonts w:ascii="Sylfaen" w:hAnsi="Sylfaen" w:eastAsia="Sylfaen" w:cs="Sylfaen"/>
        </w:rPr>
        <w:t>ჰ</w:t>
      </w:r>
      <w:r>
        <w:rPr>
          <w:rFonts w:ascii="Leelawadee UI" w:hAnsi="Leelawadee UI" w:eastAsia="Leelawadee UI" w:cs="Leelawadee UI"/>
        </w:rPr>
        <w:t>ែល</w:t>
      </w:r>
      <w:r>
        <w:rPr>
          <w:rFonts w:ascii="Nirmala UI" w:hAnsi="Nirmala UI" w:eastAsia="Nirmala UI" w:cs="Nirmala UI"/>
        </w:rPr>
        <w:t>স</w:t>
      </w:r>
      <w:r>
        <w:rPr>
          <w:rFonts w:ascii="Sylfaen" w:hAnsi="Sylfaen" w:eastAsia="Sylfaen" w:cs="Sylfaen"/>
        </w:rPr>
        <w:t>ალემ</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성전을</w:t>
      </w:r>
      <w:r>
        <w:rPr>
          <w:rFonts w:ascii="Times New Roman" w:hAnsi="Times New Roman" w:eastAsia="Times New Roman" w:cs="Times New Roman"/>
        </w:rPr>
        <w:t xml:space="preserve"> </w:t>
      </w:r>
      <w:r>
        <w:rPr>
          <w:rFonts w:ascii="Malgun Gothic" w:hAnsi="Malgun Gothic" w:eastAsia="Malgun Gothic" w:cs="Malgun Gothic"/>
        </w:rPr>
        <w:t>되찾은</w:t>
      </w:r>
      <w:r>
        <w:rPr>
          <w:rFonts w:ascii="Times New Roman" w:hAnsi="Times New Roman" w:eastAsia="Times New Roman" w:cs="Times New Roman"/>
        </w:rPr>
        <w:t xml:space="preserve"> </w:t>
      </w:r>
      <w:r>
        <w:rPr>
          <w:rFonts w:ascii="Malgun Gothic" w:hAnsi="Malgun Gothic" w:eastAsia="Malgun Gothic" w:cs="Malgun Gothic"/>
        </w:rPr>
        <w:t>뒤</w:t>
      </w:r>
      <w:r>
        <w:rPr>
          <w:rFonts w:ascii="Times New Roman" w:hAnsi="Times New Roman" w:eastAsia="Times New Roman" w:cs="Times New Roman"/>
        </w:rPr>
        <w:t xml:space="preserve">, </w:t>
      </w:r>
      <w:r>
        <w:rPr>
          <w:rFonts w:ascii="Malgun Gothic" w:hAnsi="Malgun Gothic" w:eastAsia="Malgun Gothic" w:cs="Malgun Gothic"/>
        </w:rPr>
        <w:t>마카베오들은</w:t>
      </w:r>
      <w:r>
        <w:rPr>
          <w:rFonts w:ascii="Times New Roman" w:hAnsi="Times New Roman" w:eastAsia="Times New Roman" w:cs="Times New Roman"/>
        </w:rPr>
        <w:t xml:space="preserve"> </w:t>
      </w:r>
      <w:r>
        <w:rPr>
          <w:rFonts w:ascii="Malgun Gothic" w:hAnsi="Malgun Gothic" w:eastAsia="Malgun Gothic" w:cs="Malgun Gothic"/>
        </w:rPr>
        <w:t>이교적</w:t>
      </w:r>
      <w:r>
        <w:rPr>
          <w:rFonts w:ascii="Times New Roman" w:hAnsi="Times New Roman" w:eastAsia="Times New Roman" w:cs="Times New Roman"/>
        </w:rPr>
        <w:t xml:space="preserve"> </w:t>
      </w:r>
      <w:r>
        <w:rPr>
          <w:rFonts w:ascii="Malgun Gothic" w:hAnsi="Malgun Gothic" w:eastAsia="Malgun Gothic" w:cs="Malgun Gothic"/>
        </w:rPr>
        <w:t>더러움에서</w:t>
      </w:r>
      <w:r>
        <w:rPr>
          <w:rFonts w:ascii="Times New Roman" w:hAnsi="Times New Roman" w:eastAsia="Times New Roman" w:cs="Times New Roman"/>
        </w:rPr>
        <w:t xml:space="preserve"> </w:t>
      </w:r>
      <w:r>
        <w:rPr>
          <w:rFonts w:ascii="Malgun Gothic" w:hAnsi="Malgun Gothic" w:eastAsia="Malgun Gothic" w:cs="Malgun Gothic"/>
        </w:rPr>
        <w:t>성전을</w:t>
      </w:r>
      <w:r>
        <w:rPr>
          <w:rFonts w:ascii="Times New Roman" w:hAnsi="Times New Roman" w:eastAsia="Times New Roman" w:cs="Times New Roman"/>
        </w:rPr>
        <w:t xml:space="preserve"> </w:t>
      </w:r>
      <w:r>
        <w:rPr>
          <w:rFonts w:ascii="Malgun Gothic" w:hAnsi="Malgun Gothic" w:eastAsia="Malgun Gothic" w:cs="Malgun Gothic"/>
        </w:rPr>
        <w:t>정결하게</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본래의</w:t>
      </w:r>
      <w:r>
        <w:rPr>
          <w:rFonts w:ascii="Times New Roman" w:hAnsi="Times New Roman" w:eastAsia="Times New Roman" w:cs="Times New Roman"/>
        </w:rPr>
        <w:t xml:space="preserve"> </w:t>
      </w:r>
      <w:r>
        <w:rPr>
          <w:rFonts w:ascii="Malgun Gothic" w:hAnsi="Malgun Gothic" w:eastAsia="Malgun Gothic" w:cs="Malgun Gothic"/>
        </w:rPr>
        <w:t>종교적</w:t>
      </w:r>
      <w:r>
        <w:rPr>
          <w:rFonts w:ascii="Times New Roman" w:hAnsi="Times New Roman" w:eastAsia="Times New Roman" w:cs="Times New Roman"/>
        </w:rPr>
        <w:t xml:space="preserve"> </w:t>
      </w:r>
      <w:r>
        <w:rPr>
          <w:rFonts w:ascii="Malgun Gothic" w:hAnsi="Malgun Gothic" w:eastAsia="Malgun Gothic" w:cs="Malgun Gothic"/>
        </w:rPr>
        <w:t>용도로</w:t>
      </w:r>
      <w:r>
        <w:rPr>
          <w:rFonts w:ascii="Times New Roman" w:hAnsi="Times New Roman" w:eastAsia="Times New Roman" w:cs="Times New Roman"/>
        </w:rPr>
        <w:t xml:space="preserve"> </w:t>
      </w:r>
      <w:r>
        <w:rPr>
          <w:rFonts w:ascii="Malgun Gothic" w:hAnsi="Malgun Gothic" w:eastAsia="Malgun Gothic" w:cs="Malgun Gothic"/>
        </w:rPr>
        <w:t>회복시켰다</w:t>
      </w:r>
      <w:r>
        <w:rPr>
          <w:rFonts w:ascii="Times New Roman" w:hAnsi="Times New Roman" w:eastAsia="Times New Roman" w:cs="Times New Roman"/>
        </w:rPr>
        <w:t xml:space="preserve">. </w:t>
      </w:r>
      <w:r>
        <w:rPr>
          <w:rFonts w:ascii="Malgun Gothic" w:hAnsi="Malgun Gothic" w:eastAsia="Malgun Gothic" w:cs="Malgun Gothic"/>
        </w:rPr>
        <w:t>전승에</w:t>
      </w:r>
      <w:r>
        <w:rPr>
          <w:rFonts w:ascii="Times New Roman" w:hAnsi="Times New Roman" w:eastAsia="Times New Roman" w:cs="Times New Roman"/>
        </w:rPr>
        <w:t xml:space="preserve"> </w:t>
      </w:r>
      <w:r>
        <w:rPr>
          <w:rFonts w:ascii="Malgun Gothic" w:hAnsi="Malgun Gothic" w:eastAsia="Malgun Gothic" w:cs="Malgun Gothic"/>
        </w:rPr>
        <w:t>따르면</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봉헌된</w:t>
      </w:r>
      <w:r>
        <w:rPr>
          <w:rFonts w:ascii="Times New Roman" w:hAnsi="Times New Roman" w:eastAsia="Times New Roman" w:cs="Times New Roman"/>
        </w:rPr>
        <w:t xml:space="preserve"> </w:t>
      </w:r>
      <w:r>
        <w:rPr>
          <w:rFonts w:ascii="Malgun Gothic" w:hAnsi="Malgun Gothic" w:eastAsia="Malgun Gothic" w:cs="Malgun Gothic"/>
        </w:rPr>
        <w:t>기름이</w:t>
      </w:r>
      <w:r>
        <w:rPr>
          <w:rFonts w:ascii="Times New Roman" w:hAnsi="Times New Roman" w:eastAsia="Times New Roman" w:cs="Times New Roman"/>
        </w:rPr>
        <w:t xml:space="preserve"> </w:t>
      </w:r>
      <w:r>
        <w:rPr>
          <w:rFonts w:ascii="Malgun Gothic" w:hAnsi="Malgun Gothic" w:eastAsia="Malgun Gothic" w:cs="Malgun Gothic"/>
        </w:rPr>
        <w:t>든</w:t>
      </w:r>
      <w:r>
        <w:rPr>
          <w:rFonts w:ascii="Times New Roman" w:hAnsi="Times New Roman" w:eastAsia="Times New Roman" w:cs="Times New Roman"/>
        </w:rPr>
        <w:t xml:space="preserve"> </w:t>
      </w:r>
      <w:r>
        <w:rPr>
          <w:rFonts w:ascii="Malgun Gothic" w:hAnsi="Malgun Gothic" w:eastAsia="Malgun Gothic" w:cs="Malgun Gothic"/>
        </w:rPr>
        <w:t>단</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병만을</w:t>
      </w:r>
      <w:r>
        <w:rPr>
          <w:rFonts w:ascii="Times New Roman" w:hAnsi="Times New Roman" w:eastAsia="Times New Roman" w:cs="Times New Roman"/>
        </w:rPr>
        <w:t xml:space="preserve"> </w:t>
      </w:r>
      <w:r>
        <w:rPr>
          <w:rFonts w:ascii="Malgun Gothic" w:hAnsi="Malgun Gothic" w:eastAsia="Malgun Gothic" w:cs="Malgun Gothic"/>
        </w:rPr>
        <w:t>발견하였는데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메노라에</w:t>
      </w:r>
      <w:r>
        <w:rPr>
          <w:rFonts w:ascii="Times New Roman" w:hAnsi="Times New Roman" w:eastAsia="Times New Roman" w:cs="Times New Roman"/>
        </w:rPr>
        <w:t xml:space="preserve"> </w:t>
      </w:r>
      <w:r>
        <w:rPr>
          <w:rFonts w:ascii="Malgun Gothic" w:hAnsi="Malgun Gothic" w:eastAsia="Malgun Gothic" w:cs="Malgun Gothic"/>
        </w:rPr>
        <w:t>단</w:t>
      </w:r>
      <w:r>
        <w:rPr>
          <w:rFonts w:ascii="Times New Roman" w:hAnsi="Times New Roman" w:eastAsia="Times New Roman" w:cs="Times New Roman"/>
        </w:rPr>
        <w:t xml:space="preserve"> </w:t>
      </w:r>
      <w:r>
        <w:rPr>
          <w:rFonts w:ascii="Malgun Gothic" w:hAnsi="Malgun Gothic" w:eastAsia="Malgun Gothic" w:cs="Malgun Gothic"/>
        </w:rPr>
        <w:t>하루</w:t>
      </w:r>
      <w:r>
        <w:rPr>
          <w:rFonts w:ascii="Times New Roman" w:hAnsi="Times New Roman" w:eastAsia="Times New Roman" w:cs="Times New Roman"/>
        </w:rPr>
        <w:t xml:space="preserve"> </w:t>
      </w:r>
      <w:r>
        <w:rPr>
          <w:rFonts w:ascii="Malgun Gothic" w:hAnsi="Malgun Gothic" w:eastAsia="Malgun Gothic" w:cs="Malgun Gothic"/>
        </w:rPr>
        <w:t>동안만</w:t>
      </w:r>
      <w:r>
        <w:rPr>
          <w:rFonts w:ascii="Times New Roman" w:hAnsi="Times New Roman" w:eastAsia="Times New Roman" w:cs="Times New Roman"/>
        </w:rPr>
        <w:t xml:space="preserve"> </w:t>
      </w:r>
      <w:r>
        <w:rPr>
          <w:rFonts w:ascii="Malgun Gothic" w:hAnsi="Malgun Gothic" w:eastAsia="Malgun Gothic" w:cs="Malgun Gothic"/>
        </w:rPr>
        <w:t>불을</w:t>
      </w:r>
      <w:r>
        <w:rPr>
          <w:rFonts w:ascii="Times New Roman" w:hAnsi="Times New Roman" w:eastAsia="Times New Roman" w:cs="Times New Roman"/>
        </w:rPr>
        <w:t xml:space="preserve"> </w:t>
      </w:r>
      <w:r>
        <w:rPr>
          <w:rFonts w:ascii="Malgun Gothic" w:hAnsi="Malgun Gothic" w:eastAsia="Malgun Gothic" w:cs="Malgun Gothic"/>
        </w:rPr>
        <w:t>밝힐</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분량이었다</w:t>
      </w:r>
      <w:r>
        <w:rPr>
          <w:rFonts w:ascii="Times New Roman" w:hAnsi="Times New Roman" w:eastAsia="Times New Roman" w:cs="Times New Roman"/>
        </w:rPr>
        <w:t xml:space="preserve">. </w:t>
      </w:r>
      <w:r>
        <w:rPr>
          <w:rFonts w:ascii="Malgun Gothic" w:hAnsi="Malgun Gothic" w:eastAsia="Malgun Gothic" w:cs="Malgun Gothic"/>
        </w:rPr>
        <w:t>실제로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사건에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동시대의</w:t>
      </w:r>
      <w:r>
        <w:rPr>
          <w:rFonts w:ascii="Times New Roman" w:hAnsi="Times New Roman" w:eastAsia="Times New Roman" w:cs="Times New Roman"/>
        </w:rPr>
        <w:t xml:space="preserve"> </w:t>
      </w:r>
      <w:r>
        <w:rPr>
          <w:rFonts w:ascii="Malgun Gothic" w:hAnsi="Malgun Gothic" w:eastAsia="Malgun Gothic" w:cs="Malgun Gothic"/>
        </w:rPr>
        <w:t>역사적</w:t>
      </w:r>
      <w:r>
        <w:rPr>
          <w:rFonts w:ascii="Times New Roman" w:hAnsi="Times New Roman" w:eastAsia="Times New Roman" w:cs="Times New Roman"/>
        </w:rPr>
        <w:t xml:space="preserve"> </w:t>
      </w:r>
      <w:r>
        <w:rPr>
          <w:rFonts w:ascii="Malgun Gothic" w:hAnsi="Malgun Gothic" w:eastAsia="Malgun Gothic" w:cs="Malgun Gothic"/>
        </w:rPr>
        <w:t>증언은</w:t>
      </w:r>
      <w:r>
        <w:rPr>
          <w:rFonts w:ascii="Times New Roman" w:hAnsi="Times New Roman" w:eastAsia="Times New Roman" w:cs="Times New Roman"/>
        </w:rPr>
        <w:t xml:space="preserve"> </w:t>
      </w:r>
      <w:r>
        <w:rPr>
          <w:rFonts w:ascii="Malgun Gothic" w:hAnsi="Malgun Gothic" w:eastAsia="Malgun Gothic" w:cs="Malgun Gothic"/>
        </w:rPr>
        <w:t>존재하지</w:t>
      </w:r>
      <w:r>
        <w:rPr>
          <w:rFonts w:ascii="Times New Roman" w:hAnsi="Times New Roman" w:eastAsia="Times New Roman" w:cs="Times New Roman"/>
        </w:rPr>
        <w:t xml:space="preserve"> </w:t>
      </w:r>
      <w:r>
        <w:rPr>
          <w:rFonts w:ascii="Malgun Gothic" w:hAnsi="Malgun Gothic" w:eastAsia="Malgun Gothic" w:cs="Malgun Gothic"/>
        </w:rPr>
        <w:t>않으며</w:t>
      </w:r>
      <w:r>
        <w:rPr>
          <w:rFonts w:ascii="Times New Roman" w:hAnsi="Times New Roman" w:eastAsia="Times New Roman" w:cs="Times New Roman"/>
        </w:rPr>
        <w:t xml:space="preserve">, </w:t>
      </w:r>
      <w:r>
        <w:rPr>
          <w:rFonts w:ascii="Malgun Gothic" w:hAnsi="Malgun Gothic" w:eastAsia="Malgun Gothic" w:cs="Malgun Gothic"/>
        </w:rPr>
        <w:t>유대인의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우화가</w:t>
      </w:r>
      <w:r>
        <w:rPr>
          <w:rFonts w:ascii="Times New Roman" w:hAnsi="Times New Roman" w:eastAsia="Times New Roman" w:cs="Times New Roman"/>
        </w:rPr>
        <w:t xml:space="preserve"> </w:t>
      </w:r>
      <w:r>
        <w:rPr>
          <w:rFonts w:ascii="Malgun Gothic" w:hAnsi="Malgun Gothic" w:eastAsia="Malgun Gothic" w:cs="Malgun Gothic"/>
        </w:rPr>
        <w:t>문헌에서</w:t>
      </w:r>
      <w:r>
        <w:rPr>
          <w:rFonts w:ascii="Times New Roman" w:hAnsi="Times New Roman" w:eastAsia="Times New Roman" w:cs="Times New Roman"/>
        </w:rPr>
        <w:t xml:space="preserve"> </w:t>
      </w:r>
      <w:r>
        <w:rPr>
          <w:rFonts w:ascii="Malgun Gothic" w:hAnsi="Malgun Gothic" w:eastAsia="Malgun Gothic" w:cs="Malgun Gothic"/>
        </w:rPr>
        <w:t>발견되는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6</w:t>
      </w:r>
      <w:r>
        <w:rPr>
          <w:rFonts w:ascii="Malgun Gothic" w:hAnsi="Malgun Gothic" w:eastAsia="Malgun Gothic" w:cs="Malgun Gothic"/>
        </w:rPr>
        <w:t>세기에</w:t>
      </w:r>
      <w:r>
        <w:rPr>
          <w:rFonts w:ascii="Times New Roman" w:hAnsi="Times New Roman" w:eastAsia="Times New Roman" w:cs="Times New Roman"/>
        </w:rPr>
        <w:t xml:space="preserve"> </w:t>
      </w:r>
      <w:r>
        <w:rPr>
          <w:rFonts w:ascii="Malgun Gothic" w:hAnsi="Malgun Gothic" w:eastAsia="Malgun Gothic" w:cs="Malgun Gothic"/>
        </w:rPr>
        <w:t>이르러서였다</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자매는</w:t>
      </w:r>
      <w:r>
        <w:rPr>
          <w:rFonts w:ascii="Times New Roman" w:hAnsi="Times New Roman" w:eastAsia="Times New Roman" w:cs="Times New Roman"/>
        </w:rPr>
        <w:t xml:space="preserve"> </w:t>
      </w:r>
      <w:r>
        <w:rPr>
          <w:rFonts w:ascii="Malgun Gothic" w:hAnsi="Malgun Gothic" w:eastAsia="Malgun Gothic" w:cs="Malgun Gothic"/>
        </w:rPr>
        <w:t>배도한</w:t>
      </w:r>
      <w:r>
        <w:rPr>
          <w:rFonts w:ascii="Times New Roman" w:hAnsi="Times New Roman" w:eastAsia="Times New Roman" w:cs="Times New Roman"/>
        </w:rPr>
        <w:t xml:space="preserve"> </w:t>
      </w:r>
      <w:r>
        <w:rPr>
          <w:rFonts w:ascii="Malgun Gothic" w:hAnsi="Malgun Gothic" w:eastAsia="Malgun Gothic" w:cs="Malgun Gothic"/>
        </w:rPr>
        <w:t>유대</w:t>
      </w:r>
      <w:r>
        <w:rPr>
          <w:rFonts w:ascii="Times New Roman" w:hAnsi="Times New Roman" w:eastAsia="Times New Roman" w:cs="Times New Roman"/>
        </w:rPr>
        <w:t xml:space="preserve"> </w:t>
      </w:r>
      <w:r>
        <w:rPr>
          <w:rFonts w:ascii="Malgun Gothic" w:hAnsi="Malgun Gothic" w:eastAsia="Malgun Gothic" w:cs="Malgun Gothic"/>
        </w:rPr>
        <w:t>교회를</w:t>
      </w:r>
      <w:r>
        <w:rPr>
          <w:rFonts w:ascii="Times New Roman" w:hAnsi="Times New Roman" w:eastAsia="Times New Roman" w:cs="Times New Roman"/>
        </w:rPr>
        <w:t xml:space="preserve"> </w:t>
      </w:r>
      <w:r>
        <w:rPr>
          <w:rFonts w:ascii="Malgun Gothic" w:hAnsi="Malgun Gothic" w:eastAsia="Malgun Gothic" w:cs="Malgun Gothic"/>
        </w:rPr>
        <w:t>가톨릭</w:t>
      </w:r>
      <w:r>
        <w:rPr>
          <w:rFonts w:ascii="Times New Roman" w:hAnsi="Times New Roman" w:eastAsia="Times New Roman" w:cs="Times New Roman"/>
        </w:rPr>
        <w:t xml:space="preserve"> </w:t>
      </w:r>
      <w:r>
        <w:rPr>
          <w:rFonts w:ascii="Malgun Gothic" w:hAnsi="Malgun Gothic" w:eastAsia="Malgun Gothic" w:cs="Malgun Gothic"/>
        </w:rPr>
        <w:t>교회와</w:t>
      </w:r>
      <w:r>
        <w:rPr>
          <w:rFonts w:ascii="Times New Roman" w:hAnsi="Times New Roman" w:eastAsia="Times New Roman" w:cs="Times New Roman"/>
        </w:rPr>
        <w:t xml:space="preserve"> </w:t>
      </w:r>
      <w:r>
        <w:rPr>
          <w:rFonts w:ascii="Malgun Gothic" w:hAnsi="Malgun Gothic" w:eastAsia="Malgun Gothic" w:cs="Malgun Gothic"/>
        </w:rPr>
        <w:t>비교하면서</w:t>
      </w:r>
      <w:r>
        <w:rPr>
          <w:rFonts w:ascii="Times New Roman" w:hAnsi="Times New Roman" w:eastAsia="Times New Roman" w:cs="Times New Roman"/>
        </w:rPr>
        <w:t xml:space="preserve">, </w:t>
      </w:r>
      <w:r>
        <w:rPr>
          <w:rFonts w:ascii="Malgun Gothic" w:hAnsi="Malgun Gothic" w:eastAsia="Malgun Gothic" w:cs="Malgun Gothic"/>
        </w:rPr>
        <w:t>특히</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교회가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인간의</w:t>
      </w:r>
      <w:r>
        <w:rPr>
          <w:rFonts w:ascii="Times New Roman" w:hAnsi="Times New Roman" w:eastAsia="Times New Roman" w:cs="Times New Roman"/>
        </w:rPr>
        <w:t xml:space="preserve"> </w:t>
      </w:r>
      <w:r>
        <w:rPr>
          <w:rFonts w:ascii="Malgun Gothic" w:hAnsi="Malgun Gothic" w:eastAsia="Malgun Gothic" w:cs="Malgun Gothic"/>
        </w:rPr>
        <w:t>관습과</w:t>
      </w:r>
      <w:r>
        <w:rPr>
          <w:rFonts w:ascii="Times New Roman" w:hAnsi="Times New Roman" w:eastAsia="Times New Roman" w:cs="Times New Roman"/>
        </w:rPr>
        <w:t xml:space="preserve"> </w:t>
      </w:r>
      <w:r>
        <w:rPr>
          <w:rFonts w:ascii="Malgun Gothic" w:hAnsi="Malgun Gothic" w:eastAsia="Malgun Gothic" w:cs="Malgun Gothic"/>
        </w:rPr>
        <w:t>전통</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종교를</w:t>
      </w:r>
      <w:r>
        <w:rPr>
          <w:rFonts w:ascii="Times New Roman" w:hAnsi="Times New Roman" w:eastAsia="Times New Roman" w:cs="Times New Roman"/>
        </w:rPr>
        <w:t xml:space="preserve"> </w:t>
      </w:r>
      <w:r>
        <w:rPr>
          <w:rFonts w:ascii="Malgun Gothic" w:hAnsi="Malgun Gothic" w:eastAsia="Malgun Gothic" w:cs="Malgun Gothic"/>
        </w:rPr>
        <w:t>세운다는</w:t>
      </w:r>
      <w:r>
        <w:rPr>
          <w:rFonts w:ascii="Times New Roman" w:hAnsi="Times New Roman" w:eastAsia="Times New Roman" w:cs="Times New Roman"/>
        </w:rPr>
        <w:t xml:space="preserve"> </w:t>
      </w:r>
      <w:r>
        <w:rPr>
          <w:rFonts w:ascii="Malgun Gothic" w:hAnsi="Malgun Gothic" w:eastAsia="Malgun Gothic" w:cs="Malgun Gothic"/>
        </w:rPr>
        <w:t>점을</w:t>
      </w:r>
      <w:r>
        <w:rPr>
          <w:rFonts w:ascii="Times New Roman" w:hAnsi="Times New Roman" w:eastAsia="Times New Roman" w:cs="Times New Roman"/>
        </w:rPr>
        <w:t xml:space="preserve"> </w:t>
      </w:r>
      <w:r>
        <w:rPr>
          <w:rFonts w:ascii="Malgun Gothic" w:hAnsi="Malgun Gothic" w:eastAsia="Malgun Gothic" w:cs="Malgun Gothic"/>
        </w:rPr>
        <w:t>강조한다</w:t>
      </w:r>
      <w:r>
        <w:rPr>
          <w:rFonts w:ascii="Times New Roman" w:hAnsi="Times New Roman" w:eastAsia="Times New Roman" w:cs="Times New Roman"/>
        </w:rPr>
        <w:t xml:space="preserve">. </w:t>
      </w:r>
      <w:r>
        <w:rPr>
          <w:rFonts w:ascii="Malgun Gothic" w:hAnsi="Malgun Gothic" w:eastAsia="Malgun Gothic" w:cs="Malgun Gothic"/>
        </w:rPr>
        <w:t>교황권</w:t>
      </w:r>
      <w:r>
        <w:rPr>
          <w:rFonts w:ascii="Times New Roman" w:hAnsi="Times New Roman" w:eastAsia="Times New Roman" w:cs="Times New Roman"/>
        </w:rPr>
        <w:t xml:space="preserve"> </w:t>
      </w:r>
      <w:r>
        <w:rPr>
          <w:rFonts w:ascii="Malgun Gothic" w:hAnsi="Malgun Gothic" w:eastAsia="Malgun Gothic" w:cs="Malgun Gothic"/>
        </w:rPr>
        <w:t>교회의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수많은</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날조된</w:t>
      </w:r>
      <w:r>
        <w:rPr>
          <w:rFonts w:ascii="Times New Roman" w:hAnsi="Times New Roman" w:eastAsia="Times New Roman" w:cs="Times New Roman"/>
        </w:rPr>
        <w:t xml:space="preserve"> </w:t>
      </w:r>
      <w:r>
        <w:rPr>
          <w:rFonts w:ascii="Malgun Gothic" w:hAnsi="Malgun Gothic" w:eastAsia="Malgun Gothic" w:cs="Malgun Gothic"/>
        </w:rPr>
        <w:t>기적들과</w:t>
      </w:r>
      <w:r>
        <w:rPr>
          <w:rFonts w:ascii="Times New Roman" w:hAnsi="Times New Roman" w:eastAsia="Times New Roman" w:cs="Times New Roman"/>
        </w:rPr>
        <w:t xml:space="preserve"> </w:t>
      </w:r>
      <w:r>
        <w:rPr>
          <w:rFonts w:ascii="Malgun Gothic" w:hAnsi="Malgun Gothic" w:eastAsia="Malgun Gothic" w:cs="Malgun Gothic"/>
        </w:rPr>
        <w:t>마찬가지로</w:t>
      </w:r>
      <w:r>
        <w:rPr>
          <w:rFonts w:ascii="Times New Roman" w:hAnsi="Times New Roman" w:eastAsia="Times New Roman" w:cs="Times New Roman"/>
        </w:rPr>
        <w:t xml:space="preserve">, </w:t>
      </w:r>
      <w:r>
        <w:rPr>
          <w:rFonts w:ascii="Malgun Gothic" w:hAnsi="Malgun Gothic" w:eastAsia="Malgun Gothic" w:cs="Malgun Gothic"/>
        </w:rPr>
        <w:t>하루치</w:t>
      </w:r>
      <w:r>
        <w:rPr>
          <w:rFonts w:ascii="Times New Roman" w:hAnsi="Times New Roman" w:eastAsia="Times New Roman" w:cs="Times New Roman"/>
        </w:rPr>
        <w:t xml:space="preserve"> </w:t>
      </w:r>
      <w:r>
        <w:rPr>
          <w:rFonts w:ascii="Malgun Gothic" w:hAnsi="Malgun Gothic" w:eastAsia="Malgun Gothic" w:cs="Malgun Gothic"/>
        </w:rPr>
        <w:t>기름이</w:t>
      </w:r>
      <w:r>
        <w:rPr>
          <w:rFonts w:ascii="Times New Roman" w:hAnsi="Times New Roman" w:eastAsia="Times New Roman" w:cs="Times New Roman"/>
        </w:rPr>
        <w:t xml:space="preserve"> </w:t>
      </w:r>
      <w:r>
        <w:rPr>
          <w:rFonts w:ascii="Malgun Gothic" w:hAnsi="Malgun Gothic" w:eastAsia="Malgun Gothic" w:cs="Malgun Gothic"/>
        </w:rPr>
        <w:t>팔</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지속되었다는</w:t>
      </w:r>
      <w:r>
        <w:rPr>
          <w:rFonts w:ascii="Times New Roman" w:hAnsi="Times New Roman" w:eastAsia="Times New Roman" w:cs="Times New Roman"/>
        </w:rPr>
        <w:t xml:space="preserve"> </w:t>
      </w:r>
      <w:r>
        <w:rPr>
          <w:rFonts w:ascii="Malgun Gothic" w:hAnsi="Malgun Gothic" w:eastAsia="Malgun Gothic" w:cs="Malgun Gothic"/>
        </w:rPr>
        <w:t>우화</w:t>
      </w:r>
      <w:r>
        <w:rPr>
          <w:rFonts w:ascii="Times New Roman" w:hAnsi="Times New Roman" w:eastAsia="Times New Roman" w:cs="Times New Roman"/>
        </w:rPr>
        <w:t xml:space="preserve"> </w:t>
      </w:r>
      <w:r>
        <w:rPr>
          <w:rFonts w:ascii="Malgun Gothic" w:hAnsi="Malgun Gothic" w:eastAsia="Malgun Gothic" w:cs="Malgun Gothic"/>
        </w:rPr>
        <w:t>역시</w:t>
      </w:r>
      <w:r>
        <w:rPr>
          <w:rFonts w:ascii="Times New Roman" w:hAnsi="Times New Roman" w:eastAsia="Times New Roman" w:cs="Times New Roman"/>
        </w:rPr>
        <w:t xml:space="preserve"> </w:t>
      </w:r>
      <w:r>
        <w:rPr>
          <w:rFonts w:ascii="Malgun Gothic" w:hAnsi="Malgun Gothic" w:eastAsia="Malgun Gothic" w:cs="Malgun Gothic"/>
        </w:rPr>
        <w:t>역사적</w:t>
      </w:r>
      <w:r>
        <w:rPr>
          <w:rFonts w:ascii="Times New Roman" w:hAnsi="Times New Roman" w:eastAsia="Times New Roman" w:cs="Times New Roman"/>
        </w:rPr>
        <w:t xml:space="preserve"> </w:t>
      </w:r>
      <w:r>
        <w:rPr>
          <w:rFonts w:ascii="Malgun Gothic" w:hAnsi="Malgun Gothic" w:eastAsia="Malgun Gothic" w:cs="Malgun Gothic"/>
        </w:rPr>
        <w:t>증언이</w:t>
      </w:r>
      <w:r>
        <w:rPr>
          <w:rFonts w:ascii="Times New Roman" w:hAnsi="Times New Roman" w:eastAsia="Times New Roman" w:cs="Times New Roman"/>
        </w:rPr>
        <w:t xml:space="preserve"> </w:t>
      </w:r>
      <w:r>
        <w:rPr>
          <w:rFonts w:ascii="Malgun Gothic" w:hAnsi="Malgun Gothic" w:eastAsia="Malgun Gothic" w:cs="Malgun Gothic"/>
        </w:rPr>
        <w:t>없다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verset dix du chapitre onze de Daniel identifie la première bataille des trois batailles du verset quarante, que j’ai précédemment identifiées comme trois batailles d’une guerre froide, ainsi que comme trois guerres par procuration. Une sœur a mis en question le fait que je qualifie de guerres froides la guerre d’Ukraine, qui est la deuxième de ces trois guerres, car, comme elle l’a correctement fait remarquer, il y a eu une abondance de mort et de destruction. Ce que j’ai désigné, dans des articles antérieurs, comme les trois batailles de la « guerre froide », l’a été en ces termes afin d’établir une distinction entre ces trois batailles et les trois guerres mondiales qui ont lieu au cours de l’histoire de la bête de la terre d’Apocalypse treize. Ces trois guerres sont des guerres par procuration et ont également été définies ainsi.</w:t>
      </w:r>
    </w:p>
    <w:p>
      <w:pPr>
        <w:pStyle w:val="ArticleBody"/>
        <w:jc w:val="left"/>
      </w:pPr>
      <w:r>
        <w:rPr>
          <w:rFonts w:ascii="Times New Roman" w:hAnsi="Times New Roman" w:eastAsia="Times New Roman" w:cs="Times New Roman"/>
        </w:rPr>
        <w:t>Ik ben voornemens die drie veldslagen voortaan in deze artikelen aan te duiden als „de drie veldslagen van vers veertig” of als proxy-oorlogen, teneinde de tegenstrijdigheid weg te nemen dat een hete oorlog als een koude oorlog wordt aangeduid. Volgens mijn definitie omvatten de drie veldslagen van vers veertig niet de veldslag van 1798, die wel deel uitmaakt van vers veertig, maar uitsluitend de drie veldslagen vanaf de tijd van het einde in 1989 tot aan de zondagwet van vers eenenveertig. Deze drie veldslagen worden juister aangeduid als proxy-oorlogen, die plaatsvinden binnen de context van de oorlogvoering tussen de koning van het noorden en de koning van het zuiden, welke in de geschiedenis van vers veertig de oorlogvoering vertegenwoordigen tussen het katholicisme (de koning van het noorden) en het communisme (de koning van het zuiden).</w:t>
      </w:r>
    </w:p>
    <w:p>
      <w:pPr>
        <w:pStyle w:val="ArticleBody"/>
        <w:jc w:val="left"/>
      </w:pPr>
      <w:r>
        <w:rPr>
          <w:rFonts w:ascii="Times New Roman" w:hAnsi="Times New Roman" w:eastAsia="Times New Roman" w:cs="Times New Roman"/>
        </w:rPr>
        <w:t>De eerste van die drie veldslagen duidt de overwinning van het katholicisme op het communisme in 1989 aan, toen het pausdom zich verbond met zijn gevolmachtigd leger, vertegenwoordigd door de Verenigde Staten, om in 1989 de Sovjet-Unie weg te vagen, hoewel Rusland, het hoofd (of de „vesting”), bleef staan. De huidige Oekraïense oorlog is opnieuw een strijd tussen het katholicisme en het communisme, waarbij het pausdom de Oekraïense regering als zijn gevolmachtigde tegen Rusland inzet, samen met de steun van de eerdere gevolmachtigde macht van het pausdom, de Verenigde Staten, met inbegrip van de rest van de globalistische westerse wereld. Die oorlog wordt voorgesteld in de verzen elf en twaalf en geeft aan dat het communisme (Rusland) de overhand zal krijgen op het katholicisme.</w:t>
      </w:r>
    </w:p>
    <w:p>
      <w:pPr>
        <w:pStyle w:val="ArticleBody"/>
        <w:jc w:val="left"/>
      </w:pPr>
      <w:r>
        <w:rPr>
          <w:rFonts w:ascii="Times New Roman" w:hAnsi="Times New Roman" w:eastAsia="Times New Roman" w:cs="Times New Roman"/>
        </w:rPr>
        <w:t>Ná nke atọ n’ime agha nnọchi anya atọ ahụ ka e gosiri n’amaokwu nke iri na ise, dị ka Agha Panium. Agha ahụ dị n’etiti alaeze Ptolemaic (eze nke ndịda) na alaeze Seleucid (eze nke ugwu). N’agha ahụ, ndị agha nnọchi anya nke Katọlik bụkwa ọzọ United States.</w:t>
      </w:r>
    </w:p>
    <w:p>
      <w:pPr>
        <w:pStyle w:val="ArticleBody"/>
        <w:jc w:val="left"/>
      </w:pPr>
      <w:r>
        <w:rPr>
          <w:rFonts w:ascii="Times New Roman" w:hAnsi="Times New Roman" w:eastAsia="Times New Roman" w:cs="Times New Roman"/>
        </w:rPr>
        <w:t>Qorsadii ugu horraysay ee sannadkii 1989, ciidankii wakiilka ahaa ee geeska Jamhuuriga ah ee Maraykanka waxaa adeegsaday papacy-gu si loo dumiyo qaab-dhismeedkii siyaasadeed ee Midowgii Soofiyeeti, iyadoo madaxiisa (Ruushka) laga tegay isagoo weli taagan. Qorsada labaad, oo ah dagaalka Yukrayn, ciidankii wakiilka ahaa ee Naasiyiinta waxaa ka adkaada Ruushka. Qorsada saddexaad, Maraykanka, oo haddana ah ciidankii wakiilka ahaa ee papacy-ga, ayaa mar kale ka adkaada boqorka koonfureed.</w:t>
      </w:r>
    </w:p>
    <w:p>
      <w:pPr>
        <w:pStyle w:val="ArticleBody"/>
        <w:jc w:val="left"/>
      </w:pPr>
      <w:r>
        <w:rPr>
          <w:rFonts w:ascii="Times New Roman" w:hAnsi="Times New Roman" w:eastAsia="Times New Roman" w:cs="Times New Roman"/>
        </w:rPr>
        <w:t>Yudh sa a baak ne “Thuhrilna” hmingchhinna an keng a, yudh hmasa leh yudh hnuhnung ber chu United States-a hnehna chang tawh proxy sipai pawlten an kalpui a ni. Yudh hmasaah chhim lama lal ber hriatna chu tihchheh lohin dah a ni a, yudh pathumnaah chuan United States-a proxy sipai pawl chu chhim lama lal ber hriatna a lo ni ta. Proxy sipai pahnihna chu World War Pahnihna hunah papacy-a proxy sipai pawh a ni bawk. A pahnih hian Nazism-a proxy sipai pawl chu hnehsak an ni a, hnehsak an la ni ang bawk. Papacy chuan a hmêlma zawng zawng chu verse sixteen hma lawka a tuk kim vek a, chutah chuan inṭawmna pathum-pum chu tihhlawhtlin a ni.</w:t>
      </w:r>
    </w:p>
    <w:p>
      <w:pPr>
        <w:pStyle w:val="ArticleScripture"/>
        <w:jc w:val="left"/>
      </w:pPr>
      <w:r>
        <w:rPr>
          <w:rFonts w:ascii="Times New Roman" w:hAnsi="Times New Roman" w:eastAsia="Times New Roman" w:cs="Times New Roman"/>
        </w:rPr>
        <w:t>“Ptolemäus [Putin] fehlte die Klugheit, aus seinem Sieg rechten Nutzen zu ziehen. Hätte er seinen Erfolg weiterverfolgt, so wäre er wahrscheinlich Herr des ganzen Reiches des Antiochus geworden; doch damit zufrieden, nur einige Drohungen und einige Einschüchterungen auszusprechen, schloss er Frieden, um sich der ununterbrochenen und ungehemmten Befriedigung seiner viehischen Leidenschaften hingeben zu können. So wurde er, nachdem er seine Feinde besiegt hatte, von seinen Lastern überwunden, und indem er den großen Namen vergaß, den er sich hätte erwerben können, verbrachte er seine Zeit in Schmauserei und Ausschweifung.</w:t>
      </w:r>
    </w:p>
    <w:p>
      <w:pPr>
        <w:pStyle w:val="ArticleScripture"/>
        <w:jc w:val="left"/>
      </w:pPr>
      <w:r>
        <w:rPr>
          <w:rFonts w:ascii="Times New Roman" w:hAnsi="Times New Roman" w:eastAsia="Times New Roman" w:cs="Times New Roman"/>
        </w:rPr>
        <w:t>« Son cœur s’éleva à cause de son succès, mais loin d’en être fortifié ; car l’usage ignominieux qu’il en fit poussa ses propres sujets à se rebeller contre lui. » Uriah Smith, Daniel and the Revelation, 254.</w:t>
      </w:r>
    </w:p>
    <w:p>
      <w:pPr>
        <w:pStyle w:val="ArticleBody"/>
        <w:jc w:val="left"/>
      </w:pPr>
      <w:r>
        <w:rPr>
          <w:rFonts w:ascii="Times New Roman" w:hAnsi="Times New Roman" w:eastAsia="Times New Roman" w:cs="Times New Roman"/>
        </w:rPr>
        <w:t>Un second témoin attestant que la victoire de Poutine marque sa fin se trouve dans le roi Ozias du royaume méridional de Juda, dont le cœur s’éleva également à cause de ses victoires militaires et qui, par la suite, comme Ptolémée, chercha à accomplir l’œuvre des prêtres dans le sanctuaire, et fut frappé de lèpre puis immédiatement écarté du pouvoir. La victoire de Poutine dans la guerre d’Ukraine marque le commencement de sa fin en tant que roi du sud (le roi de l’athéisme). Sa fin a été typifiée par le commencement du roi du sud prophétique du verset quarante (la France), lequel identifiait une révolution qui renversa la direction, comme cela arriva avec Ptolémée. La fin de Poutine fut aussi représentée par la fin de l’Union soviétique, où le dirigeant (Gorbatchev) dissout l’Union soviétique, puis accepta immédiatement un poste auprès des Nations Unies, symbole mondialiste de l’athéisme des derniers jours, le roi du sud. Après la victoire de Poutine en Ukraine, il est aussi typifié par Napoléon à Waterloo, et l’exil qui s’ensuivit ; et aussi par le roi Ozias, avec sa lèpre, et l’exil qui s’ensuivit, ainsi que par la fin d’ivrognerie de Ptolémée et la fin de l’Union soviétique en 1989.</w:t>
      </w:r>
    </w:p>
    <w:p>
      <w:pPr>
        <w:pStyle w:val="ArticleBody"/>
        <w:jc w:val="left"/>
      </w:pPr>
      <w:r>
        <w:rPr>
          <w:rFonts w:ascii="Times New Roman" w:hAnsi="Times New Roman" w:eastAsia="Times New Roman" w:cs="Times New Roman"/>
        </w:rPr>
        <w:t>Morago wa Panium o diregile ka ngwaga wa 200 BC, gomme ka wona ngwaga woo Roma ya tsena pepeneneng historing. Go tsenela ga yona mo kanegelong ya boporofeta go etelela pele go fenngwa ga Jerusalema mo go emelwago ke temana ya lesometshela, gomme gwa phethagatšwa ka 63 BC, nakong yeo e ilego ya bolela gore yona ke mosireletši wa ngwana-kgoši kua Egipita. Ntweng ya boraro ya temana ya masomenne, yeo e akaretšago dikgoši tša leboa le borwa, bopapa bo tla tsenela histori gape, bo ikgakantšha eka ke mosireletši wa Russia. Ka yona nako yeo Seleucus, mo seswantšhong, o fentše Ptolemy ntweng ya Panium, ka go rialo a hlaola gore United States, e lego madira a moemedi a bopapa dintweng tša mathomo le tša mafelelo tša temana ya masomenne, e fenya “Egipita” (kgoši ya borwa).</w:t>
      </w:r>
    </w:p>
    <w:p>
      <w:pPr>
        <w:pStyle w:val="ArticleBody"/>
        <w:jc w:val="left"/>
      </w:pPr>
      <w:r>
        <w:rPr>
          <w:rFonts w:ascii="Times New Roman" w:hAnsi="Times New Roman" w:eastAsia="Times New Roman" w:cs="Times New Roman"/>
        </w:rPr>
        <w:t>در سال ۲۰۰ پیش از میلاد، ما به‌گونه‌ای نمادین پاپیّت را می‌یابیم، آنگاه که فاحشهٔ صور آغاز می‌کند که پیشاپیشِ اتحاد سه‌گانه در قانون یکشنبهٔ آیهٔ شانزدهم، نغمه‌های زنای خویش را بسراید. در همان زمان، ایالات متحده بر سازمان ملل متحد چیره می‌شود و بدین‌سان جایگاه خود را به‌عنوان برجسته‌ترین پادشاه از میان ده پادشاه استوار می‌سازد. تمامی پویایی‌های اتحاد سه‌گانه که در قانون یکشنبه به انجام می‌رسند، پیش از آیهٔ شانزدهم تعیین و تثبیت شده‌اند.</w:t>
      </w:r>
    </w:p>
    <w:p>
      <w:pPr>
        <w:pStyle w:val="ArticleBody"/>
        <w:jc w:val="left"/>
      </w:pPr>
      <w:r>
        <w:rPr>
          <w:rFonts w:ascii="Times New Roman" w:hAnsi="Times New Roman" w:eastAsia="Times New Roman" w:cs="Times New Roman"/>
        </w:rPr>
        <w:t>Ŋusẽ-ŋusẽ ƒe hamekɔkɔ si dzesi le Ʋuwo ƒe ƒoƒoƒe Dzeasi me la, le kpukpui wuiade lia me, ɖo ɖe edzi be yeatsɔ eƒe dukɔwo ƒe dɔwɔwɔ ƒe ɖoɖo na la xexlẽme, gake hafi wòawɔe la, papasiatsɔ ɖo gu le ŋusẽ-ŋusẽ la ƒe subɔsubɔ dzi. Ele be wowo avu trɔ subɔsubɔ si tso trɔtrɔawo me la ɖa ake. Woɖe Protestantism ɖa le Reagan ƒe ƒeawo me, le kpukpui blaeneawo ƒe aʋawɔwɔ gbãtɔ me, eye le Republican prezident mamlɛtɔ la ƒe gaƒoƒo me la, woaɖo ŋusẽ-ŋusẽ la ƒe subɔsubɔ hã ɖe teƒe na Katoliko subɔsubɔ, abe alesi wòle le 508 ƒe sia me ene. Dɔwɔwɔ si me wowole subɔsubɔ ƒe tsitretsitsi ɖesiaɖe ɖem ɖa tso papasiatsɔ si wole atsɔ ge adza fiazikpui dzi la ŋu, dze egɔme le Reagan ƒe ƒeawo me, eye wòawu le Trump ƒe ƒeawo me. Woɖe apostate Protestantism ƒe tsitretsitsi si etsɔ ɖo Katolikosubɔsubɔ ŋu la ɖa le kpukpui blaeneawo ƒe aʋawɔwɔ gbãtɔ me, eye woaɖe spiritualism ƒe tsitretsitsi la ɖa le kpukpui blaeneawo ƒe aʋawɔwɔ mamlɛtɔ me.</w:t>
      </w:r>
    </w:p>
    <w:p>
      <w:pPr>
        <w:pStyle w:val="ArticleBody"/>
        <w:jc w:val="left"/>
      </w:pPr>
      <w:r>
        <w:rPr>
          <w:rFonts w:ascii="Times New Roman" w:hAnsi="Times New Roman" w:eastAsia="Times New Roman" w:cs="Times New Roman"/>
        </w:rPr>
        <w:t>Dans la même interaction complexe des événements humains, le protestantisme apostat doit s’établir comme l’autorité religieuse et politique sur les dix rois d’Apocalypse chapitre dix-sept. Ainsi, la bataille de Panium identifie le moment où les États-Unis prévalent sur les Nations Unies, juste avant la loi du dimanche du verset seize.</w:t>
      </w:r>
    </w:p>
    <w:p>
      <w:pPr>
        <w:pStyle w:val="ArticleBody"/>
        <w:jc w:val="left"/>
      </w:pPr>
      <w:r>
        <w:rPr>
          <w:rFonts w:ascii="Times New Roman" w:hAnsi="Times New Roman" w:eastAsia="Times New Roman" w:cs="Times New Roman"/>
        </w:rPr>
        <w:t>Es una regla establecida de la profecía que el dragón, la bestia y el falso profeta poseen cada uno sus propias características proféticas distintivas. Una de esas características proféticas es que la bestia (el catolicismo) siempre se halla situada proféticamente en la ciudad de Roma. El falso profeta siempre se halla situado proféticamente en los Estados Unidos. Pero con el dragón, la característica relativa al lugar donde se halla proféticamente es que siempre se desplaza. El dragón comenzó en el cielo, luego vino al Huerto del Edén y, finalmente, el dragón se halla situado en Egipto.</w:t>
      </w:r>
    </w:p>
    <w:p>
      <w:pPr>
        <w:pStyle w:val="ArticleScripture"/>
        <w:jc w:val="left"/>
      </w:pPr>
      <w:r>
        <w:rPr>
          <w:rFonts w:ascii="Times New Roman" w:hAnsi="Times New Roman" w:eastAsia="Times New Roman" w:cs="Times New Roman"/>
        </w:rPr>
        <w:t>Parle, et dis: Ainsi parle le Seigneur, l’Éternel: Voici, j’en veux à toi, Pharaon, roi d’Égypte, grand dragon couché au milieu de ses fleuves, toi qui dis: Mon fleuve est à moi, c’est moi qui me le suis fait. Ézéchiel 29:3.</w:t>
      </w:r>
    </w:p>
    <w:p>
      <w:pPr>
        <w:pStyle w:val="ArticleBody"/>
        <w:jc w:val="left"/>
      </w:pPr>
      <w:r>
        <w:rPr>
          <w:rFonts w:ascii="Times New Roman" w:hAnsi="Times New Roman" w:eastAsia="Times New Roman" w:cs="Times New Roman"/>
        </w:rPr>
        <w:t>Poo no tebea dofuu te dragoon mo shifted. E time blo John, te seat blo te dragoon, wea representem hem throne blo hem, olketa bin identify hem se hem stap long Pergamos.</w:t>
      </w:r>
    </w:p>
    <w:p>
      <w:pPr>
        <w:pStyle w:val="ArticleScripture"/>
        <w:jc w:val="left"/>
      </w:pPr>
      <w:r>
        <w:rPr>
          <w:rFonts w:ascii="Times New Roman" w:hAnsi="Times New Roman" w:eastAsia="Times New Roman" w:cs="Times New Roman"/>
        </w:rPr>
        <w:t>Seerraa waldaa kiristaanaa Pergamoonitti jirtuutti akkana jedhi; Kana kan jedhu isa goraadee qaraa lama qabu sana dha; Ani hojii kee nan beeka, akkasumas iddoo ati keessa jiraattu, jechuunis bakka teessoon Seexanaa jiru sanatti: ati maqaa koo jabeessitee qabatteerta, amantii koos hin ganuu turte, guyyoota Antipaas, shahiidaa koo amanamaa sana, isin gidduutti, bakka Seexanni keessa jiraatutti ajjeefame sana illee keessatti. Mul’ata Yohaannis 2:12, 13.</w:t>
      </w:r>
    </w:p>
    <w:p>
      <w:pPr>
        <w:pStyle w:val="ArticleBody"/>
        <w:jc w:val="left"/>
      </w:pPr>
      <w:r>
        <w:rPr>
          <w:rFonts w:ascii="Times New Roman" w:hAnsi="Times New Roman" w:eastAsia="Times New Roman" w:cs="Times New Roman"/>
        </w:rPr>
        <w:t>La pratique de la Rome païenne consistait à ramener dans la ville de Rome toutes les divinités païennes auxquelles elle venait à être associée, et à les représenter dans le Temple du Panthéon. C’est pourquoi Daniel rapporte que « le lieu de son sanctuaire fut renversé ». Le lieu du sanctuaire de la Rome païenne était la ville de Rome, qui fut renversée par Constantin en l’an 330, mais le sanctuaire qui était « dans » Rome était le Temple du Panthéon, Pan-Theon signifiant « le temple de tous les dieux ». Les Romains déplacèrent le siège de Satan de Pergame au Temple du Panthéon. Sœur White nous informe que la Rome païenne est le dragon.</w:t>
      </w:r>
    </w:p>
    <w:p>
      <w:pPr>
        <w:pStyle w:val="ArticleScripture"/>
        <w:jc w:val="left"/>
      </w:pPr>
      <w:r>
        <w:rPr>
          <w:rFonts w:ascii="Times New Roman" w:hAnsi="Times New Roman" w:eastAsia="Times New Roman" w:cs="Times New Roman"/>
        </w:rPr>
        <w:t>« Ainsi, tandis que le dragon représente, au premier chef, Satan, il est aussi, en un sens secondaire, un symbole de la Rome païenne. » The Great Controversy, 439.</w:t>
      </w:r>
    </w:p>
    <w:p>
      <w:pPr>
        <w:pStyle w:val="ArticleBody"/>
        <w:jc w:val="left"/>
      </w:pP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फ्रांसीसी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नास्तिकता</w:t>
      </w:r>
      <w:r>
        <w:rPr>
          <w:rFonts w:ascii="Times New Roman" w:hAnsi="Times New Roman" w:eastAsia="Times New Roman" w:cs="Times New Roman"/>
        </w:rPr>
        <w:t>-</w:t>
      </w:r>
      <w:r>
        <w:rPr>
          <w:rFonts w:ascii="Nirmala UI" w:hAnsi="Nirmala UI" w:eastAsia="Nirmala UI" w:cs="Nirmala UI"/>
        </w:rPr>
        <w:t>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1917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1989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सीमारेखा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लड़ाइयों</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त्रिगुणी</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Yesu alipofika katika maeneo ya Kaisaria Filipi [Panium], akawauliza wanafunzi wake, akisema, Watu hunena mimi Mwana wa Adamu kuwa ni nani? Wakasema, Wengine husema ya kwamba wewe ndiwe Yohana Mbatizaji; wengine, Eliya; na wengineo, Yeremia, au mmoja wa manabii. Akawaambia, Lakini ninyi mwasema mimi ni nani? Simoni Petro akajibu, akasema, Wewe ndiwe Kristo, Mwana wa Mungu aliye hai. Yesu akajibu, akamwambia, Heri wewe, Simoni Bar-yona; kwa kuwa mwili na damu havikukufunulia hili, bali Baba yangu aliye mbinguni. Nami nakuambia pia, ya kwamba wewe ndiwe Petro, na juu ya mwamba huu nitalijenga kanisa langu; wala malango ya kuzimu hayatashinda dhidi yake. Nami nitakupa funguo za ufalme wa mbinguni; na lo lote utakalolifunga duniani litafungwa mbinguni; na lo lote utakalolifungua duniani litafunguliwa mbinguni. Ndipo akawaagiza wanafunzi wake wasimwambie mtu yeyote ya kwamba yeye ndiye Yesu Kristo. Tangu wakati huo Yesu akaanza kuwaonyesha wanafunzi wake jinsi impasavyo yeye kwenda Yerusalemu, na kuteswa mambo mengi na wazee na wakuu wa makuhani na waandishi, na kuuawa, na kufufuliwa siku ya tatu. Mathayo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soixante-dix-neuf</dc:title>
  <dc:subject>Le Cri de Minuit et le rôle prophétique de Rome : dévoiler les derniers jours dans le livre de Daniel</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