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Kumi na Saba</w:t>
      </w:r>
    </w:p>
    <w:p>
      <w:pPr>
        <w:pStyle w:val="ArticleSubtitle"/>
        <w:jc w:val="left"/>
      </w:pPr>
      <w:r>
        <w:rPr>
          <w:rFonts w:ascii="Arial" w:hAnsi="Arial" w:eastAsia="Arial" w:cs="Arial"/>
        </w:rPr>
        <w:t>Les liens prophétiques : la statue d’or de Nebucadnetsar et la loi du dimanche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Aga White maa bataa Dura baani laawol dow ngal ngol e tawtude dokkal Almasiihu.</w:t>
      </w:r>
    </w:p>
    <w:p>
      <w:pPr>
        <w:pStyle w:val="ArticleScripture"/>
        <w:jc w:val="left"/>
      </w:pPr>
      <w:r>
        <w:rPr>
          <w:rFonts w:ascii="Times New Roman" w:hAnsi="Times New Roman" w:eastAsia="Times New Roman" w:cs="Times New Roman"/>
        </w:rPr>
        <w:t>“Wɔde ahoni homeda bi asi hɔ, sɛnea wɔde sika honi no sii wɔ Dura asase tataw no so no. Na sɛnea Nebukadnesar, Babilon hene no, too mmara sɛ wɔn a wɔrenkoto wɔn ho na wɔansɔre amfa wɔn ani ankɔ saa honi no so no, wonkum wɔn no, saa ara na wɔbɛma ɔman no ate nka sɛ wɔn a wɔremma Kwasida ahyehyɛde no nidi no, wɔde afiase ne owu na ɛbɛtwe wɔn aso. Saa nti wɔatwintwam Awurade Homeda no ahyɛ fam. Nanso Awurade aka sɛ, ‘Due nna wɔn a wɔhyɛ mmara a ɛnteɛ ase, na wɔkyerɛw amanehunu a wɔn ankasa ahyɛ no’ [Yesaia 10:1]. [Sefania 1:14–18; 2:1–3, quoted.]” Manuscript Releases, volume 14, 91.</w:t>
      </w:r>
    </w:p>
    <w:p>
      <w:pPr>
        <w:pStyle w:val="ArticleBody"/>
        <w:jc w:val="left"/>
      </w:pPr>
      <w:r>
        <w:rPr>
          <w:rFonts w:ascii="Times New Roman" w:hAnsi="Times New Roman" w:eastAsia="Times New Roman" w:cs="Times New Roman"/>
        </w:rPr>
        <w:t>در این بخشِ خاص، خواهر وایت به کتاب صفنیا ارجاع می‌دهد، و بدین‌وسیله بر پیوند نبویِ باب دوم و باب سومِ دانیال می‌افزاید. صفنیا تصریح می‌کند که قوم خدا باید پیش از صدور فرمان با هم جمع شوند. او همچنین پیامِ شیپور را معرفی می‌کند که نمادِ پیامِ هشداری است که علیه شهرها (ایالت‌ها) و برج‌ها (کلیساها) متوجه است. او نیز از گردهم‌آیی‌ای سخن می‌گوید که همان عنصرِ «هفت بار» است و هنگامی واقع می‌شود که دعای لاویان بیست‌وشش تقدیم می‌گردد. او «امّتی که مطلوب نیست» را مشخص می‌سازد، و در تمام این میان بر فرارسیدنِ داوریِ اجراییِ خدا تأکید می‌ورزد؛ داوری‌ای که از قانون یکشنبه آغاز می‌شود و تا آمدنِ دوبارهٔ مسیح اوج می‌گیرد.</w:t>
      </w:r>
    </w:p>
    <w:p>
      <w:pPr>
        <w:pStyle w:val="ArticleBody"/>
        <w:jc w:val="left"/>
      </w:pPr>
      <w:r>
        <w:rPr>
          <w:rFonts w:ascii="Times New Roman" w:hAnsi="Times New Roman" w:eastAsia="Times New Roman" w:cs="Times New Roman"/>
        </w:rPr>
        <w:t>آنچه پیش از صدور فرمانِ قانونِ یکشنبه واقع می‌شود، شکل‌گیریِ صورتِ وحش است. شکل‌گیریِ صورتِ وحش، آزمونِ بصری‌ای است که در برابرِ آن عده از قومِ خدا قرار می‌گیرد که پیش‌تر از آزمونِ خوراکی گذشته‌اند. پیش از آن فرمان، که سومین است (آزمونِ تورنسل)، قومِ خدا، که صفنیا آنان را «امّتی نامرغوب» معرفی می‌کند، فراخوانده می‌شوند تا با هم جمع شوند. نخستین نبوتِ حزقیال، پیامِ جمع‌آوری است، اما این امر تنها برای کسانی تحقق می‌یابد که وضعیتِ پراکندگیِ خود را تشخیص می‌دهند و دعای لاویان بابِ بیست‌وشش را، چنان‌که دانیال در بابِ نهم کرد، به جا می‌آورند.</w:t>
      </w:r>
    </w:p>
    <w:p>
      <w:pPr>
        <w:pStyle w:val="ArticleScripture"/>
        <w:jc w:val="left"/>
      </w:pPr>
      <w:r>
        <w:rPr>
          <w:rFonts w:ascii="Times New Roman" w:hAnsi="Times New Roman" w:eastAsia="Times New Roman" w:cs="Times New Roman"/>
        </w:rPr>
        <w:t>Le grand jour de l’Éternel est proche, il est proche, et il vient en toute hâte, même la voix du jour de l’Éternel : là, le vaillant homme criera amèrement. Ce jour-là est un jour de colère, un jour de trouble et d’angoisse, un jour de ravage et de désolation, un jour de ténèbres et d’obscurité, un jour de nuées et d’épaisses ténèbres, un jour de trompette et d’alarme contre les villes fortifiées et contre les hautes tours. Et je ferai venir la détresse sur les hommes, et ils marcheront comme des aveugles, parce qu’ils ont péché contre l’Éternel ; et leur sang sera répandu comme la poussière, et leur chair comme le fumier. Ni leur argent ni leur or ne pourront les délivrer au jour de la colère de l’Éternel ; mais tout le pays sera dévoré par le feu de sa jalousie ; car il détruira promptement tous les habitants du pays. Assemblez-vous, oui, assemblez-vous, nation sans honte ; avant que le décret enfante, avant que le jour passe comme la balle, avant que la brûlante colère de l’Éternel vienne sur vous, avant que le jour de la colère de l’Éternel vienne sur vous. Cherchez l’Éternel, vous tous, humbles du pays, qui pratiquez son jugement ; recherchez la justice, recherchez l’humilité : peut-être serez-vous mis à l’abri au jour de la colère de l’Éternel. Sophonie 1:14–2:3.</w:t>
      </w:r>
    </w:p>
    <w:p>
      <w:pPr>
        <w:pStyle w:val="ArticleBody"/>
        <w:jc w:val="left"/>
      </w:pPr>
      <w:r>
        <w:rPr>
          <w:rFonts w:ascii="Times New Roman" w:hAnsi="Times New Roman" w:eastAsia="Times New Roman" w:cs="Times New Roman"/>
        </w:rPr>
        <w:t>در کتاب‌مقدس، «مردِ زورآور» مردی صاحب قدرت است، و نخستین اشاره به «مردِ زورآور» جدعون است.</w:t>
      </w:r>
    </w:p>
    <w:p>
      <w:pPr>
        <w:pStyle w:val="ArticleScripture"/>
        <w:jc w:val="left"/>
      </w:pPr>
      <w:r>
        <w:rPr>
          <w:rFonts w:ascii="Times New Roman" w:hAnsi="Times New Roman" w:eastAsia="Times New Roman" w:cs="Times New Roman"/>
        </w:rPr>
        <w:t>Et vint un ange de l’Éternel, qui s’assit sous le chêne qui était à Ophra, et qui appartenait à Joas, l’Abiézrite; et son fils Gédéon battait le froment au pressoir, afin de le cacher aux Madianites. Et l’ange de l’Éternel lui apparut, et lui dit: L’Éternel est avec toi, vaillant homme. Et Gédéon lui dit: Ah! mon seigneur, si l’Éternel est avec nous, pourquoi donc toutes ces choses nous sont-elles arrivées? et où sont tous ses miracles dont nos pères nous ont parlé, disant: L’Éternel ne nous a-t-il pas fait monter d’Égypte? Mais maintenant l’Éternel nous a abandonnés, et il nous a livrés entre les mains des Madianites. Et l’Éternel le regarda, et dit: Va avec cette force que tu as, et tu sauveras Israël de la main des Madianites: ne t’ai-je pas envoyé? Et il lui dit: Ah! mon seigneur, avec quoi sauverai-je Israël? voici, ma famille est pauvre en Manassé, et je suis le plus petit dans la maison de mon père. Et l’Éternel lui dit: Certainement, je serai avec toi, et tu battras les Madianites comme un seul homme. Juges 6:11–16.</w:t>
      </w:r>
    </w:p>
    <w:p>
      <w:pPr>
        <w:pStyle w:val="ArticleBody"/>
        <w:jc w:val="left"/>
      </w:pPr>
      <w:r>
        <w:rPr>
          <w:rFonts w:ascii="Leelawadee UI" w:hAnsi="Leelawadee UI" w:eastAsia="Leelawadee UI" w:cs="Leelawadee UI"/>
        </w:rPr>
        <w:t>ในหนังสือเศฟันยาห์</w:t>
      </w:r>
      <w:r>
        <w:rPr>
          <w:rFonts w:ascii="Times New Roman" w:hAnsi="Times New Roman" w:eastAsia="Times New Roman" w:cs="Times New Roman"/>
        </w:rPr>
        <w:t xml:space="preserve"> </w:t>
      </w:r>
      <w:r>
        <w:rPr>
          <w:rFonts w:ascii="Leelawadee UI" w:hAnsi="Leelawadee UI" w:eastAsia="Leelawadee UI" w:cs="Leelawadee UI"/>
        </w:rPr>
        <w:t>บุรุษผู้ทรงกำลัง</w:t>
      </w:r>
      <w:r>
        <w:rPr>
          <w:rFonts w:ascii="Times New Roman" w:hAnsi="Times New Roman" w:eastAsia="Times New Roman" w:cs="Times New Roman"/>
        </w:rPr>
        <w:t xml:space="preserve"> </w:t>
      </w:r>
      <w:r>
        <w:rPr>
          <w:rFonts w:ascii="Leelawadee UI" w:hAnsi="Leelawadee UI" w:eastAsia="Leelawadee UI" w:cs="Leelawadee UI"/>
        </w:rPr>
        <w:t>ซึ่งก็คือกิเดโอนด้วยนั้น</w:t>
      </w:r>
      <w:r>
        <w:rPr>
          <w:rFonts w:ascii="Times New Roman" w:hAnsi="Times New Roman" w:eastAsia="Times New Roman" w:cs="Times New Roman"/>
        </w:rPr>
        <w:t xml:space="preserve"> </w:t>
      </w:r>
      <w:r>
        <w:rPr>
          <w:rFonts w:ascii="Leelawadee UI" w:hAnsi="Leelawadee UI" w:eastAsia="Leelawadee UI" w:cs="Leelawadee UI"/>
        </w:rPr>
        <w:t>จะต้องร้องคร่ำครวญอย่างขมขื่น</w:t>
      </w:r>
      <w:r>
        <w:rPr>
          <w:rFonts w:ascii="Times New Roman" w:hAnsi="Times New Roman" w:eastAsia="Times New Roman" w:cs="Times New Roman"/>
        </w:rPr>
        <w:t xml:space="preserve"> </w:t>
      </w:r>
      <w:r>
        <w:rPr>
          <w:rFonts w:ascii="Leelawadee UI" w:hAnsi="Leelawadee UI" w:eastAsia="Leelawadee UI" w:cs="Leelawadee UI"/>
        </w:rPr>
        <w:t>คำว่า</w:t>
      </w:r>
      <w:r>
        <w:rPr>
          <w:rFonts w:ascii="Times New Roman" w:hAnsi="Times New Roman" w:eastAsia="Times New Roman" w:cs="Times New Roman"/>
        </w:rPr>
        <w:t xml:space="preserve"> “</w:t>
      </w:r>
      <w:r>
        <w:rPr>
          <w:rFonts w:ascii="Leelawadee UI" w:hAnsi="Leelawadee UI" w:eastAsia="Leelawadee UI" w:cs="Leelawadee UI"/>
        </w:rPr>
        <w:t>ร้อง</w:t>
      </w:r>
      <w:r>
        <w:rPr>
          <w:rFonts w:ascii="Times New Roman" w:hAnsi="Times New Roman" w:eastAsia="Times New Roman" w:cs="Times New Roman"/>
        </w:rPr>
        <w:t xml:space="preserve">” </w:t>
      </w:r>
      <w:r>
        <w:rPr>
          <w:rFonts w:ascii="Leelawadee UI" w:hAnsi="Leelawadee UI" w:eastAsia="Leelawadee UI" w:cs="Leelawadee UI"/>
        </w:rPr>
        <w:t>เป็นสัญลักษณ์ของเสียงร้องยามเที่ยงคืนในวาระสุดท้าย</w:t>
      </w:r>
      <w:r>
        <w:rPr>
          <w:rFonts w:ascii="Times New Roman" w:hAnsi="Times New Roman" w:eastAsia="Times New Roman" w:cs="Times New Roman"/>
        </w:rPr>
        <w:t xml:space="preserve"> </w:t>
      </w:r>
      <w:r>
        <w:rPr>
          <w:rFonts w:ascii="Leelawadee UI" w:hAnsi="Leelawadee UI" w:eastAsia="Leelawadee UI" w:cs="Leelawadee UI"/>
        </w:rPr>
        <w:t>และคำว่า</w:t>
      </w:r>
      <w:r>
        <w:rPr>
          <w:rFonts w:ascii="Times New Roman" w:hAnsi="Times New Roman" w:eastAsia="Times New Roman" w:cs="Times New Roman"/>
        </w:rPr>
        <w:t xml:space="preserve"> “</w:t>
      </w:r>
      <w:r>
        <w:rPr>
          <w:rFonts w:ascii="Leelawadee UI" w:hAnsi="Leelawadee UI" w:eastAsia="Leelawadee UI" w:cs="Leelawadee UI"/>
        </w:rPr>
        <w:t>ขมขื่น</w:t>
      </w:r>
      <w:r>
        <w:rPr>
          <w:rFonts w:ascii="Times New Roman" w:hAnsi="Times New Roman" w:eastAsia="Times New Roman" w:cs="Times New Roman"/>
        </w:rPr>
        <w:t xml:space="preserve">” </w:t>
      </w:r>
      <w:r>
        <w:rPr>
          <w:rFonts w:ascii="Leelawadee UI" w:hAnsi="Leelawadee UI" w:eastAsia="Leelawadee UI" w:cs="Leelawadee UI"/>
        </w:rPr>
        <w:t>เป็นตัวแทนของความกริ้วอันชอบธรรม</w:t>
      </w:r>
      <w:r>
        <w:rPr>
          <w:rFonts w:ascii="Times New Roman" w:hAnsi="Times New Roman" w:eastAsia="Times New Roman" w:cs="Times New Roman"/>
        </w:rPr>
        <w:t xml:space="preserve"> </w:t>
      </w:r>
      <w:r>
        <w:rPr>
          <w:rFonts w:ascii="Leelawadee UI" w:hAnsi="Leelawadee UI" w:eastAsia="Leelawadee UI" w:cs="Leelawadee UI"/>
        </w:rPr>
        <w:t>กิเดโอน</w:t>
      </w:r>
      <w:r>
        <w:rPr>
          <w:rFonts w:ascii="Times New Roman" w:hAnsi="Times New Roman" w:eastAsia="Times New Roman" w:cs="Times New Roman"/>
        </w:rPr>
        <w:t xml:space="preserve"> </w:t>
      </w:r>
      <w:r>
        <w:rPr>
          <w:rFonts w:ascii="Leelawadee UI" w:hAnsi="Leelawadee UI" w:eastAsia="Leelawadee UI" w:cs="Leelawadee UI"/>
        </w:rPr>
        <w:t>หรือ</w:t>
      </w:r>
      <w:r>
        <w:rPr>
          <w:rFonts w:ascii="Times New Roman" w:hAnsi="Times New Roman" w:eastAsia="Times New Roman" w:cs="Times New Roman"/>
        </w:rPr>
        <w:t xml:space="preserve"> “</w:t>
      </w:r>
      <w:r>
        <w:rPr>
          <w:rFonts w:ascii="Leelawadee UI" w:hAnsi="Leelawadee UI" w:eastAsia="Leelawadee UI" w:cs="Leelawadee UI"/>
        </w:rPr>
        <w:t>บุรุษผู้ทรงกำลัง</w:t>
      </w:r>
      <w:r>
        <w:rPr>
          <w:rFonts w:ascii="Times New Roman" w:hAnsi="Times New Roman" w:eastAsia="Times New Roman" w:cs="Times New Roman"/>
        </w:rPr>
        <w:t xml:space="preserve">” </w:t>
      </w:r>
      <w:r>
        <w:rPr>
          <w:rFonts w:ascii="Leelawadee UI" w:hAnsi="Leelawadee UI" w:eastAsia="Leelawadee UI" w:cs="Leelawadee UI"/>
        </w:rPr>
        <w:t>ของเศฟันยาห์</w:t>
      </w:r>
      <w:r>
        <w:rPr>
          <w:rFonts w:ascii="Times New Roman" w:hAnsi="Times New Roman" w:eastAsia="Times New Roman" w:cs="Times New Roman"/>
        </w:rPr>
        <w:t xml:space="preserve"> </w:t>
      </w:r>
      <w:r>
        <w:rPr>
          <w:rFonts w:ascii="Leelawadee UI" w:hAnsi="Leelawadee UI" w:eastAsia="Leelawadee UI" w:cs="Leelawadee UI"/>
        </w:rPr>
        <w:t>เป็นสัญลักษณ์ของข่าวสารเอลียาห์ซึ่งมีหน้าที่สำแดงบาปของประชากรของพระเจ้า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และแน่นอนรวมถึงบาปของบรรพบุรุษของเขาทั้งหลายด้วย</w:t>
      </w:r>
    </w:p>
    <w:p>
      <w:pPr>
        <w:pStyle w:val="ArticleScripture"/>
        <w:jc w:val="left"/>
      </w:pPr>
      <w:r>
        <w:rPr>
          <w:rFonts w:ascii="Times New Roman" w:hAnsi="Times New Roman" w:eastAsia="Times New Roman" w:cs="Times New Roman"/>
        </w:rPr>
        <w:t>Keletso e kwa godimo, o se ka wa ithiba; tsholetsa lentswe la gago jaaka terompeta, mme o bontshe batho ba me tlolo ya bone, le ba ntlo ya ga Jakobe maleo a bone. Isaia 58:1.</w:t>
      </w:r>
    </w:p>
    <w:p>
      <w:pPr>
        <w:pStyle w:val="ArticleBody"/>
        <w:jc w:val="left"/>
      </w:pPr>
      <w:r>
        <w:rPr>
          <w:rFonts w:ascii="Times New Roman" w:hAnsi="Times New Roman" w:eastAsia="Times New Roman" w:cs="Times New Roman"/>
        </w:rPr>
        <w:t>Усі пророки узгоджуються між собою щодо останніх днів, тому сурмова вістка Ісаї є також «голосінням» сильного мужа в Софонії, яким є Гедеон, і всі вони вказують на вісника Іллі та його працю в останні дні. В Ісаї наступні вірші визначають їхній гріх як самовпевненість, бо вони вважають, що насправді поклоняються Господеві й служать Йому.</w:t>
      </w:r>
    </w:p>
    <w:p>
      <w:pPr>
        <w:pStyle w:val="ArticleScripture"/>
        <w:jc w:val="left"/>
      </w:pPr>
      <w:r>
        <w:rPr>
          <w:rFonts w:ascii="Times New Roman" w:hAnsi="Times New Roman" w:eastAsia="Times New Roman" w:cs="Times New Roman"/>
        </w:rPr>
        <w:t>Ils me cherchent chaque jour, et ils prennent plaisir à connaître mes voies, comme une nation qui pratiquerait la justice et n’abandonnerait pas l’ordonnance de son Dieu ; ils me demandent les ordonnances de la justice, ils prennent plaisir à s’approcher de Dieu. Ésaïe 58:2.</w:t>
      </w:r>
    </w:p>
    <w:p>
      <w:pPr>
        <w:pStyle w:val="ArticleBody"/>
        <w:jc w:val="left"/>
      </w:pPr>
      <w:r>
        <w:rPr>
          <w:rFonts w:ascii="Times New Roman" w:hAnsi="Times New Roman" w:eastAsia="Times New Roman" w:cs="Times New Roman"/>
        </w:rPr>
        <w:t>ʻAue ʻehaʻeha o ke kanaka ikaika ka ʻōlelo o ka Uē o ke Aumoe, a ua komo pū i loko ona ka hōʻike ʻana he hewa hoʻomākeʻaka kūʻē iā Iēhova ka lā 18 o Iulai, 2020, he hewa hoʻi e pono ke mihi ʻia a e haʻi ʻia aku. ʻO ke kumu a me nā māhele paʻa o ka ʻōlelo o ka Uē o ke Aumoe, ʻo ia nō ka hoʻokumu ʻia ʻana o ke kiʻi o ka holoholona hihiu, a me ka hoʻokolokolo i lawe ʻia mai ma luna o ʻAmelika Hui Pū ʻIa, a laila ma luna o ke ao nei, e ʻIsalama.</w:t>
      </w:r>
    </w:p>
    <w:p>
      <w:pPr>
        <w:pStyle w:val="ArticleBody"/>
        <w:jc w:val="left"/>
      </w:pPr>
      <w:r>
        <w:rPr>
          <w:rFonts w:ascii="Times New Roman" w:hAnsi="Times New Roman" w:eastAsia="Times New Roman" w:cs="Times New Roman"/>
        </w:rPr>
        <w:t>Lorsque la prière de Lévitique vingt-six sera accomplie à la fin du désert des trois jours et demi d’Apocalypse onze, ce qui est précieux et ce qui est vil seront séparés. Les sages et les insensés auront, ou n’auront pas, l’huile d’or, et alors ils seront comme « un seul homme » de Gédéon. Selon Sophonie, avant le décret de la loi du dimanche, Gédéon, qui est Élie, qui est Ézéchiel, qui est l’homme puissant, présentera le message du Cri de Minuit, conjointement avec l’amertume qui consiste à montrer au peuple de Dieu son péché d’avoir participé à la prédiction du 18 juillet 2020, ainsi que sa tentative injustifiée de justifier cette prédiction après son échec complet.</w:t>
      </w:r>
    </w:p>
    <w:p>
      <w:pPr>
        <w:pStyle w:val="ArticleBody"/>
        <w:jc w:val="left"/>
      </w:pPr>
      <w:r>
        <w:rPr>
          <w:rFonts w:ascii="Times New Roman" w:hAnsi="Times New Roman" w:eastAsia="Times New Roman" w:cs="Times New Roman"/>
        </w:rPr>
        <w:t>صفنيا يشير إلى اجتماع شعب الله معًا في الأيام الأخيرة، يسبق صدور مرسوم قانون الأحد. وهذا الاجتماع معًا يمثله أيضًا نبوة حزقيال الأولى في الإصحاح السابع والثلاثين.</w:t>
      </w:r>
    </w:p>
    <w:p>
      <w:pPr>
        <w:pStyle w:val="ArticleScripture"/>
        <w:jc w:val="left"/>
      </w:pPr>
      <w:r>
        <w:rPr>
          <w:rFonts w:ascii="Times New Roman" w:hAnsi="Times New Roman" w:eastAsia="Times New Roman" w:cs="Times New Roman"/>
        </w:rPr>
        <w:t>Ainsi je prophétisai selon l’ordre que j’avais reçu ; et, comme je prophétisais, il y eut un bruit, et voici, un frémissement, et les os se rapprochèrent, chaque os à son os. Et je regardai, et voici, les nerfs et la chair montèrent sur eux, et la peau les recouvrit par-dessus ; mais il n’y avait point de souffle en eux. Ézéchiel 37:7, 8.</w:t>
      </w:r>
    </w:p>
    <w:p>
      <w:pPr>
        <w:pStyle w:val="ArticleBody"/>
        <w:jc w:val="left"/>
      </w:pPr>
      <w:r>
        <w:rPr>
          <w:rFonts w:ascii="Times New Roman" w:hAnsi="Times New Roman" w:eastAsia="Times New Roman" w:cs="Times New Roman"/>
        </w:rPr>
        <w:t>Hezekieli alitabiri juu ya mifupa mikavu iliyokuwa imelala imekufa katika njia ya mji ule wa Ufunuo sura ya kumi na moja, ambapo pia Bwana wetu alisulubiwa. Kwanza hukusanywa pamoja.</w:t>
      </w:r>
    </w:p>
    <w:p>
      <w:pPr>
        <w:pStyle w:val="ArticleScripture"/>
        <w:jc w:val="left"/>
      </w:pPr>
      <w:r>
        <w:rPr>
          <w:rFonts w:ascii="Times New Roman" w:hAnsi="Times New Roman" w:eastAsia="Times New Roman" w:cs="Times New Roman"/>
        </w:rPr>
        <w:t>Na miili yao iliyokufa italala katika njia ya mji mkuu, ambao kwa maana ya kiroho huitwa Sodoma na Misri, ambapo pia Bwana wetu alisulibiwa. Nao watu wa jamaa na kabila na lugha na taifa wataitazama miili yao iliyokufa kwa muda wa siku tatu na nusu, wala hawatakubali miili yao iliyokufa kutiwa makaburini. Nao wakaao juu ya nchi watawashangilia, na kufanya furaha, nao watatuma zawadi wao kwa wao; kwa sababu hawa manabii wawili waliwatesa wale waliokaa juu ya nchi. Ufunuo 11:8–10.</w:t>
      </w:r>
    </w:p>
    <w:p>
      <w:pPr>
        <w:pStyle w:val="ArticleBody"/>
        <w:jc w:val="left"/>
      </w:pP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ߓߴߊ߬ߟߎ߬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ߞߎ߬ߡߊ߬</w:t>
      </w:r>
      <w:r>
        <w:rPr>
          <w:rFonts w:ascii="Times New Roman" w:hAnsi="Times New Roman" w:eastAsia="Times New Roman" w:cs="Times New Roman"/>
        </w:rPr>
        <w:t xml:space="preserve"> </w:t>
      </w:r>
      <w:r>
        <w:rPr>
          <w:rFonts w:ascii="Ebrima" w:hAnsi="Ebrima" w:eastAsia="Ebrima" w:cs="Ebrima"/>
        </w:rPr>
        <w:t>ߝߊ߬ߘߋ߲</w:t>
      </w:r>
      <w:r>
        <w:rPr>
          <w:rFonts w:ascii="Times New Roman" w:hAnsi="Times New Roman" w:eastAsia="Times New Roman" w:cs="Times New Roman"/>
        </w:rPr>
        <w:t xml:space="preserve"> </w:t>
      </w:r>
      <w:r>
        <w:rPr>
          <w:rFonts w:ascii="Ebrima" w:hAnsi="Ebrima" w:eastAsia="Ebrima" w:cs="Ebrima"/>
        </w:rPr>
        <w:t>ߕߊ߬ߟߋ߲߬</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ߢߍ߲߫</w:t>
      </w:r>
      <w:r>
        <w:rPr>
          <w:rFonts w:ascii="Times New Roman" w:hAnsi="Times New Roman" w:eastAsia="Times New Roman" w:cs="Times New Roman"/>
        </w:rPr>
        <w:t xml:space="preserve"> </w:t>
      </w:r>
      <w:r>
        <w:rPr>
          <w:rFonts w:ascii="Ebrima" w:hAnsi="Ebrima" w:eastAsia="Ebrima" w:cs="Ebrima"/>
        </w:rPr>
        <w:t>ߛߊ߲ߝߌ߬</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ߛߊ߲ߝߌ߬</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ߡߊߕߌ߭ߎ</w:t>
      </w:r>
      <w:r>
        <w:rPr>
          <w:rFonts w:ascii="Times New Roman" w:hAnsi="Times New Roman" w:eastAsia="Times New Roman" w:cs="Times New Roman"/>
        </w:rPr>
        <w:t xml:space="preserve"> </w:t>
      </w:r>
      <w:r>
        <w:rPr>
          <w:rFonts w:ascii="Ebrima" w:hAnsi="Ebrima" w:eastAsia="Ebrima" w:cs="Ebrima"/>
        </w:rPr>
        <w:t>ߛߓߍߦߊ</w:t>
      </w:r>
      <w:r>
        <w:rPr>
          <w:rFonts w:ascii="Times New Roman" w:hAnsi="Times New Roman" w:eastAsia="Times New Roman" w:cs="Times New Roman"/>
        </w:rPr>
        <w:t xml:space="preserve"> </w:t>
      </w:r>
      <w:r>
        <w:rPr>
          <w:rFonts w:ascii="Ebrima" w:hAnsi="Ebrima" w:eastAsia="Ebrima" w:cs="Ebrima"/>
        </w:rPr>
        <w:t>ߓߍ߯ߘߊ</w:t>
      </w:r>
      <w:r>
        <w:rPr>
          <w:rFonts w:ascii="Times New Roman" w:hAnsi="Times New Roman" w:eastAsia="Times New Roman" w:cs="Times New Roman"/>
        </w:rPr>
        <w:t xml:space="preserve"> </w:t>
      </w:r>
      <w:r>
        <w:rPr>
          <w:rFonts w:ascii="Ebrima" w:hAnsi="Ebrima" w:eastAsia="Ebrima" w:cs="Ebrima"/>
        </w:rPr>
        <w:t>ߡߎ߯ߟߊ߫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 xml:space="preserve"> </w:t>
      </w:r>
      <w:r>
        <w:rPr>
          <w:rFonts w:ascii="Ebrima" w:hAnsi="Ebrima" w:eastAsia="Ebrima" w:cs="Ebrima"/>
        </w:rPr>
        <w:t>ߓߊ߯ߙߊߟߊߟߌ</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ߟߋߝߌߕߌߞߎ</w:t>
      </w:r>
      <w:r>
        <w:rPr>
          <w:rFonts w:ascii="Times New Roman" w:hAnsi="Times New Roman" w:eastAsia="Times New Roman" w:cs="Times New Roman"/>
        </w:rPr>
        <w:t xml:space="preserve"> </w:t>
      </w:r>
      <w:r>
        <w:rPr>
          <w:rFonts w:ascii="Ebrima" w:hAnsi="Ebrima" w:eastAsia="Ebrima" w:cs="Ebrima"/>
        </w:rPr>
        <w:t>ߓߍ߯ߘߊ</w:t>
      </w:r>
      <w:r>
        <w:rPr>
          <w:rFonts w:ascii="Times New Roman" w:hAnsi="Times New Roman" w:eastAsia="Times New Roman" w:cs="Times New Roman"/>
        </w:rPr>
        <w:t xml:space="preserve"> </w:t>
      </w:r>
      <w:r>
        <w:rPr>
          <w:rFonts w:ascii="Ebrima" w:hAnsi="Ebrima" w:eastAsia="Ebrima" w:cs="Ebrima"/>
        </w:rPr>
        <w:t>ߡߎ߯ߟߊ߫</w:t>
      </w:r>
      <w:r>
        <w:rPr>
          <w:rFonts w:ascii="Times New Roman" w:hAnsi="Times New Roman" w:eastAsia="Times New Roman" w:cs="Times New Roman"/>
        </w:rPr>
        <w:t xml:space="preserve"> </w:t>
      </w:r>
      <w:r>
        <w:rPr>
          <w:rFonts w:ascii="Ebrima" w:hAnsi="Ebrima" w:eastAsia="Ebrima" w:cs="Ebrima"/>
        </w:rPr>
        <w:t>ߖߍ߬ߝߍ߲ߖߍ߬ߝߍ߲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ߞߊ߬ߟߌ߬ߝߎ߫</w:t>
      </w:r>
      <w:r>
        <w:rPr>
          <w:rFonts w:ascii="Times New Roman" w:hAnsi="Times New Roman" w:eastAsia="Times New Roman" w:cs="Times New Roman"/>
        </w:rPr>
        <w:t xml:space="preserve"> </w:t>
      </w:r>
      <w:r>
        <w:rPr>
          <w:rFonts w:ascii="Ebrima" w:hAnsi="Ebrima" w:eastAsia="Ebrima" w:cs="Ebrima"/>
        </w:rPr>
        <w:t>ߛߊ߯ߝߌ߬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ߟߊ߲ߛߊ߬ߣߍ߲</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ߞߎ߬ߡߊ߬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ߕߊ߬ߟߋ߲߬</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ߛߝߊߣߌߦߊ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ߕߐ߮</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ߛߌߦߊߡߊ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ߛߌߦߊߡߊ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ߛߌߟߊ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ߘߎ߬ߡߊ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ߘߊ߲ߞߎ߬ߡߊ</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ߞߋߟߋ߲</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ߦߴߊ߬ߟߎ߬</w:t>
      </w:r>
      <w:r>
        <w:rPr>
          <w:rFonts w:ascii="Times New Roman" w:hAnsi="Times New Roman" w:eastAsia="Times New Roman" w:cs="Times New Roman"/>
        </w:rPr>
        <w:t xml:space="preserve"> </w:t>
      </w:r>
      <w:r>
        <w:rPr>
          <w:rFonts w:ascii="Ebrima" w:hAnsi="Ebrima" w:eastAsia="Ebrima" w:cs="Ebrima"/>
        </w:rPr>
        <w:t>ߝߎ߬ߡߊ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ߛߊ߬ߙߊ߲ߛߊ߬ߣߍ߲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ߓߊ߬ߟߎ߬</w:t>
      </w:r>
      <w:r>
        <w:rPr>
          <w:rFonts w:ascii="Times New Roman" w:hAnsi="Times New Roman" w:eastAsia="Times New Roman" w:cs="Times New Roman"/>
        </w:rPr>
        <w:t xml:space="preserve"> </w:t>
      </w:r>
      <w:r>
        <w:rPr>
          <w:rFonts w:ascii="Ebrima" w:hAnsi="Ebrima" w:eastAsia="Ebrima" w:cs="Ebrima"/>
        </w:rPr>
        <w:t>ߞߎ߬ߡߊ߬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ߛߌߦߊߡߊ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ߓߊ߬ߕߏ߬</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ߘߌߦߊ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ߓߎ߰ߙߋ߲</w:t>
      </w:r>
      <w:r>
        <w:rPr>
          <w:rFonts w:ascii="Times New Roman" w:hAnsi="Times New Roman" w:eastAsia="Times New Roman" w:cs="Times New Roman"/>
        </w:rPr>
        <w:t xml:space="preserve"> </w:t>
      </w:r>
      <w:r>
        <w:rPr>
          <w:rFonts w:ascii="Ebrima" w:hAnsi="Ebrima" w:eastAsia="Ebrima" w:cs="Ebrima"/>
        </w:rPr>
        <w:t>ߘߊ߰ߙߊ߲</w:t>
      </w:r>
      <w:r>
        <w:rPr>
          <w:rFonts w:ascii="Times New Roman" w:hAnsi="Times New Roman" w:eastAsia="Times New Roman" w:cs="Times New Roman"/>
        </w:rPr>
        <w:t xml:space="preserve"> </w:t>
      </w:r>
      <w:r>
        <w:rPr>
          <w:rFonts w:ascii="Ebrima" w:hAnsi="Ebrima" w:eastAsia="Ebrima" w:cs="Ebrima"/>
        </w:rPr>
        <w:t>ߛߐ߬ߘߐ߲</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ߝߋ߲</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ߕߊߟߌ߬</w:t>
      </w:r>
      <w:r>
        <w:rPr>
          <w:rFonts w:ascii="Times New Roman" w:hAnsi="Times New Roman" w:eastAsia="Times New Roman" w:cs="Times New Roman"/>
        </w:rPr>
        <w:t xml:space="preserve"> </w:t>
      </w:r>
      <w:r>
        <w:rPr>
          <w:rFonts w:ascii="Ebrima" w:hAnsi="Ebrima" w:eastAsia="Ebrima" w:cs="Ebrima"/>
        </w:rPr>
        <w:t>ߘߊ߰ߟߌ߬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ߕߍ߲߫ߠߌ߬</w:t>
      </w:r>
      <w:r>
        <w:rPr>
          <w:rFonts w:ascii="Times New Roman" w:hAnsi="Times New Roman" w:eastAsia="Times New Roman" w:cs="Times New Roman"/>
        </w:rPr>
        <w:t xml:space="preserve"> </w:t>
      </w:r>
      <w:r>
        <w:rPr>
          <w:rFonts w:ascii="Ebrima" w:hAnsi="Ebrima" w:eastAsia="Ebrima" w:cs="Ebrima"/>
        </w:rPr>
        <w:t>ߖߐ߬ߛߊ߬</w:t>
      </w:r>
      <w:r>
        <w:rPr>
          <w:rFonts w:ascii="Times New Roman" w:hAnsi="Times New Roman" w:eastAsia="Times New Roman" w:cs="Times New Roman"/>
        </w:rPr>
        <w:t xml:space="preserve"> </w:t>
      </w:r>
      <w:r>
        <w:rPr>
          <w:rFonts w:ascii="Ebrima" w:hAnsi="Ebrima" w:eastAsia="Ebrima" w:cs="Ebrima"/>
        </w:rPr>
        <w:t>ߡߊ߬ߙߌ߬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Salmo o awit ni Asaf. Huwag kang tumahimik, O Dios: huwag mong pigilin ang iyong kapayapaan, at huwag kang manatiling hindi kumikilos, O Dios. Sapagkat, narito, ang iyong mga kaaway ay nangagkakagulo: at silang nangapopoot sa iyo ay nagtaas ng ulo. Sila’y nagsigawa ng tusong payo laban sa iyong bayan, at nagsanggunian laban sa iyong mga lingid. Kanilang sinabi, Halikayo, at lipulin natin sila upang huwag nang maging isang bansa; upang ang pangalan ng Israel ay hindi na maalaala pa. Sapagkat sila’y nagsanggunian na may isang pagsang-ayon: sila’y nagkaisa laban sa iyo. Awit 83:1–5.</w:t>
      </w:r>
    </w:p>
    <w:p>
      <w:pPr>
        <w:pStyle w:val="ArticleBody"/>
        <w:jc w:val="left"/>
      </w:pPr>
      <w:r>
        <w:rPr>
          <w:rFonts w:ascii="Times New Roman" w:hAnsi="Times New Roman" w:eastAsia="Times New Roman" w:cs="Times New Roman"/>
        </w:rPr>
        <w:t>So propósito es tomar al Israel espiritual de los últimos días y arrojarlo al horno de fuego de Nabucodonosor. Cuando los huesos secos oyen por primera vez la “voz” de Isaías, que clama el mensaje del Clamor de Medianoche, todavía se hallan en el desierto de los tres días y medio. Entonces deben escoger entre recibir o rechazar al Consolador que Cristo prometió enviar, el cual los convence de su pecado del 18 de julio de 2020.</w:t>
      </w:r>
    </w:p>
    <w:p>
      <w:pPr>
        <w:pStyle w:val="ArticleScripture"/>
        <w:jc w:val="left"/>
      </w:pPr>
      <w:r>
        <w:rPr>
          <w:rFonts w:ascii="Times New Roman" w:hAnsi="Times New Roman" w:eastAsia="Times New Roman" w:cs="Times New Roman"/>
        </w:rPr>
        <w:t>“Förtrosta, förtrosta mitt folk, säger er Gud. Tala vänligt till Jerusalem och ropa till henne, att hennes strid är fullbordad, att hennes missgärning är förlåten; ty hon har fått dubbelt ur Herrens hand för alla sina synder. En röst ropar i öknen: Bered Herrens väg, gör en jämn väg i ödemarken för vår Gud. Varje dal skall upphöjas, och varje berg och kulle skall sänkas; det krokiga skall göras rakt, och ojämna platser till slät mark. Och Herrens härlighet skall uppenbaras, och allt kött skall tillsammans se det; ty Herrens mun har talat.” Jesaja 40:1–5.</w:t>
      </w:r>
    </w:p>
    <w:p>
      <w:pPr>
        <w:pStyle w:val="ArticleBody"/>
        <w:jc w:val="left"/>
      </w:pPr>
      <w:r>
        <w:rPr>
          <w:rFonts w:ascii="Times New Roman" w:hAnsi="Times New Roman" w:eastAsia="Times New Roman" w:cs="Times New Roman"/>
        </w:rPr>
        <w:t>Le passage qui identifie l’œuvre de la voix qui crie dans le désert contient des informations très détaillées. Son message sera fondé sur une révélation du caractère de Christ, comme l’indique le fait que la « gloire », qui est le caractère de Christ, sera révélée. La Révélation de Jésus-Christ, qui est descellée juste avant la clôture du temps de grâce, est un descellement du caractère de Christ tel qu’il est représenté par l’aspect de Son caractère présenté comme l’Alpha et l’Oméga. Il sera aussi révélé que Son caractère est « la vérité ».</w:t>
      </w:r>
    </w:p>
    <w:p>
      <w:pPr>
        <w:pStyle w:val="ArticleBody"/>
        <w:jc w:val="left"/>
      </w:pPr>
      <w:r>
        <w:rPr>
          <w:rFonts w:ascii="Times New Roman" w:hAnsi="Times New Roman" w:eastAsia="Times New Roman" w:cs="Times New Roman"/>
        </w:rPr>
        <w:t>Une autre précision est que, lorsque la voix commence à crier, il est encore dans le désert des trois jours et demi, car il crie dans le désert. Prophétiquement, lorsque son œuvre commence, les deux témoins sont encore morts dans la rue qui traverse la vallée d’Ézéchiel. Un autre fait précis est que, lorsque la voix commence son œuvre, le monde entier aura accès au message. Une autre observation est que le message est donné durant la période des derniers jours, lorsque Christ efface les péchés des cent quarante-quatre mille, car leur iniquité a été pardonnée. Le fait attristant qui est aussi révélé « précepte sur précepte », c’est que seuls ceux qui satisfont aux exigences de l’Évangile recevront le pardon qui s’accomplit dans cette histoire.</w:t>
      </w:r>
    </w:p>
    <w:p>
      <w:pPr>
        <w:pStyle w:val="ArticleBody"/>
        <w:jc w:val="left"/>
      </w:pPr>
      <w:r>
        <w:rPr>
          <w:rFonts w:ascii="Times New Roman" w:hAnsi="Times New Roman" w:eastAsia="Times New Roman" w:cs="Times New Roman"/>
        </w:rPr>
        <w:t>Seuls ceux qui répondent aux exigences liées à la prière de Lévitique 26 verront leurs péchés et les péchés de leurs pères effacés, car ils auront reçu « le double pour tous ses péchés ». La « main » du Seigneur, associée à leurs péchés et aux péchés de leurs pères, est le symbole de la première déception, lorsque le Seigneur tint sa main sur une erreur qui produisit la première déception. Dans l’histoire millérite, sa main empêcha le peuple de Dieu de voir une vérité cachée. Dans cette histoire, sa main représentait sa providence divine. Dans les derniers jours, sa main représente le rejet, par le peuple de Dieu, d’une vérité révélée, et sa main représente alors son jugement divin.</w:t>
      </w:r>
    </w:p>
    <w:p>
      <w:pPr>
        <w:pStyle w:val="ArticleBody"/>
        <w:jc w:val="left"/>
      </w:pPr>
      <w:r>
        <w:rPr>
          <w:rFonts w:ascii="Times New Roman" w:hAnsi="Times New Roman" w:eastAsia="Times New Roman" w:cs="Times New Roman"/>
        </w:rPr>
        <w:t>Ngonina rito ra muthenya rwa mbere rwa Ezekieli, afu marerwo hamwe, no guto atihereire eri nk’ihuti rinene. Ubuthoni bwa kabiri bwa Ezekieli, igicweka cya mirongo itatu na mugwanja, nibwo bukoraga ibyo, buzana umwuka uturuka mu muyaga ine.</w:t>
      </w:r>
    </w:p>
    <w:p>
      <w:pPr>
        <w:pStyle w:val="ArticleScripture"/>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दिशाओं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लाऊँगा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जाओगे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37:9–14.</w:t>
      </w:r>
    </w:p>
    <w:p>
      <w:pPr>
        <w:pStyle w:val="ArticleBody"/>
        <w:jc w:val="left"/>
      </w:pPr>
      <w:r>
        <w:rPr>
          <w:rFonts w:ascii="Times New Roman" w:hAnsi="Times New Roman" w:eastAsia="Times New Roman" w:cs="Times New Roman"/>
        </w:rPr>
        <w:t>Na hanuan i hren Ezekiel hi thuchah hriatna a ni, a nih avangin a li lei thli hrang hrang ata a lo kal.</w:t>
      </w:r>
    </w:p>
    <w:p>
      <w:pPr>
        <w:pStyle w:val="ArticleScripture"/>
        <w:jc w:val="left"/>
      </w:pPr>
      <w:r>
        <w:rPr>
          <w:rFonts w:ascii="Times New Roman" w:hAnsi="Times New Roman" w:eastAsia="Times New Roman" w:cs="Times New Roman"/>
        </w:rPr>
        <w:t>Et après cela, je vis quatre anges debout aux quatre coins de la terre, retenant les quatre vents de la terre, afin que le vent ne soufflât point sur la terre, ni sur la mer, ni sur aucun arbre. Et je vis un autre ange monter du côté de l’orient, tenant le sceau du Dieu vivant ; et il cria d’une voix forte aux quatre anges auxquels il avait été donné de faire du mal à la terre et à la mer, disant : Ne faites point de mal à la terre, ni à la mer, ni aux arbres, jusqu’à ce que nous ayons marqué du sceau au front les serviteurs de notre Dieu. Apocalypse 7:1–3.</w:t>
      </w:r>
    </w:p>
    <w:p>
      <w:pPr>
        <w:pStyle w:val="ArticleBody"/>
        <w:jc w:val="left"/>
      </w:pPr>
      <w:r>
        <w:rPr>
          <w:rFonts w:ascii="Times New Roman" w:hAnsi="Times New Roman" w:eastAsia="Times New Roman" w:cs="Times New Roman"/>
        </w:rPr>
        <w:t>Ang apat na hangin ay nagmumula sa silangan, at sa makahulang diwa, ang Islam ay kapuwa “hangin mula sa silangan” at “mga anak ng silangan.” Ang “hininga” ni Ezekiel, na nagpapabago sa mga nahubog na katawan upang maging “isang hukbong dakila at totoong napakalaki,” ay ang mensaheng nagtatatak sa isang daan at apatnapu’t apat na libo. Ang mensahe ng pagtatatak sa Apocalipsis kabanata pito ay nagmumula sa silangan. Ang mensaheng iyon ay ang mensahe ng Sigaw sa Hatinggabi, at kinikilala ito ni Zephaniah bilang tunog ng trumpeta na “babala laban sa mga nakukutaang bayan, at laban sa matataas na moog.”</w:t>
      </w:r>
    </w:p>
    <w:p>
      <w:pPr>
        <w:pStyle w:val="ArticleBody"/>
        <w:jc w:val="left"/>
      </w:pPr>
      <w:r>
        <w:rPr>
          <w:rFonts w:ascii="Times New Roman" w:hAnsi="Times New Roman" w:eastAsia="Times New Roman" w:cs="Times New Roman"/>
        </w:rPr>
        <w:t>Věž je symbolem církve.</w:t>
      </w:r>
    </w:p>
    <w:p>
      <w:pPr>
        <w:pStyle w:val="ArticleScripture"/>
        <w:jc w:val="left"/>
      </w:pPr>
      <w:r>
        <w:rPr>
          <w:rFonts w:ascii="Times New Roman" w:hAnsi="Times New Roman" w:eastAsia="Times New Roman" w:cs="Times New Roman"/>
        </w:rPr>
        <w:t>«В притче домовладыка представлял Бога, виноградник — иудейский народ, а ограда — Божественный закон, который был их защитой. Башня была символом храма». Желание веков, 597.</w:t>
      </w:r>
    </w:p>
    <w:p>
      <w:pPr>
        <w:pStyle w:val="ArticleBody"/>
        <w:jc w:val="left"/>
      </w:pPr>
      <w:r>
        <w:rPr>
          <w:rFonts w:ascii="Times New Roman" w:hAnsi="Times New Roman" w:eastAsia="Times New Roman" w:cs="Times New Roman"/>
        </w:rPr>
        <w:t>Kota dalam nubuat Alkitab melambangkan sebuah kerajaan. Kepausan adalah “Babel,” “kota besar itu.” Prancis dan kemudian Amerika Serikat adalah “kota besar,” yaitu “Sodom dan Mesir.” Yerusalem adalah “kota besar” yang turun dari sorga. Pekabaran Zefanya ditujukan terhadap kota-kota dan menara-menara, atau terhadap perpaduan gereja dan negara, yang menurut definisinya adalah patung binatang itu. Inilah pekabaran “rahasia” dalam Daniel pasal dua.</w:t>
      </w:r>
    </w:p>
    <w:p>
      <w:pPr>
        <w:pStyle w:val="ArticleBody"/>
        <w:jc w:val="left"/>
      </w:pPr>
      <w:r>
        <w:rPr>
          <w:rFonts w:ascii="Times New Roman" w:hAnsi="Times New Roman" w:eastAsia="Times New Roman" w:cs="Times New Roman"/>
        </w:rPr>
        <w:t>Ngayon bag-o gid ang dekreto sang domingo nga kasuguan, amo ina ang pagsulay sang bulawanon nga larawan ni Nabucodonosor sa Daniel kapitulo tres, ang mga patay nga lawas magamata kag pagabag-uhon sa isa ka gamhanan nga kasoldaduhan agud iwali ang mensahe nga nagapaila kag nagakontra sa paghulma sang paghiusa sang iglesia kag estado, samtang ginapaila man nga ang Islam amo ang instrumento sang pagtagana sang Dios nga Iya ginagamit sa pagpatuman sang Iya paghukom batok sa mga nagapatuman sang pagsimba sa Domingo, subong sang Iya ginahimo sa nagligad nga kasaysayan. Ang mensahe nagapaila nga kon ang larawan mabuo na sing bug-os, kag magapatuman sang tatak sang sapat, ang paghukom ipadangat.</w:t>
      </w:r>
    </w:p>
    <w:p>
      <w:pPr>
        <w:pStyle w:val="ArticleBody"/>
        <w:jc w:val="left"/>
      </w:pPr>
      <w:r>
        <w:rPr>
          <w:rFonts w:ascii="Times New Roman" w:hAnsi="Times New Roman" w:eastAsia="Times New Roman" w:cs="Times New Roman"/>
        </w:rPr>
        <w:t>Daniels bog, kapitel tre, indeholder ingen direkte henvisning til dyrets billede, som fører frem til og når sin modenhed ved søndagsloven; men der kan ikke være et tredje budskab uden et første og et andet, for Daniels bog, kapitel to, må indgå i åbenbaringen af de sandheder, som fremstilles i Daniels bog, kapitel tre. “Hemmeligheden” i billeddrømmen i kapitel to identificerer Guds folk idet de kommer til at erkende de livs- og dødsmæssige konsekvenser af Nebukadnezars billede af dyret.</w:t>
      </w:r>
    </w:p>
    <w:p>
      <w:pPr>
        <w:pStyle w:val="ArticleBody"/>
        <w:jc w:val="left"/>
      </w:pPr>
      <w:r>
        <w:rPr>
          <w:rFonts w:ascii="Times New Roman" w:hAnsi="Times New Roman" w:eastAsia="Times New Roman" w:cs="Times New Roman"/>
        </w:rPr>
        <w:t>La logique sanctifiée exige que, lorsque Nebucadnetsar décida de tenir une cérémonie de dédicace pour son idole d’or, l’idole dût d’abord être construite, et que les musiciens eussent besoin de s’exercer à la musique qu’ils joueraient lors de la cérémonie. Il devait y avoir, à l’avance et durant une certaine période, des travaux préparatoires de construction, avec excavation, pose d’un fondement, échafaudages, et des ouvriers allant et venant; et cette préparation était la formation de l’image du songe de Nebucadnetsar, mais l’orgueil de Nebucadnetsar détermina à faire une image d’une seule bête, et non de tous les royaumes de la prophétie biblique. La construction de cette image est l’épreuve que le peuple de Dieu doit traverser avant la fin du temps de grâce, et avant d’être scellé, avant que la musique ne retentisse.</w:t>
      </w:r>
    </w:p>
    <w:p>
      <w:pPr>
        <w:pStyle w:val="ArticleBody"/>
        <w:jc w:val="left"/>
      </w:pPr>
      <w:r>
        <w:rPr>
          <w:rFonts w:ascii="Times New Roman" w:hAnsi="Times New Roman" w:eastAsia="Times New Roman" w:cs="Times New Roman"/>
        </w:rPr>
        <w:t>La logique sanctifiée reconnaît aussi que Schadrac, Méschac et Abed-Nego n’étaient pas les seuls esclaves hébreux à avoir été témoins des préparatifs en vue de la dédicace de la statue d’or. Ils furent simplement les seuls Hébreux à comprendre les implications de ces préparatifs comme un avertissement de vie ou de mort, et à faire leur propre préparation personnelle pour la crise à venir.</w:t>
      </w:r>
    </w:p>
    <w:p>
      <w:pPr>
        <w:pStyle w:val="ArticleBody"/>
        <w:jc w:val="left"/>
      </w:pPr>
      <w:r>
        <w:rPr>
          <w:rFonts w:ascii="Times New Roman" w:hAnsi="Times New Roman" w:eastAsia="Times New Roman" w:cs="Times New Roman"/>
        </w:rPr>
        <w:t>Dans le passage de Sister White au début de cet article, elle ne met pas seulement en parallèle le décret de Sophonie avec l’image d’or de Nebucadnetsar et la loi du dimanche, elle identifie aussi le décret inique d’Ésaïe.</w:t>
      </w:r>
    </w:p>
    <w:p>
      <w:pPr>
        <w:pStyle w:val="ArticleScripture"/>
        <w:jc w:val="left"/>
      </w:pPr>
      <w:r>
        <w:rPr>
          <w:rFonts w:ascii="Times New Roman" w:hAnsi="Times New Roman" w:eastAsia="Times New Roman" w:cs="Times New Roman"/>
        </w:rPr>
        <w:t>Malheur à ceux qui prononcent des décrets iniques, et qui rédigent des ordonnances oppressives qu’ils prescrivent, pour détourner les nécessiteux de la justice, et ravir leur droit aux pauvres de mon peuple, afin que les veuves deviennent leur proie, et qu’ils dépouillent les orphelins ! Et que ferez-vous au jour du châtiment, et dans la ruine qui viendra de loin ? Vers qui fuirez-vous pour avoir du secours ? et où laisserez-vous votre gloire ? Ésaïe 10:1–3.</w:t>
      </w:r>
    </w:p>
    <w:p>
      <w:pPr>
        <w:pStyle w:val="ArticleBody"/>
        <w:jc w:val="left"/>
      </w:pPr>
      <w:r>
        <w:rPr>
          <w:rFonts w:ascii="Times New Roman" w:hAnsi="Times New Roman" w:eastAsia="Times New Roman" w:cs="Times New Roman"/>
        </w:rPr>
        <w:t>Dikrii “kan Isaayyaas warra jal’inaa” seera Dilbataa dha; innis Ameerikaa Biyyaalessaaaf “guyyaa daawwannaa” fi “badiisa” dha; sababiin isaas “gantummaan mootummaa” “badiisa mootummaa”n duukaa bu’a. Akka Isaayyaasitti, yeroo seerri Dilbataa, inni immoo fakkii warqee Nebukadnezaar ta’e, “badiisni” “fagoo irraa ni dhufa.”</w:t>
      </w:r>
    </w:p>
    <w:p>
      <w:pPr>
        <w:pStyle w:val="ArticleScripture"/>
        <w:jc w:val="left"/>
      </w:pPr>
      <w:r>
        <w:rPr>
          <w:rFonts w:ascii="Times New Roman" w:hAnsi="Times New Roman" w:eastAsia="Times New Roman" w:cs="Times New Roman"/>
        </w:rPr>
        <w:t>Souvni sa, epi montre nou se gason; reflechi ankò sou li, nou menm ki transgresè yo. Sonje bagay ki te fèt depi nan tan lontan yo; paske se mwen menm ki Bondye, e pa gen okenn lòt; se mwen menm ki Bondye, e pa gen okenn tankou mwen, mwen menm ki fè konnen finisman an depi nan kòmansman an, e depi nan tan ansyen yo bagay ki poko fèt yo, lè m di: Konsèy mwen ap kanpe, e m ap fè tout sa ki fè m plezi; mwen menm ki rele yon zwazo ravajè soti bò solèy leve a, nonm ki egzekite konsèy mwen an soti nan yon peyi byen lwen; wi, mwen te pale sa, e m ap fè l rive tou; mwen te fikse li nan plan mwen, e m ap fè li tou. Koute m, nou menm ki gen kè di, nou menm ki lwen jistis: mwen pwoche jistis mwen; li p ap lwen, e delivrans mwen p ap pran reta; e m ap mete delivrans nan Siyon pou Izrayèl, glwa mwen. Ezayi 46:8–13.</w:t>
      </w:r>
    </w:p>
    <w:p>
      <w:pPr>
        <w:pStyle w:val="ArticleBody"/>
        <w:jc w:val="left"/>
      </w:pPr>
      <w:r>
        <w:rPr>
          <w:rFonts w:ascii="Times New Roman" w:hAnsi="Times New Roman" w:eastAsia="Times New Roman" w:cs="Times New Roman"/>
        </w:rPr>
        <w:t>Isaïe situe ce passage à la fin du temps de retard, car alors son « salut » ne « tardera » plus. C’est à la fin des trois jours et demi d’Apocalypse onze. La fin du temps de retard est marquée par l’arrivée du message du Cri de Minuit, lorsque la grande armée d’Ézéchiel se lève. Lorsqu’ils se lèvent, ils sont élevés comme une bannière dans le chapitre onze de l’Apocalypse.</w:t>
      </w:r>
    </w:p>
    <w:p>
      <w:pPr>
        <w:pStyle w:val="ArticleScripture"/>
        <w:jc w:val="left"/>
      </w:pPr>
      <w:r>
        <w:rPr>
          <w:rFonts w:ascii="Times New Roman" w:hAnsi="Times New Roman" w:eastAsia="Times New Roman" w:cs="Times New Roman"/>
        </w:rPr>
        <w:t>Ac ar ôl tri diwrnod a hanner, daeth Ysbryd y bywyd oddi wrth Dduw i mewn iddynt, a safasant ar eu traed; a disgynnodd ofn mawr ar y rhai a’u gwelodd. A chlywsant lais mawr o’r nef yn dweud wrthynt, Deuwch i fyny yma. A hwy a esgynasant i fyny i’r nef mewn cwmwl; a’u gelynion a’u gwelodd hwynt. Ac yn yr un awr bu daeargryn mawr, a syrthiodd degfed ran y ddinas, ac yn y daeargryn lladdwyd saith mil o ddynion: a’r gweddill a ofnodd, ac a roesant ogoniant i Dduw’r nef. Aeth yr ail wae heibio; ac wele, y drydedd wae sydd yn dyfod ar frys. Datguddiad 11:11–14.</w:t>
      </w:r>
    </w:p>
    <w:p>
      <w:pPr>
        <w:pStyle w:val="ArticleBody"/>
        <w:jc w:val="left"/>
      </w:pPr>
      <w:r>
        <w:rPr>
          <w:rFonts w:ascii="Times New Roman" w:hAnsi="Times New Roman" w:eastAsia="Times New Roman" w:cs="Times New Roman"/>
        </w:rPr>
        <w:t>Ny vavolombelona roa ao amin’ny Apokalypsy toko faha-iraika ambin’ny folo dia miakatra ho any an-danitra amin’ny maha-faneva azy, amin’io ora io ihany amin’ny horohoron-tany, izay ilay lalàna momba ny Alahady. Amin’izany fotoana izany, na araka ny filazan’i Jaona hoe: “amin’izany ora izany,” araka ny Isaia toko faha-enina amby efapolo, Andriamanitra miantso “ilay lehilahy” izay manatanteraka ny fikasany, sady izy koa no “vorona mpihaza avy any atsinanana”. Ilay vorona mpihaza, dia “ilay lehilahy” ampiasain’Andriamanitra hanatanterahana ny fikasany, dia avy amin’ny “tany lavitra”. Ao amin’ny Isaia toko faha-folo, amin’ny fotoan’ny “didy tsy marina” izay ilay lalàna momba ny Alahady, ny “fandravana” an’i Etazonia dia avy “lavitra.” “Atsinanana” dia tandindon’ny finoana silamo, fa ao amin’ny faminaniana izy ireo dia samy “zanaky ny atsinanana” sy “rivotra avy any atsinanana.” Ny “vorona” ao amin’ny faminaniana dia fivavahana iray, araka ny anehoana an’i Babylona ho tranom-borona feno vorona maloto sy maharikoriko. Ilay “vorona mpihaza” izay avy amin’ny tany lavitra any atsinanana dia ny fivavahana silamo.</w:t>
      </w:r>
    </w:p>
    <w:p>
      <w:pPr>
        <w:pStyle w:val="ArticleScripture"/>
        <w:jc w:val="left"/>
      </w:pPr>
      <w:r>
        <w:rPr>
          <w:rFonts w:ascii="Times New Roman" w:hAnsi="Times New Roman" w:eastAsia="Times New Roman" w:cs="Times New Roman"/>
        </w:rPr>
        <w:t>Na ɔde nne kɛse teɛteɛm denneennen se: Babilon kɛse no ahwe ase, ahwe ase, na wabɛyɛ ahonhommɔne tenabea ne honhommɔne biara a ɛyɛ fi ahintabea, ne afiri abɔdeɛ biara a ɛho ntew na wɔtan no afi. Adiyisɛm 18:2.</w:t>
      </w:r>
    </w:p>
    <w:p>
      <w:pPr>
        <w:pStyle w:val="ArticleBody"/>
        <w:jc w:val="left"/>
      </w:pPr>
      <w:r>
        <w:rPr>
          <w:rFonts w:ascii="Times New Roman" w:hAnsi="Times New Roman" w:eastAsia="Times New Roman" w:cs="Times New Roman"/>
        </w:rPr>
        <w:t>La triple union de la Babylone moderne représente trois formes de gouvernement, ainsi que trois formes de religion. La religion des Nations Unies est le spiritisme, la religion des États-Unis est le protestantisme apostat, et la religion du pape est le catholicisme. Toutes ces convictions religieuses sont parfois symbolisées comme des femmes, mais aussi comme des oiseaux. C’est la puissance religieuse et politique des Nations Unies, avec les États-Unis comme roi principal, qui place la papauté sur le trône de la terre. Dans le livre de Zacharie, ce sont deux oiseaux qui établissent le pape, lequel est identifié comme cet « impie » par l’apôtre Paul dans la deuxième épître aux Thessaloniciens.</w:t>
      </w:r>
    </w:p>
    <w:p>
      <w:pPr>
        <w:pStyle w:val="ArticleScripture"/>
        <w:jc w:val="left"/>
      </w:pPr>
      <w:r>
        <w:rPr>
          <w:rFonts w:ascii="Times New Roman" w:hAnsi="Times New Roman" w:eastAsia="Times New Roman" w:cs="Times New Roman"/>
        </w:rPr>
        <w:t>Puis l’ange qui parlait avec moi s’avança et me dit : Lève maintenant les yeux, et vois ce qui sort là. Et je dis : Qu’est-ce ? Et il dit : C’est un épha qui sort. Il dit encore : C’est leur apparence sur toute la terre. Et voici, on souleva un talent de plomb ; et c’était une femme assise au milieu de l’épha. Et il dit : C’est la méchanceté. Et il la jeta au milieu de l’épha ; puis il jeta la masse de plomb sur son ouverture. Alors je levai les yeux et je regardai, et voici, deux femmes sortirent, et le vent était dans leurs ailes ; elles avaient des ailes comme les ailes de la cigogne ; et elles enlevèrent l’épha entre la terre et le ciel. Alors je dis à l’ange qui parlait avec moi : Où emportent-elles l’épha ? Et il me dit : Pour lui bâtir une maison dans le pays de Schinear ; et il y sera établi et posé sur sa propre base. Zacharie 5:5–11.</w:t>
      </w:r>
    </w:p>
    <w:p>
      <w:pPr>
        <w:pStyle w:val="ArticleBody"/>
        <w:jc w:val="left"/>
      </w:pPr>
      <w:r>
        <w:rPr>
          <w:rFonts w:ascii="Times New Roman" w:hAnsi="Times New Roman" w:eastAsia="Times New Roman" w:cs="Times New Roman"/>
        </w:rPr>
        <w:t>L’épha est une corbeille servant de mesure. Les deux femmes qui transportent l’épha, ou la corbeille au milieu de laquelle siège la papauté, sont deux Églises. Deux religions prendront la religion que la Bible désigne comme « l’impie » et lui bâtiront une maison au pays de Schinear. Schinear est un autre nom de Babylone, et l’Église catholique est Babylone la grande dans les derniers jours.</w:t>
      </w:r>
    </w:p>
    <w:p>
      <w:pPr>
        <w:pStyle w:val="ArticleBody"/>
        <w:jc w:val="left"/>
      </w:pP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औचित्य</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एपा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ढक्कन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w:t>
      </w:r>
      <w:r>
        <w:rPr>
          <w:rFonts w:ascii="Nirmala UI" w:hAnsi="Nirmala UI" w:eastAsia="Nirmala UI" w:cs="Nirmala UI"/>
        </w:rPr>
        <w:t>समारोह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अध्यात्मवाद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ढक्कन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«Քանի որ մոտենում ենք վերջին ճգնաժամին, կենսական կարևորություն ունի, որ Տիրոջ գործիքների միջև տիրի ներդաշնակություն և միաբանություն։ Աշխարհը լի է փոթորիկով, պատերազմով և երկպառակությամբ։ Սակայն մեկ գլխի՝ պապական իշխանության ներքո, ժողովուրդները կմիավորվեն՝ Աստծուն հակառակվելու Նրա վկաների անձում։ Այս միությունը ցեմենտվում է մեծ ուրացողի կողմից։ Մինչ նա ձգտում է միավորել իր գործակալներին՝ ճշմարտության դեմ պատերազմելու համար, նա կաշխատի բաժանել և ցրել նրա պաշտպաններին։ Խանդը, չար կասկածները, զրպարտությունը նրա կողմից հրահրվում են՝ անհամաձայնություն և պառակտում առաջացնելու համար»։ Վկայություններ, հատոր 7, 182։</w:t>
      </w:r>
    </w:p>
    <w:p>
      <w:pPr>
        <w:pStyle w:val="ArticleBody"/>
        <w:jc w:val="left"/>
      </w:pPr>
      <w:r>
        <w:rPr>
          <w:rFonts w:ascii="Times New Roman" w:hAnsi="Times New Roman" w:eastAsia="Times New Roman" w:cs="Times New Roman"/>
        </w:rPr>
        <w:t>Muungano wa namna tatu unakiinua upapa kuwa kichwa, kwa maana wanakusudia kuliangamiza taifa lisilotamaniwa.</w:t>
      </w:r>
    </w:p>
    <w:p>
      <w:pPr>
        <w:pStyle w:val="ArticleScripture"/>
        <w:jc w:val="left"/>
      </w:pPr>
      <w:r>
        <w:rPr>
          <w:rFonts w:ascii="Times New Roman" w:hAnsi="Times New Roman" w:eastAsia="Times New Roman" w:cs="Times New Roman"/>
        </w:rPr>
        <w:t>Car, voici, tes ennemis s’agitent avec tumulte, et ceux qui te haïssent lèvent la tête. Ils forment des desseins pleins de ruse contre ton peuple, et délibèrent contre ceux que tu tiens cachés. Ils ont dit : Venez, retranchons-les d’entre les nations, afin que le nom d’Israël ne soit plus en mémoire. Psaume 83:2–4.</w:t>
      </w:r>
    </w:p>
    <w:p>
      <w:pPr>
        <w:pStyle w:val="ArticleBody"/>
        <w:jc w:val="left"/>
      </w:pPr>
      <w:r>
        <w:rPr>
          <w:rFonts w:ascii="Times New Roman" w:hAnsi="Times New Roman" w:eastAsia="Times New Roman" w:cs="Times New Roman"/>
        </w:rPr>
        <w:t>Cêkekî ol e, û “çûka xwînrixwaz ji rojhilat” a ku Xwedê di “demjimêr”a yasaya Yekşemê de, dema ku peyama Girîya Nîvê Şevê tê ragihandin, bang dike, Îslam e. Ji ber vê yekê, di heman demjimêrê de ku miriyên ji mirinê rabûyî wek alamet ber bi ezman ve hilkişin, “wayê sêyem” yê Îslamê bi lez tê. Ji ber vê yekê ye ku Îşaya di aya yekem a beşa dehê de dibêje: “Way” li wan ku fermanên neheq dane saz kirin. “Way”ên Wahiya Yûhannayê Îslam in, û Îslam ew dadweriya xwedayî ye, an amûr, an jî têgîn (Îşaya 10:5) ku Xwedê bi wê Dewletên Yekbûyî ceza dike ji ber ku perestiya Yekşemê ferz dike.</w:t>
      </w:r>
    </w:p>
    <w:p>
      <w:pPr>
        <w:pStyle w:val="ArticleBody"/>
        <w:jc w:val="left"/>
      </w:pPr>
      <w:r>
        <w:rPr>
          <w:rFonts w:ascii="Times New Roman" w:hAnsi="Times New Roman" w:eastAsia="Times New Roman" w:cs="Times New Roman"/>
        </w:rPr>
        <w:t>Ésaïe, chapitre quarante-six, identifie « l’oiseau de proie venant de l’orient » comme « l’homme qui exécute mon dessein ». Cet « homme », c’est l’islam, et il est appelé « d’un pays lointain », car Dieu a « arrêté son dessein » de juger les États-Unis, puis le monde, pour l’imposition du dimanche, comme Il le fit autrefois avec la Rome païenne et les quatre premières trompettes, puis avec la Rome papale dans les cinquième et sixième trompettes du « Malheur ». Son dessein, dans Ésaïe, chapitre quarante-six, est d’appeler « l’oiseau de proie venant de l’orient », et Il fait savoir à Son peuple, qui désire comprendre Son conseil et Son dessein : « Souvenez-vous des premières choses, de celles d’autrefois ; car je suis Dieu, et il n’y en a point d’autre ; je suis Dieu, et nul n’est semblable à moi, annonçant dès le commencement ce qui doit arriver à la fin, et longtemps d’avance ce qui n’est pas encore accompli, disant : Mon dessein subsistera, et j’exécuterai toute ma volonté. »</w:t>
      </w:r>
    </w:p>
    <w:p>
      <w:pPr>
        <w:pStyle w:val="ArticleBody"/>
        <w:jc w:val="left"/>
      </w:pP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ಯೆಶಾಯ</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ಯೆಶಾಯನು</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ಮಹತ್ವದ</w:t>
      </w:r>
      <w:r>
        <w:rPr>
          <w:rFonts w:ascii="Times New Roman" w:hAnsi="Times New Roman" w:eastAsia="Times New Roman" w:cs="Times New Roman"/>
        </w:rPr>
        <w:t xml:space="preserve"> </w:t>
      </w:r>
      <w:r>
        <w:rPr>
          <w:rFonts w:ascii="Nirmala UI" w:hAnsi="Nirmala UI" w:eastAsia="Nirmala UI" w:cs="Nirmala UI"/>
        </w:rPr>
        <w:t>ಪ್ರಶ್ನೆಗಳನ್ನು</w:t>
      </w:r>
      <w:r>
        <w:rPr>
          <w:rFonts w:ascii="Times New Roman" w:hAnsi="Times New Roman" w:eastAsia="Times New Roman" w:cs="Times New Roman"/>
        </w:rPr>
        <w:t xml:space="preserve"> </w:t>
      </w:r>
      <w:r>
        <w:rPr>
          <w:rFonts w:ascii="Nirmala UI" w:hAnsi="Nirmala UI" w:eastAsia="Nirmala UI" w:cs="Nirmala UI"/>
        </w:rPr>
        <w:t>ದಾಖಲಿಸುತ್ತಾನೆ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que ferez-vous au jour de la visitation, et dans la désolation qui viendra de loin ? vers qui fuirez-vous pour obtenir du secours ? et où laisserez-vous votre gloire ? Ésaïe 10:3.</w:t>
      </w:r>
    </w:p>
    <w:p>
      <w:pPr>
        <w:pStyle w:val="ArticleBody"/>
        <w:jc w:val="left"/>
      </w:pPr>
      <w:r>
        <w:rPr>
          <w:rFonts w:ascii="Times New Roman" w:hAnsi="Times New Roman" w:eastAsia="Times New Roman" w:cs="Times New Roman"/>
        </w:rPr>
        <w:t>De laatste vraag maakt duidelijk dat het heerlijke land zijn heerlijkheid verliest door het onrechtvaardige decreet. De heerlijkheid van de Verenigde Staten is de Grondwet, die bij de zondagwet volledig terzijde wordt gesteld.</w:t>
      </w:r>
    </w:p>
    <w:p>
      <w:pPr>
        <w:pStyle w:val="ArticleScripture"/>
        <w:jc w:val="left"/>
      </w:pPr>
      <w:r>
        <w:rPr>
          <w:rFonts w:ascii="Times New Roman" w:hAnsi="Times New Roman" w:eastAsia="Times New Roman" w:cs="Times New Roman"/>
        </w:rPr>
        <w:t>«Конституция шулай уҡ халыҡҡа үҙидара итеү хоҡуғын гарантиялай, халыҡ тауышы менән һайланған вәкилдәрҙең закондарҙы сығарыуын һәм ғәмәлгә ашырыуын күҙ уңында тотоп. Дини инаныу иреге лә бирелде: һәр кешегә үҙ вөжданы ҡушыуы буйынса Аллаға табынырға рөхсәт ителде. Республикасылыҡ һәм протестантизм милләттең төп принциптарына әүерелде. Был принциптар уның ҡеүәте һәм сәскә атыуының сере булып тора». The Great Controversy, 441.</w:t>
      </w:r>
    </w:p>
    <w:p>
      <w:pPr>
        <w:pStyle w:val="ArticleBody"/>
        <w:jc w:val="left"/>
      </w:pPr>
      <w:r>
        <w:rPr>
          <w:rFonts w:ascii="Times New Roman" w:hAnsi="Times New Roman" w:eastAsia="Times New Roman" w:cs="Times New Roman"/>
        </w:rPr>
        <w:t>C’est la Constitution qui identifie la gloire laissée dans la poussière lors de la loi dominicale.</w:t>
      </w:r>
    </w:p>
    <w:p>
      <w:pPr>
        <w:pStyle w:val="ArticleScripture"/>
        <w:jc w:val="left"/>
      </w:pPr>
      <w:r>
        <w:rPr>
          <w:rFonts w:ascii="Times New Roman" w:hAnsi="Times New Roman" w:eastAsia="Times New Roman" w:cs="Times New Roman"/>
        </w:rPr>
        <w:t>“Kun þjóðin, sem Guð hefur unnið fyrir á svo undursamlegan hátt og yfir sem hann hefur breitt skjöld almættisins, yfirgefur meginreglur mótmælendatrúar og veitir með löggjafarvaldi sínu rómversk-kaþólskunni viðurkenningu og stuðning með því að takmarka trúfrelsi, þá mun Guð starfa í eigin mætti fyrir hið sanna fólk sitt. Ofsastjórn Rómar mun verða látin í ljós, en Kristur er hæli vort.” Testimonies to Ministers, 206.</w:t>
      </w:r>
    </w:p>
    <w:p>
      <w:pPr>
        <w:pStyle w:val="ArticleBody"/>
        <w:jc w:val="left"/>
      </w:pPr>
      <w:r>
        <w:rPr>
          <w:rFonts w:ascii="Times New Roman" w:hAnsi="Times New Roman" w:eastAsia="Times New Roman" w:cs="Times New Roman"/>
        </w:rPr>
        <w:t>Ezlîhiyeta Dewletên Yekbûyî yên Amerîkayê li ser “fermana neheq” a Îşaya, ku ew qanûna Yekşemê ye, diçe; û ew yekser bersiva pirsê duyemîn a Îşaya dide, gava ku bi awayekî pêxemberî ji bo alîkariyê ber bi Neteweyên Yekbûyî ve direve—konfederasyona deh-padşahan a di Peydakirina beşa heftdehan de—da ku êrîşa Îslamê ya “Way”ya sêyemîn çareser bike. Yekemîn ji wan sê pirsan cihê wê virankirina qanûna Yekşemê diyar dike, ya ku dibe sedema ku Dewletên Yekbûyî yên Amerîkayê dest bi xebata xwe ya din bike ku hemû cîhanê neçar bike ku têkiliya dêr û dewletê qebûl bike, wekî ku bi yekbûna Neteweyên Yekbûyî û Dêra Katolîk tê nîşandan, bi pope re ku li ser wê têkiliya nepîroz kontrolê dike. Ew wê virankirinê bi navê “roja serdana cezayê” bang dike. Hemû van rastiyên pêxemberî bi xizmeta terxankirina sûretê zêrîn a Nebukednezar re li hev tên.</w:t>
      </w:r>
    </w:p>
    <w:p>
      <w:pPr>
        <w:pStyle w:val="ArticleBody"/>
        <w:jc w:val="left"/>
      </w:pPr>
      <w:r>
        <w:rPr>
          <w:rFonts w:ascii="Times New Roman" w:hAnsi="Times New Roman" w:eastAsia="Times New Roman" w:cs="Times New Roman"/>
        </w:rPr>
        <w:t>Nous poursuivrons le chapitre trois de Daniel dans le prochain article.</w:t>
      </w:r>
    </w:p>
    <w:p>
      <w:pPr>
        <w:pStyle w:val="ArticleScripture"/>
        <w:jc w:val="left"/>
      </w:pPr>
      <w:r>
        <w:rPr>
          <w:rFonts w:ascii="Times New Roman" w:hAnsi="Times New Roman" w:eastAsia="Times New Roman" w:cs="Times New Roman"/>
        </w:rPr>
        <w:t>« Dans l’histoire de Nebucadnetsar et de Belshatsar, Dieu parle au peuple d’aujourd’hui. La condamnation qui s’abattra sur les habitants de la terre en ce jour-là viendra de leur rejet de la lumière. Notre condamnation au jugement ne résultera pas du fait que nous avons vécu dans l’erreur, mais du fait que nous avons négligé les occasions envoyées du ciel pour découvrir la vérité. Les moyens de parvenir à la connaissance de la vérité sont à la portée de tous ; mais, à l’exemple du roi voluptueux et égoïste, nous accordons plus d’attention aux choses qui charment l’oreille, plaisent aux yeux et flattent le palais, qu’aux choses qui enrichissent l’esprit, aux trésors divins de la vérité. C’est par la vérité que nous pouvons répondre à la grande question : “Que dois-je faire pour être sauvé ?” » Bible Echo, 17 septembre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Kumi na Saba</dc:title>
  <dc:subject>Les liens prophétiques : la statue d’or de Nebucadnetsar et la loi du dimanche</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