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یک‌صد و هشتادم</w:t>
      </w:r>
    </w:p>
    <w:p>
      <w:pPr>
        <w:pStyle w:val="ArticleSubtitle"/>
        <w:jc w:val="left"/>
      </w:pPr>
      <w:r>
        <w:rPr>
          <w:rFonts w:ascii="Arial" w:hAnsi="Arial" w:eastAsia="Arial" w:cs="Arial"/>
        </w:rPr>
        <w:t>Mkutano wa Kinabii wa Roma, Wamakabayo, na Nyakati za Kisasa: Utafiti katika Maono ya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يوريا سميث كتب: «ارتبطت روما بشعب الله، اليهود، عن طريق التحالف، سنة 162 ق.م.» ويؤرّخ معظم المؤرخين المحدثين هذا الحدث بسنة 161 ق.م، كما يشير سميث نفسه مرتين إلى سنة 161 ق.م في الكتاب نفسه. وأفترض أن الإشارة هنا إلى سنة 162 ق.م هي خطأ مطبعي.</w:t>
      </w:r>
    </w:p>
    <w:p>
      <w:pPr>
        <w:pStyle w:val="ArticleScripture"/>
        <w:jc w:val="left"/>
      </w:pPr>
      <w:r>
        <w:rPr>
          <w:rFonts w:ascii="Times New Roman" w:hAnsi="Times New Roman" w:eastAsia="Times New Roman" w:cs="Times New Roman"/>
        </w:rPr>
        <w:t>« Aux versets 23 et 24, nous sommes amenés en deçà de l’alliance conclue entre les Juifs et les Romains, en 161 av. J.-C., jusqu’au temps où Rome avait acquis la domination universelle. » Uriah Smith, Daniel and the Revelation, 273.</w:t>
      </w:r>
    </w:p>
    <w:p>
      <w:pPr>
        <w:pStyle w:val="ArticleBody"/>
        <w:jc w:val="left"/>
      </w:pP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217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अन्तियुखुस</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टॉलेमिक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फिलोपातोर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Vita vya Panium, vilivyotokea miaka kumi na saba baadaye katika mwaka wa 200 KK, vilikuwa tena kati ya ufalme wa Seleuki na ufalme wa Ptolemaio.</w:t>
      </w:r>
    </w:p>
    <w:p>
      <w:pPr>
        <w:pStyle w:val="ArticleBody"/>
        <w:jc w:val="left"/>
      </w:pPr>
      <w:r>
        <w:rPr>
          <w:rFonts w:ascii="Leelawadee UI" w:hAnsi="Leelawadee UI" w:eastAsia="Leelawadee UI" w:cs="Leelawadee UI"/>
        </w:rPr>
        <w:t>ການກະບົດຂອງມັກຄາບີ</w:t>
      </w:r>
      <w:r>
        <w:rPr>
          <w:rFonts w:ascii="Times New Roman" w:hAnsi="Times New Roman" w:eastAsia="Times New Roman" w:cs="Times New Roman"/>
        </w:rPr>
        <w:t xml:space="preserve"> </w:t>
      </w:r>
      <w:r>
        <w:rPr>
          <w:rFonts w:ascii="Leelawadee UI" w:hAnsi="Leelawadee UI" w:eastAsia="Leelawadee UI" w:cs="Leelawadee UI"/>
        </w:rPr>
        <w:t>ໄດ້ເລີ່ມຂຶ້ນໃນປີ</w:t>
      </w:r>
      <w:r>
        <w:rPr>
          <w:rFonts w:ascii="Times New Roman" w:hAnsi="Times New Roman" w:eastAsia="Times New Roman" w:cs="Times New Roman"/>
        </w:rPr>
        <w:t xml:space="preserve"> 167 </w:t>
      </w:r>
      <w:r>
        <w:rPr>
          <w:rFonts w:ascii="Leelawadee UI" w:hAnsi="Leelawadee UI" w:eastAsia="Leelawadee UI" w:cs="Leelawadee UI"/>
        </w:rPr>
        <w:t>ກ່ອນ</w:t>
      </w:r>
      <w:r>
        <w:rPr>
          <w:rFonts w:ascii="Times New Roman" w:hAnsi="Times New Roman" w:eastAsia="Times New Roman" w:cs="Times New Roman"/>
        </w:rPr>
        <w:t xml:space="preserve"> </w:t>
      </w:r>
      <w:r>
        <w:rPr>
          <w:rFonts w:ascii="Leelawadee UI" w:hAnsi="Leelawadee UI" w:eastAsia="Leelawadee UI" w:cs="Leelawadee UI"/>
        </w:rPr>
        <w:t>ຄ</w:t>
      </w:r>
      <w:r>
        <w:rPr>
          <w:rFonts w:ascii="Times New Roman" w:hAnsi="Times New Roman" w:eastAsia="Times New Roman" w:cs="Times New Roman"/>
        </w:rPr>
        <w:t>.</w:t>
      </w:r>
      <w:r>
        <w:rPr>
          <w:rFonts w:ascii="Leelawadee UI" w:hAnsi="Leelawadee UI" w:eastAsia="Leelawadee UI" w:cs="Leelawadee UI"/>
        </w:rPr>
        <w:t>ສ</w:t>
      </w:r>
      <w:r>
        <w:rPr>
          <w:rFonts w:ascii="Times New Roman" w:hAnsi="Times New Roman" w:eastAsia="Times New Roman" w:cs="Times New Roman"/>
        </w:rPr>
        <w:t xml:space="preserve">., </w:t>
      </w:r>
      <w:r>
        <w:rPr>
          <w:rFonts w:ascii="Leelawadee UI" w:hAnsi="Leelawadee UI" w:eastAsia="Leelawadee UI" w:cs="Leelawadee UI"/>
        </w:rPr>
        <w:t>ແລະເປັນການລຸກຮືຂອງຊາວຢິວຕໍ່ຕ້ານຄວາມພະຍາຍາມຂອງຈັກກະພັດເຊລູຊິດທີ່ຈະປາບປາມການປະຕິບັດທາງສາສະໜາຂອງຊາວຢິວ</w:t>
      </w:r>
      <w:r>
        <w:rPr>
          <w:rFonts w:ascii="Times New Roman" w:hAnsi="Times New Roman" w:eastAsia="Times New Roman" w:cs="Times New Roman"/>
        </w:rPr>
        <w:t xml:space="preserve"> </w:t>
      </w:r>
      <w:r>
        <w:rPr>
          <w:rFonts w:ascii="Leelawadee UI" w:hAnsi="Leelawadee UI" w:eastAsia="Leelawadee UI" w:cs="Leelawadee UI"/>
        </w:rPr>
        <w:t>ແລະບັງຄັບໃຫ້ຮັບເອົາວັດທະນະທຳກຣີກ</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ការឧទ្ទិសឡើងវិញនៃព្រះវិហារទីពីរនៅក្រុងយេរូសាឡឹម</w:t>
      </w:r>
      <w:r>
        <w:rPr>
          <w:rFonts w:ascii="Times New Roman" w:hAnsi="Times New Roman" w:eastAsia="Times New Roman" w:cs="Times New Roman"/>
        </w:rPr>
        <w:t xml:space="preserve"> </w:t>
      </w:r>
      <w:r>
        <w:rPr>
          <w:rFonts w:ascii="Leelawadee UI" w:hAnsi="Leelawadee UI" w:eastAsia="Leelawadee UI" w:cs="Leelawadee UI"/>
        </w:rPr>
        <w:t>ដែលសម្គាល់ព្រឹត្តិការណ៍ប្រវត្តិសាស្ត្រដែលត្រូវបានប្រារព្ធក្នុងពិធីហានុកកា</w:t>
      </w:r>
      <w:r>
        <w:rPr>
          <w:rFonts w:ascii="Times New Roman" w:hAnsi="Times New Roman" w:eastAsia="Times New Roman" w:cs="Times New Roman"/>
        </w:rPr>
        <w:t xml:space="preserve"> </w:t>
      </w:r>
      <w:r>
        <w:rPr>
          <w:rFonts w:ascii="Leelawadee UI" w:hAnsi="Leelawadee UI" w:eastAsia="Leelawadee UI" w:cs="Leelawadee UI"/>
        </w:rPr>
        <w:t>បានកើតឡើងនៅឆ្នាំ</w:t>
      </w:r>
      <w:r>
        <w:rPr>
          <w:rFonts w:ascii="Times New Roman" w:hAnsi="Times New Roman" w:eastAsia="Times New Roman" w:cs="Times New Roman"/>
        </w:rPr>
        <w:t xml:space="preserve"> 164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បីឆ្នាំមុន</w:t>
      </w:r>
      <w:r>
        <w:rPr>
          <w:rFonts w:ascii="Times New Roman" w:hAnsi="Times New Roman" w:eastAsia="Times New Roman" w:cs="Times New Roman"/>
        </w:rPr>
        <w:t xml:space="preserve"> «</w:t>
      </w:r>
      <w:r>
        <w:rPr>
          <w:rFonts w:ascii="Leelawadee UI" w:hAnsi="Leelawadee UI" w:eastAsia="Leelawadee UI" w:cs="Leelawadee UI"/>
        </w:rPr>
        <w:t>សម្ព័ន្ធ</w:t>
      </w:r>
      <w:r>
        <w:rPr>
          <w:rFonts w:ascii="Times New Roman" w:hAnsi="Times New Roman" w:eastAsia="Times New Roman" w:cs="Times New Roman"/>
        </w:rPr>
        <w:t xml:space="preserve">» </w:t>
      </w:r>
      <w:r>
        <w:rPr>
          <w:rFonts w:ascii="Leelawadee UI" w:hAnsi="Leelawadee UI" w:eastAsia="Leelawadee UI" w:cs="Leelawadee UI"/>
        </w:rPr>
        <w:t>នៃខទីម្ភៃបី។</w:t>
      </w:r>
      <w:r>
        <w:rPr>
          <w:rFonts w:ascii="Times New Roman" w:hAnsi="Times New Roman" w:eastAsia="Times New Roman" w:cs="Times New Roman"/>
        </w:rPr>
        <w:t xml:space="preserve"> </w:t>
      </w:r>
      <w:r>
        <w:rPr>
          <w:rFonts w:ascii="Leelawadee UI" w:hAnsi="Leelawadee UI" w:eastAsia="Leelawadee UI" w:cs="Leelawadee UI"/>
        </w:rPr>
        <w:t>ព្រឹត្តិការណ៍នេះបានកើតឡើងបន្ទាប់ពីយុទ្ធនាការយោធាដ៏ជោគជ័យរបស់ពួកម៉ាកាបេប្រឆាំងនឹងកងកម្លាំងនៃចក្រភពសេលូស៊ីដ</w:t>
      </w:r>
      <w:r>
        <w:rPr>
          <w:rFonts w:ascii="Times New Roman" w:hAnsi="Times New Roman" w:eastAsia="Times New Roman" w:cs="Times New Roman"/>
        </w:rPr>
        <w:t xml:space="preserve"> </w:t>
      </w:r>
      <w:r>
        <w:rPr>
          <w:rFonts w:ascii="Leelawadee UI" w:hAnsi="Leelawadee UI" w:eastAsia="Leelawadee UI" w:cs="Leelawadee UI"/>
        </w:rPr>
        <w:t>ដែលដឹកនាំដោយអង់ទីយ៉ូកុស</w:t>
      </w:r>
      <w:r>
        <w:rPr>
          <w:rFonts w:ascii="Times New Roman" w:hAnsi="Times New Roman" w:eastAsia="Times New Roman" w:cs="Times New Roman"/>
        </w:rPr>
        <w:t xml:space="preserve"> </w:t>
      </w:r>
      <w:r>
        <w:rPr>
          <w:rFonts w:ascii="Leelawadee UI" w:hAnsi="Leelawadee UI" w:eastAsia="Leelawadee UI" w:cs="Leelawadee UI"/>
        </w:rPr>
        <w:t>ទី៤</w:t>
      </w:r>
      <w:r>
        <w:rPr>
          <w:rFonts w:ascii="Times New Roman" w:hAnsi="Times New Roman" w:eastAsia="Times New Roman" w:cs="Times New Roman"/>
        </w:rPr>
        <w:t xml:space="preserve"> </w:t>
      </w:r>
      <w:r>
        <w:rPr>
          <w:rFonts w:ascii="Leelawadee UI" w:hAnsi="Leelawadee UI" w:eastAsia="Leelawadee UI" w:cs="Leelawadee UI"/>
        </w:rPr>
        <w:t>អេពីផានេស</w:t>
      </w:r>
      <w:r>
        <w:rPr>
          <w:rFonts w:ascii="Times New Roman" w:hAnsi="Times New Roman" w:eastAsia="Times New Roman" w:cs="Times New Roman"/>
        </w:rPr>
        <w:t xml:space="preserve"> </w:t>
      </w:r>
      <w:r>
        <w:rPr>
          <w:rFonts w:ascii="Leelawadee UI" w:hAnsi="Leelawadee UI" w:eastAsia="Leelawadee UI" w:cs="Leelawadee UI"/>
        </w:rPr>
        <w:t>ដ៏ល្បីឈ្មោះអាក្រក់</w:t>
      </w:r>
      <w:r>
        <w:rPr>
          <w:rFonts w:ascii="Times New Roman" w:hAnsi="Times New Roman" w:eastAsia="Times New Roman" w:cs="Times New Roman"/>
        </w:rPr>
        <w:t xml:space="preserve"> </w:t>
      </w:r>
      <w:r>
        <w:rPr>
          <w:rFonts w:ascii="Leelawadee UI" w:hAnsi="Leelawadee UI" w:eastAsia="Leelawadee UI" w:cs="Leelawadee UI"/>
        </w:rPr>
        <w:t>ដែលបានបង្អាប់បំពុលព្រះវិហារ</w:t>
      </w:r>
      <w:r>
        <w:rPr>
          <w:rFonts w:ascii="Times New Roman" w:hAnsi="Times New Roman" w:eastAsia="Times New Roman" w:cs="Times New Roman"/>
        </w:rPr>
        <w:t xml:space="preserve"> </w:t>
      </w:r>
      <w:r>
        <w:rPr>
          <w:rFonts w:ascii="Leelawadee UI" w:hAnsi="Leelawadee UI" w:eastAsia="Leelawadee UI" w:cs="Leelawadee UI"/>
        </w:rPr>
        <w:t>និងបានហាមឃាត់ការអនុវត្តសាសនារបស់សាសន៍យូដា។</w:t>
      </w:r>
      <w:r>
        <w:rPr>
          <w:rFonts w:ascii="Times New Roman" w:hAnsi="Times New Roman" w:eastAsia="Times New Roman" w:cs="Times New Roman"/>
        </w:rPr>
        <w:t xml:space="preserve"> </w:t>
      </w:r>
      <w:r>
        <w:rPr>
          <w:rFonts w:ascii="Leelawadee UI" w:hAnsi="Leelawadee UI" w:eastAsia="Leelawadee UI" w:cs="Leelawadee UI"/>
        </w:rPr>
        <w:t>អង់ទីយ៉ូកុស</w:t>
      </w:r>
      <w:r>
        <w:rPr>
          <w:rFonts w:ascii="Times New Roman" w:hAnsi="Times New Roman" w:eastAsia="Times New Roman" w:cs="Times New Roman"/>
        </w:rPr>
        <w:t xml:space="preserve"> </w:t>
      </w:r>
      <w:r>
        <w:rPr>
          <w:rFonts w:ascii="Leelawadee UI" w:hAnsi="Leelawadee UI" w:eastAsia="Leelawadee UI" w:cs="Leelawadee UI"/>
        </w:rPr>
        <w:t>ទី៤</w:t>
      </w:r>
      <w:r>
        <w:rPr>
          <w:rFonts w:ascii="Times New Roman" w:hAnsi="Times New Roman" w:eastAsia="Times New Roman" w:cs="Times New Roman"/>
        </w:rPr>
        <w:t xml:space="preserve"> </w:t>
      </w:r>
      <w:r>
        <w:rPr>
          <w:rFonts w:ascii="Leelawadee UI" w:hAnsi="Leelawadee UI" w:eastAsia="Leelawadee UI" w:cs="Leelawadee UI"/>
        </w:rPr>
        <w:t>អេពីផានេស</w:t>
      </w:r>
      <w:r>
        <w:rPr>
          <w:rFonts w:ascii="Times New Roman" w:hAnsi="Times New Roman" w:eastAsia="Times New Roman" w:cs="Times New Roman"/>
        </w:rPr>
        <w:t xml:space="preserve"> </w:t>
      </w:r>
      <w:r>
        <w:rPr>
          <w:rFonts w:ascii="Leelawadee UI" w:hAnsi="Leelawadee UI" w:eastAsia="Leelawadee UI" w:cs="Leelawadee UI"/>
        </w:rPr>
        <w:t>បានស្លាប់មិនយូរប៉ុន្មានបន្ទាប់ពីជ័យជម្នះដែលត្រូវបានរំឭកដោយពិធីហានុកកា</w:t>
      </w:r>
      <w:r>
        <w:rPr>
          <w:rFonts w:ascii="Times New Roman" w:hAnsi="Times New Roman" w:eastAsia="Times New Roman" w:cs="Times New Roman"/>
        </w:rPr>
        <w:t xml:space="preserve"> </w:t>
      </w:r>
      <w:r>
        <w:rPr>
          <w:rFonts w:ascii="Leelawadee UI" w:hAnsi="Leelawadee UI" w:eastAsia="Leelawadee UI" w:cs="Leelawadee UI"/>
        </w:rPr>
        <w:t>ហើយព្រឹត្តិការណ៍នោះក៏សម្គាល់ការចុះថយនៃអំណាចស៊ីរីចាប់ពីចំណុចនោះតទៅក្នុងប្រវត្តិសាស្ត្រ។</w:t>
      </w:r>
    </w:p>
    <w:p>
      <w:pPr>
        <w:pStyle w:val="ArticleBody"/>
        <w:jc w:val="left"/>
      </w:pPr>
      <w:r>
        <w:rPr>
          <w:rFonts w:ascii="Times New Roman" w:hAnsi="Times New Roman" w:eastAsia="Times New Roman" w:cs="Times New Roman"/>
        </w:rPr>
        <w:t>In 200 BC, (which was also the time of the Battle of Panium), Rome, for the first time, inserted itself into the prophetic history of Daniel chapter eleven. There is the symbol that establishes the vision. Its intentional influence in that history identifies the work of Jezebel, a symbol of a church that pulls strings from behind the scenes. Jezebel was at home in Samaria when her husband Ahab watched her prophets being slain by Elijah. Herodias was not at Herod’s birthday feast, where her daughter Salome seduced Herod. In the history of the United States, the papacy, represented by the whore of Tyre, is forgotten, until the end of the symbolic seventy years. She then begins to sing her songs of deception to the kings of the earth. The year 200 BC typifies when she begins openly to sing to the kings in the last days, just before the soon-coming Sunday law, as represented in verse sixteen.</w:t>
      </w:r>
    </w:p>
    <w:p>
      <w:pPr>
        <w:pStyle w:val="ArticleBody"/>
        <w:jc w:val="left"/>
      </w:pPr>
      <w:r>
        <w:rPr>
          <w:rFonts w:ascii="Times New Roman" w:hAnsi="Times New Roman" w:eastAsia="Times New Roman" w:cs="Times New Roman"/>
        </w:rPr>
        <w:t>Ko mbele ya “ligi” ya Wayahudi katika mwaka 161 KK hadi 158 KK, Wamakabayo waliiweka wakfu tena hekalu, kama inavyoadhimishwa na Hanukkah katika mwaka 164 KK. Kisha miaka mitatu baadaye, wakiwa bado katika mapambano yanayoendelea na Wasyria, Wayahudi wa Kimakabayo waliifikia Roma kwa kutafuta msaada. “Ligi” na Roma iliyoundwa wakati huo inakuwa jaribio la kinabii kwa wanafunzi wa unabii wa Mungu wa siku za mwisho.</w:t>
      </w:r>
    </w:p>
    <w:p>
      <w:pPr>
        <w:pStyle w:val="ArticleBody"/>
        <w:jc w:val="left"/>
      </w:pPr>
      <w:r>
        <w:rPr>
          <w:rFonts w:ascii="Nirmala UI" w:hAnsi="Nirmala UI" w:eastAsia="Nirmala UI" w:cs="Nirmala UI"/>
        </w:rPr>
        <w:t>पांडित्यपूर्ण</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161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158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158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छियासठ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(666)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508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असम्भव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158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सके।</w:t>
      </w:r>
    </w:p>
    <w:p>
      <w:pPr>
        <w:pStyle w:val="ArticleBody"/>
        <w:jc w:val="left"/>
      </w:pPr>
      <w:r>
        <w:rPr>
          <w:rFonts w:ascii="Nirmala UI" w:hAnsi="Nirmala UI" w:eastAsia="Nirmala UI" w:cs="Nirmala UI"/>
        </w:rPr>
        <w:t>ಆರವನೆಯ</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ಧರ್ಮಶಾಸನವನ್ನು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ಇತಿಹಾಸಕ್ಕಿಂತ</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200</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ವರ್ಷದಲ್ಲಿ</w:t>
      </w:r>
      <w:r>
        <w:rPr>
          <w:rFonts w:ascii="Times New Roman" w:hAnsi="Times New Roman" w:eastAsia="Times New Roman" w:cs="Times New Roman"/>
        </w:rPr>
        <w:t xml:space="preserve"> </w:t>
      </w:r>
      <w:r>
        <w:rPr>
          <w:rFonts w:ascii="Nirmala UI" w:hAnsi="Nirmala UI" w:eastAsia="Nirmala UI" w:cs="Nirmala UI"/>
        </w:rPr>
        <w:t>ದರ್ಶನವನ್ನು</w:t>
      </w:r>
      <w:r>
        <w:rPr>
          <w:rFonts w:ascii="Times New Roman" w:hAnsi="Times New Roman" w:eastAsia="Times New Roman" w:cs="Times New Roman"/>
        </w:rPr>
        <w:t xml:space="preserve"> </w:t>
      </w:r>
      <w:r>
        <w:rPr>
          <w:rFonts w:ascii="Nirmala UI" w:hAnsi="Nirmala UI" w:eastAsia="Nirmala UI" w:cs="Nirmala UI"/>
        </w:rPr>
        <w:t>ಸ್ಥಾಪಿಸಲು</w:t>
      </w:r>
      <w:r>
        <w:rPr>
          <w:rFonts w:ascii="Times New Roman" w:hAnsi="Times New Roman" w:eastAsia="Times New Roman" w:cs="Times New Roman"/>
        </w:rPr>
        <w:t xml:space="preserve"> </w:t>
      </w:r>
      <w:r>
        <w:rPr>
          <w:rFonts w:ascii="Nirmala UI" w:hAnsi="Nirmala UI" w:eastAsia="Nirmala UI" w:cs="Nirmala UI"/>
        </w:rPr>
        <w:t>ರೋಮ್</w:t>
      </w:r>
      <w:r>
        <w:rPr>
          <w:rFonts w:ascii="Times New Roman" w:hAnsi="Times New Roman" w:eastAsia="Times New Roman" w:cs="Times New Roman"/>
        </w:rPr>
        <w:t xml:space="preserve"> </w:t>
      </w:r>
      <w:r>
        <w:rPr>
          <w:rFonts w:ascii="Nirmala UI" w:hAnsi="Nirmala UI" w:eastAsia="Nirmala UI" w:cs="Nirmala UI"/>
        </w:rPr>
        <w:t>ಇತಿಹಾಸದೊಳಗೆ</w:t>
      </w:r>
      <w:r>
        <w:rPr>
          <w:rFonts w:ascii="Times New Roman" w:hAnsi="Times New Roman" w:eastAsia="Times New Roman" w:cs="Times New Roman"/>
        </w:rPr>
        <w:t xml:space="preserve"> </w:t>
      </w:r>
      <w:r>
        <w:rPr>
          <w:rFonts w:ascii="Nirmala UI" w:hAnsi="Nirmala UI" w:eastAsia="Nirmala UI" w:cs="Nirmala UI"/>
        </w:rPr>
        <w:t>ಪ್ರವೇಶಿಸುತ್ತದೆ</w:t>
      </w:r>
      <w:r>
        <w:rPr>
          <w:rFonts w:ascii="Times New Roman" w:hAnsi="Times New Roman" w:eastAsia="Times New Roman" w:cs="Times New Roman"/>
        </w:rPr>
        <w:t xml:space="preserve">. </w:t>
      </w:r>
      <w:r>
        <w:rPr>
          <w:rFonts w:ascii="Nirmala UI" w:hAnsi="Nirmala UI" w:eastAsia="Nirmala UI" w:cs="Nirmala UI"/>
        </w:rPr>
        <w:t>ಮಕ್ಕಬಿಯರ</w:t>
      </w:r>
      <w:r>
        <w:rPr>
          <w:rFonts w:ascii="Times New Roman" w:hAnsi="Times New Roman" w:eastAsia="Times New Roman" w:cs="Times New Roman"/>
        </w:rPr>
        <w:t xml:space="preserve"> </w:t>
      </w:r>
      <w:r>
        <w:rPr>
          <w:rFonts w:ascii="Nirmala UI" w:hAnsi="Nirmala UI" w:eastAsia="Nirmala UI" w:cs="Nirmala UI"/>
        </w:rPr>
        <w:t>ಬಂಡಾಯವು</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167</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ಆರಂಭವಾಯಿತು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ಅಂತಿಮವಾಗಿ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164</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ಮರುಪ್ರತಿಷ್ಠಾಪಿಸಿದರು</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161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158</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ಯೆಹೂದ್ಯರು</w:t>
      </w:r>
      <w:r>
        <w:rPr>
          <w:rFonts w:ascii="Times New Roman" w:hAnsi="Times New Roman" w:eastAsia="Times New Roman" w:cs="Times New Roman"/>
        </w:rPr>
        <w:t xml:space="preserve"> </w:t>
      </w:r>
      <w:r>
        <w:rPr>
          <w:rFonts w:ascii="Nirmala UI" w:hAnsi="Nirmala UI" w:eastAsia="Nirmala UI" w:cs="Nirmala UI"/>
        </w:rPr>
        <w:t>ರೋಮದ</w:t>
      </w:r>
      <w:r>
        <w:rPr>
          <w:rFonts w:ascii="Times New Roman" w:hAnsi="Times New Roman" w:eastAsia="Times New Roman" w:cs="Times New Roman"/>
        </w:rPr>
        <w:t xml:space="preserve"> </w:t>
      </w:r>
      <w:r>
        <w:rPr>
          <w:rFonts w:ascii="Nirmala UI" w:hAnsi="Nirmala UI" w:eastAsia="Nirmala UI" w:cs="Nirmala UI"/>
        </w:rPr>
        <w:t>ಅಧಿಕಾರದೊಂದಿಗೆ</w:t>
      </w:r>
      <w:r>
        <w:rPr>
          <w:rFonts w:ascii="Times New Roman" w:hAnsi="Times New Roman" w:eastAsia="Times New Roman" w:cs="Times New Roman"/>
        </w:rPr>
        <w:t xml:space="preserve"> </w:t>
      </w:r>
      <w:r>
        <w:rPr>
          <w:rFonts w:ascii="Nirmala UI" w:hAnsi="Nirmala UI" w:eastAsia="Nirmala UI" w:cs="Nirmala UI"/>
        </w:rPr>
        <w:t>ಒಡಂಬಡಿಕೆಗೆ</w:t>
      </w:r>
      <w:r>
        <w:rPr>
          <w:rFonts w:ascii="Times New Roman" w:hAnsi="Times New Roman" w:eastAsia="Times New Roman" w:cs="Times New Roman"/>
        </w:rPr>
        <w:t xml:space="preserve"> </w:t>
      </w:r>
      <w:r>
        <w:rPr>
          <w:rFonts w:ascii="Nirmala UI" w:hAnsi="Nirmala UI" w:eastAsia="Nirmala UI" w:cs="Nirmala UI"/>
        </w:rPr>
        <w:t>ಪ್ರವೇಶಿಸುತ್ತಾರೆ</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161</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158</w:t>
      </w:r>
      <w:r>
        <w:rPr>
          <w:rFonts w:ascii="Nirmala UI" w:hAnsi="Nirmala UI" w:eastAsia="Nirmala UI" w:cs="Nirmala UI"/>
        </w:rPr>
        <w:t>ರವರೆಗಿನ</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ಒಡಂಬಡಿಕೆ</w:t>
      </w:r>
      <w:r>
        <w:rPr>
          <w:rFonts w:ascii="Times New Roman" w:hAnsi="Times New Roman" w:eastAsia="Times New Roman" w:cs="Times New Roman"/>
        </w:rPr>
        <w:t>”</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ಸ್ಥಾಪಿಸಲು</w:t>
      </w:r>
      <w:r>
        <w:rPr>
          <w:rFonts w:ascii="Times New Roman" w:hAnsi="Times New Roman" w:eastAsia="Times New Roman" w:cs="Times New Roman"/>
        </w:rPr>
        <w:t xml:space="preserve"> </w:t>
      </w:r>
      <w:r>
        <w:rPr>
          <w:rFonts w:ascii="Nirmala UI" w:hAnsi="Nirmala UI" w:eastAsia="Nirmala UI" w:cs="Nirmala UI"/>
        </w:rPr>
        <w:t>ಅಗತ್ಯವಾಗಿದ್ದ</w:t>
      </w:r>
      <w:r>
        <w:rPr>
          <w:rFonts w:ascii="Times New Roman" w:hAnsi="Times New Roman" w:eastAsia="Times New Roman" w:cs="Times New Roman"/>
        </w:rPr>
        <w:t xml:space="preserve"> </w:t>
      </w:r>
      <w:r>
        <w:rPr>
          <w:rFonts w:ascii="Nirmala UI" w:hAnsi="Nirmala UI" w:eastAsia="Nirmala UI" w:cs="Nirmala UI"/>
        </w:rPr>
        <w:t>ಕಾಲಾವಧಿಯನ್ನು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ಗ್ರಹಿಕೆ</w:t>
      </w:r>
      <w:r>
        <w:rPr>
          <w:rFonts w:ascii="Times New Roman" w:hAnsi="Times New Roman" w:eastAsia="Times New Roman" w:cs="Times New Roman"/>
        </w:rPr>
        <w:t xml:space="preserve">, </w:t>
      </w:r>
      <w:r>
        <w:rPr>
          <w:rFonts w:ascii="Nirmala UI" w:hAnsi="Nirmala UI" w:eastAsia="Nirmala UI" w:cs="Nirmala UI"/>
        </w:rPr>
        <w:t>ಇತಿಹಾಸಕಾರರ</w:t>
      </w:r>
      <w:r>
        <w:rPr>
          <w:rFonts w:ascii="Times New Roman" w:hAnsi="Times New Roman" w:eastAsia="Times New Roman" w:cs="Times New Roman"/>
        </w:rPr>
        <w:t xml:space="preserve"> </w:t>
      </w:r>
      <w:r>
        <w:rPr>
          <w:rFonts w:ascii="Nirmala UI" w:hAnsi="Nirmala UI" w:eastAsia="Nirmala UI" w:cs="Nirmala UI"/>
        </w:rPr>
        <w:t>ಸಾಕ್ಷ್ಯಕ್ಕೆ</w:t>
      </w:r>
      <w:r>
        <w:rPr>
          <w:rFonts w:ascii="Times New Roman" w:hAnsi="Times New Roman" w:eastAsia="Times New Roman" w:cs="Times New Roman"/>
        </w:rPr>
        <w:t xml:space="preserve"> </w:t>
      </w:r>
      <w:r>
        <w:rPr>
          <w:rFonts w:ascii="Nirmala UI" w:hAnsi="Nirmala UI" w:eastAsia="Nirmala UI" w:cs="Nirmala UI"/>
        </w:rPr>
        <w:t>ಅನುಗುಣವಾಗಿಯೂ</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ಕೈಯಿಂದ</w:t>
      </w:r>
      <w:r>
        <w:rPr>
          <w:rFonts w:ascii="Times New Roman" w:hAnsi="Times New Roman" w:eastAsia="Times New Roman" w:cs="Times New Roman"/>
        </w:rPr>
        <w:t xml:space="preserve"> </w:t>
      </w:r>
      <w:r>
        <w:rPr>
          <w:rFonts w:ascii="Nirmala UI" w:hAnsi="Nirmala UI" w:eastAsia="Nirmala UI" w:cs="Nirmala UI"/>
        </w:rPr>
        <w:t>ನಿರ್ದೇಶಿತವಾಗಿದ್ದು</w:t>
      </w:r>
      <w:r>
        <w:rPr>
          <w:rFonts w:ascii="Times New Roman" w:hAnsi="Times New Roman" w:eastAsia="Times New Roman" w:cs="Times New Roman"/>
        </w:rPr>
        <w:t xml:space="preserve"> </w:t>
      </w:r>
      <w:r>
        <w:rPr>
          <w:rFonts w:ascii="Nirmala UI" w:hAnsi="Nirmala UI" w:eastAsia="Nirmala UI" w:cs="Nirmala UI"/>
        </w:rPr>
        <w:t>ಬದಲಾಯಿಸಬಾರಾದ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ಚಾರ್ಟ್</w:t>
      </w:r>
      <w:r>
        <w:rPr>
          <w:rFonts w:ascii="Times New Roman" w:hAnsi="Times New Roman" w:eastAsia="Times New Roman" w:cs="Times New Roman"/>
        </w:rPr>
        <w:t>‌</w:t>
      </w:r>
      <w:r>
        <w:rPr>
          <w:rFonts w:ascii="Nirmala UI" w:hAnsi="Nirmala UI" w:eastAsia="Nirmala UI" w:cs="Nirmala UI"/>
        </w:rPr>
        <w:t>ನಿಗೂ</w:t>
      </w:r>
      <w:r>
        <w:rPr>
          <w:rFonts w:ascii="Times New Roman" w:hAnsi="Times New Roman" w:eastAsia="Times New Roman" w:cs="Times New Roman"/>
        </w:rPr>
        <w:t xml:space="preserve"> </w:t>
      </w:r>
      <w:r>
        <w:rPr>
          <w:rFonts w:ascii="Nirmala UI" w:hAnsi="Nirmala UI" w:eastAsia="Nirmala UI" w:cs="Nirmala UI"/>
        </w:rPr>
        <w:t>ಅನುಗುಣವಾಗಿಯೂ</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ಒಡಂಬಡಿಕೆ</w:t>
      </w:r>
      <w:r>
        <w:rPr>
          <w:rFonts w:ascii="Times New Roman" w:hAnsi="Times New Roman" w:eastAsia="Times New Roman" w:cs="Times New Roman"/>
        </w:rPr>
        <w:t>”</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mga historyador ay nagpapaalam sa atin na ang proseso ng pakikipagkasundo sa mga sinaunang bansa gaya ng Juda at Roma noong ikalawang siglo BC ay nagkakaiba-iba ayon sa mga tiyak na kalagayan, mga protokolong diplomatiko, at mga umiiral na balanse ng kapangyarihan. Karaniwan, ang proseso ay nagsisimula kapag ang isang panig ay nagpapahayag ng hangaring magtatag ng isang kasunduan o pakikipag-alyansa sa kabila. Sa kaso ng Juda at Roma, ang Juda ang unang nakipag-ugnayan sa Roma upang magmungkahi ng isang pormal na alyansa.</w:t>
      </w:r>
    </w:p>
    <w:p>
      <w:pPr>
        <w:pStyle w:val="ArticleBody"/>
        <w:jc w:val="left"/>
      </w:pPr>
      <w:r>
        <w:rPr>
          <w:rFonts w:ascii="Times New Roman" w:hAnsi="Times New Roman" w:eastAsia="Times New Roman" w:cs="Times New Roman"/>
        </w:rPr>
        <w:t>מינכן דיפּלאָמאַטישע קאַנאַלן וואָלט מען גענוצט צו איבערגעבן דעם פֿאָרשלאָג און אָנהייבן פֿאַרהאַנדלונגען. דאָס האָט געדאַרפֿט אַרײַננעמען דאָס שיקן אַמבאַסאַדאָרן אָדער שליחים קיין רוים, כּדי זיך צו טרעפֿן מיט אירע פירער אָדער פֿאָרשטייער. אַמאָל די פֿאַרהאַנדלונגען האָבן זיך אָנגעהויבן, וואָלטן ביידע צדדים באַהאַנדלט די תנאים פֿון דעם פֿאָרגעלייגטן בונד. דאָס האָט געקאָנט אַרײַננעמען אַ סעריע פֿון זיצונגען, אויסטוישן פֿון דיפּלאָמאַטישע מעלדונגען, און מעגלעך אויך די באַטייליקונג פֿון מיטלער אָדער מעדיאַטאָרן, כּדי צו פֿאַרגרינגערן די שמועסן. בעת די פֿאַרהאַנדלונגען וואָלט יעדער צד באַטראַכט די תנאים, וואָס דער אַנדערער האָט פֿאָרגעלייגט, און מעגלעך פאָרלייגן קעגן־פֿאָרשלאָגן אָדער זוכן ענדערונגען אין געוויסע תנאים. דער פּראָצעס האָט געקאָנט אַרײַננעמען זאָרגפֿאַלטיקע באַטראַכטונג, באַראַטונג מיט ראַטגעבער, און אָפּשאַצונגען פֿון די מעגלעכע נוץ־ברענגען און חסרונות פֿון דעם פֿאָרגעלייגטן בונד.</w:t>
      </w:r>
    </w:p>
    <w:p>
      <w:pPr>
        <w:pStyle w:val="ArticleBody"/>
        <w:jc w:val="left"/>
      </w:pPr>
      <w:r>
        <w:rPr>
          <w:rFonts w:ascii="Times New Roman" w:hAnsi="Times New Roman" w:eastAsia="Times New Roman" w:cs="Times New Roman"/>
        </w:rPr>
        <w:t>Ikiwa pande zote mbili zingefikia makubaliano juu ya masharti ya mkataba, nyaraka rasmi zingeandaliwa zikieleza masharti na hali zilizokubaliwa na pande zote mbili. Kisha mkataba huo ungehitaji kuridhiwa na mamlaka husika za kila taifa. Kwa upande wa Roma, jambo hili lingeweza kuhusisha idhini ya Seneti au vyombo vingine vya utawala. Vivyo hivyo, katika Yuda, yaelekea mkataba huo ungehitaji idhini ya viongozi wake au baraza lake la utawala. Mara tu baada ya kuridhiwa, mkataba huo ungetekelezwa, na pande zote mbili zingetarajiwa kushika masharti yake. Jambo hili lingeweza kuhusisha aina mbalimbali za ushirikiano, makubaliano ya ulinzi wa pande zote, mahusiano ya biashara, au namna nyingine za ushirikiano wa kidiplomasia zilizoainishwa katika mkataba huo.</w:t>
      </w:r>
    </w:p>
    <w:p>
      <w:pPr>
        <w:pStyle w:val="ArticleBody"/>
        <w:jc w:val="left"/>
      </w:pPr>
      <w:r>
        <w:rPr>
          <w:rFonts w:ascii="Nirmala UI" w:hAnsi="Nirmala UI" w:eastAsia="Nirmala UI" w:cs="Nirmala UI"/>
        </w:rPr>
        <w:t>শুরুতেই</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লক্ষ্যভাষা</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“ff”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“ff”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ভাষাকে</w:t>
      </w:r>
      <w:r>
        <w:rPr>
          <w:rFonts w:ascii="Times New Roman" w:hAnsi="Times New Roman" w:eastAsia="Times New Roman" w:cs="Times New Roman"/>
        </w:rPr>
        <w:t xml:space="preserve"> </w:t>
      </w:r>
      <w:r>
        <w:rPr>
          <w:rFonts w:ascii="Nirmala UI" w:hAnsi="Nirmala UI" w:eastAsia="Nirmala UI" w:cs="Nirmala UI"/>
        </w:rPr>
        <w:t>বোঝায়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লক্ষ্যভাষাটি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 </w:t>
      </w:r>
      <w:r>
        <w:rPr>
          <w:rFonts w:ascii="Nirmala UI" w:hAnsi="Nirmala UI" w:eastAsia="Nirmala UI" w:cs="Nirmala UI"/>
        </w:rPr>
        <w:t>বাংলা</w:t>
      </w:r>
      <w:r>
        <w:rPr>
          <w:rFonts w:ascii="Times New Roman" w:hAnsi="Times New Roman" w:eastAsia="Times New Roman" w:cs="Times New Roman"/>
        </w:rPr>
        <w:t xml:space="preserve"> - </w:t>
      </w:r>
      <w:r>
        <w:rPr>
          <w:rFonts w:ascii="Nirmala UI" w:hAnsi="Nirmala UI" w:eastAsia="Nirmala UI" w:cs="Nirmala UI"/>
        </w:rPr>
        <w:t>ফরাসি</w:t>
      </w:r>
      <w:r>
        <w:rPr>
          <w:rFonts w:ascii="Times New Roman" w:hAnsi="Times New Roman" w:eastAsia="Times New Roman" w:cs="Times New Roman"/>
        </w:rPr>
        <w:t xml:space="preserve"> - </w:t>
      </w:r>
      <w:r>
        <w:rPr>
          <w:rFonts w:ascii="Nirmala UI" w:hAnsi="Nirmala UI" w:eastAsia="Nirmala UI" w:cs="Nirmala UI"/>
        </w:rPr>
        <w:t>ফিনিশ</w:t>
      </w:r>
      <w:r>
        <w:rPr>
          <w:rFonts w:ascii="Times New Roman" w:hAnsi="Times New Roman" w:eastAsia="Times New Roman" w:cs="Times New Roman"/>
        </w:rPr>
        <w:t xml:space="preserve"> - </w:t>
      </w:r>
      <w:r>
        <w:rPr>
          <w:rFonts w:ascii="Nirmala UI" w:hAnsi="Nirmala UI" w:eastAsia="Nirmala UI" w:cs="Nirmala UI"/>
        </w:rPr>
        <w:t>ফারসি</w:t>
      </w:r>
      <w:r>
        <w:rPr>
          <w:rFonts w:ascii="Times New Roman" w:hAnsi="Times New Roman" w:eastAsia="Times New Roman" w:cs="Times New Roman"/>
        </w:rPr>
        <w:t xml:space="preserve"> - </w:t>
      </w:r>
      <w:r>
        <w:rPr>
          <w:rFonts w:ascii="Nirmala UI" w:hAnsi="Nirmala UI" w:eastAsia="Nirmala UI" w:cs="Nirmala UI"/>
        </w:rPr>
        <w:t>ফুলফুলদে</w:t>
      </w:r>
      <w:r>
        <w:rPr>
          <w:rFonts w:ascii="Times New Roman" w:hAnsi="Times New Roman" w:eastAsia="Times New Roman" w:cs="Times New Roman"/>
        </w:rPr>
        <w:t xml:space="preserve"> -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ভাষা</w:t>
      </w:r>
      <w:r>
        <w:rPr>
          <w:rFonts w:ascii="Times New Roman" w:hAnsi="Times New Roman" w:eastAsia="Times New Roman" w:cs="Times New Roman"/>
        </w:rPr>
        <w:t xml:space="preserve"> </w:t>
      </w:r>
      <w:r>
        <w:rPr>
          <w:rFonts w:ascii="Nirmala UI" w:hAnsi="Nirmala UI" w:eastAsia="Nirmala UI" w:cs="Nirmala UI"/>
        </w:rPr>
        <w:t>ভাষা</w:t>
      </w:r>
      <w:r>
        <w:rPr>
          <w:rFonts w:ascii="Times New Roman" w:hAnsi="Times New Roman" w:eastAsia="Times New Roman" w:cs="Times New Roman"/>
        </w:rPr>
        <w:t xml:space="preserve"> </w:t>
      </w:r>
      <w:r>
        <w:rPr>
          <w:rFonts w:ascii="Nirmala UI" w:hAnsi="Nirmala UI" w:eastAsia="Nirmala UI" w:cs="Nirmala UI"/>
        </w:rPr>
        <w:t>জানালে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শুধু</w:t>
      </w:r>
      <w:r>
        <w:rPr>
          <w:rFonts w:ascii="Times New Roman" w:hAnsi="Times New Roman" w:eastAsia="Times New Roman" w:cs="Times New Roman"/>
        </w:rPr>
        <w:t xml:space="preserve"> </w:t>
      </w:r>
      <w:r>
        <w:rPr>
          <w:rFonts w:ascii="Nirmala UI" w:hAnsi="Nirmala UI" w:eastAsia="Nirmala UI" w:cs="Nirmala UI"/>
        </w:rPr>
        <w:t>অনুবাদটি</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করব।</w:t>
      </w:r>
    </w:p>
    <w:p>
      <w:pPr>
        <w:pStyle w:val="ArticleBody"/>
        <w:jc w:val="left"/>
      </w:pPr>
      <w:r>
        <w:rPr>
          <w:rFonts w:ascii="Times New Roman" w:hAnsi="Times New Roman" w:eastAsia="Times New Roman" w:cs="Times New Roman"/>
        </w:rPr>
        <w:t>Ki peyi ki rele “ff” ou vle m tradui sa a ladan l? Tanpri presize lang sib la.</w:t>
      </w:r>
    </w:p>
    <w:p>
      <w:pPr>
        <w:pStyle w:val="ArticleBody"/>
        <w:jc w:val="left"/>
      </w:pPr>
      <w:r>
        <w:rPr>
          <w:rFonts w:ascii="Times New Roman" w:hAnsi="Times New Roman" w:eastAsia="Times New Roman" w:cs="Times New Roman"/>
        </w:rPr>
        <w:t>ꞌAhu pe ko e kau Siu Makkapea naʻa nau kumi ki ha fuakava mo Loma, naʻe pau ke nau fekau atu ha kau ʻamipasitoa ki Loma. ʻI he taimi naʻe tali ai ʻa e kau ʻamipasitoa ko ia ʻe he kau maʻu mafai Loma, naʻe pau ke hoko ha vahaʻa taimi ʻo e fealēleaʻaki. ʻI he vakai fakahisitōlia, he ʻoku ʻikai ke maʻu ha lekooti pau, ʻi he taimi naʻe fakafōmalia ai ha aleapau, naʻe totonu ke toe ʻomi ia ki Siutea ke fakapapauʻi, pea hili ia, ʻoku ngalingali naʻe toe pau ke fakafoki ia ki Loma ke fakapapauʻi ʻa e tali ʻa e kau Siu. ʻOku meimei taʻemalava ke tui ko e founga ʻo hono fokotuʻu ha fuakava ʻi he vahaʻa taimi ko ia naʻe lava ʻo fakahoko ʻi loto pē ʻi he taʻu ʻe taha, ko ia ai ʻoku feʻunga mo e ngaahi laine kehé ʻo e kikite ʻa e mahino ko e “fuakava” ʻoku ne fakafofongaʻi ha founga mei he 161 BC ki he 158 BC, ʻa ia ʻoku nau ʻiloʻi ʻa e hisitōlia ʻoku ne tataki ki he lao Sāpate ʻo e veesi hongofulu mā ono.</w:t>
      </w:r>
    </w:p>
    <w:p>
      <w:pPr>
        <w:pStyle w:val="ArticleBody"/>
        <w:jc w:val="left"/>
      </w:pPr>
      <w:r>
        <w:rPr>
          <w:rFonts w:ascii="Times New Roman" w:hAnsi="Times New Roman" w:eastAsia="Times New Roman" w:cs="Times New Roman"/>
        </w:rPr>
        <w:t>یک «ائتلاف» که همهٔ مورخان اتفاق نظر دارند به ابتکار یهودیان مکابی برقرار شد، در سال ۱۶۱ پیش از میلاد در یهودیه آغاز گردید. مقصود از آن این بود که یهودیان در برابر سوریانی که از زمان آغاز شورششان در ۱۶۷ پیش از میلاد با آنان در کشاکش بودند، پشتیبانی به دست آورند. این شورش بر اثر تلاش‌های متتیاس، کاهنی یهودی، و پنج پسر او، به‌ویژه یهودا مکابی، برای مقاومت در برابر سیاست‌های هلنی‌سازیِ تحمیل‌شده از سوی فرمانروای سلوکی، آنتیوخوس چهارم اپیفانس، برانگیخته شد. این سیاست‌ها شامل کوشش‌هایی برای سرکوب آداب دینی یهودیان و واداشتن آنان به پذیرش رسوم و اعتقادات یونانی بود.</w:t>
      </w:r>
    </w:p>
    <w:p>
      <w:pPr>
        <w:pStyle w:val="ArticleBody"/>
        <w:jc w:val="left"/>
      </w:pPr>
      <w:r>
        <w:rPr>
          <w:rFonts w:ascii="Times New Roman" w:hAnsi="Times New Roman" w:eastAsia="Times New Roman" w:cs="Times New Roman"/>
        </w:rPr>
        <w:t>Fafaruwa ŋutinya kuraa waama keeraa Modein, ka Mattathias nā dii decree ka o na sɔri kurbana ga Greek deity. “Modein” taaba he Hebrew yele “modi’a,” ka o yele la “ku pie” kaa “ku zɔri.” O zɔri la ni, Mattathias kū Jewish apostate yen ka o bo ka o sɔri kurbana la, ka o ne o biaa zoe la kuŋaa nɛ, ka kpeeri guerrilla warfare campaign ka ba dii Seleucid forces la. Maccabean Revolt la yeli la sanayi bie, yen ni ka Maccabees la tuuma battles pam ne Seleucids la ne ba allies la. Hali ka ba pam nɛ ba laafee la ne ba zane la, Maccabees la nyɛri victories pam ka ba yɛlɛ bo nɛ.</w:t>
      </w:r>
    </w:p>
    <w:p>
      <w:pPr>
        <w:pStyle w:val="ArticleBody"/>
        <w:jc w:val="left"/>
      </w:pPr>
      <w:r>
        <w:rPr>
          <w:rFonts w:ascii="Nirmala UI" w:hAnsi="Nirmala UI" w:eastAsia="Nirmala UI" w:cs="Nirmala UI"/>
        </w:rPr>
        <w:t>බියුසිඩ්</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රීසියේ</w:t>
      </w:r>
      <w:r>
        <w:rPr>
          <w:rFonts w:ascii="Times New Roman" w:hAnsi="Times New Roman" w:eastAsia="Times New Roman" w:cs="Times New Roman"/>
        </w:rPr>
        <w:t xml:space="preserve"> </w:t>
      </w:r>
      <w:r>
        <w:rPr>
          <w:rFonts w:ascii="Nirmala UI" w:hAnsi="Nirmala UI" w:eastAsia="Nirmala UI" w:cs="Nirmala UI"/>
        </w:rPr>
        <w:t>ආගම</w:t>
      </w:r>
      <w:r>
        <w:rPr>
          <w:rFonts w:ascii="Times New Roman" w:hAnsi="Times New Roman" w:eastAsia="Times New Roman" w:cs="Times New Roman"/>
        </w:rPr>
        <w:t xml:space="preserve"> </w:t>
      </w:r>
      <w:r>
        <w:rPr>
          <w:rFonts w:ascii="Nirmala UI" w:hAnsi="Nirmala UI" w:eastAsia="Nirmala UI" w:cs="Nirmala UI"/>
        </w:rPr>
        <w:t>බලහත්කාරයෙන්</w:t>
      </w:r>
      <w:r>
        <w:rPr>
          <w:rFonts w:ascii="Times New Roman" w:hAnsi="Times New Roman" w:eastAsia="Times New Roman" w:cs="Times New Roman"/>
        </w:rPr>
        <w:t xml:space="preserve"> </w:t>
      </w:r>
      <w:r>
        <w:rPr>
          <w:rFonts w:ascii="Nirmala UI" w:hAnsi="Nirmala UI" w:eastAsia="Nirmala UI" w:cs="Nirmala UI"/>
        </w:rPr>
        <w:t>පනවා</w:t>
      </w:r>
      <w:r>
        <w:rPr>
          <w:rFonts w:ascii="Times New Roman" w:hAnsi="Times New Roman" w:eastAsia="Times New Roman" w:cs="Times New Roman"/>
        </w:rPr>
        <w:t xml:space="preserve"> </w:t>
      </w:r>
      <w:r>
        <w:rPr>
          <w:rFonts w:ascii="Nirmala UI" w:hAnsi="Nirmala UI" w:eastAsia="Nirmala UI" w:cs="Nirmala UI"/>
        </w:rPr>
        <w:t>දීමට</w:t>
      </w:r>
      <w:r>
        <w:rPr>
          <w:rFonts w:ascii="Times New Roman" w:hAnsi="Times New Roman" w:eastAsia="Times New Roman" w:cs="Times New Roman"/>
        </w:rPr>
        <w:t xml:space="preserve"> </w:t>
      </w:r>
      <w:r>
        <w:rPr>
          <w:rFonts w:ascii="Nirmala UI" w:hAnsi="Nirmala UI" w:eastAsia="Nirmala UI" w:cs="Nirmala UI"/>
        </w:rPr>
        <w:t>උත්සාහ</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රීකයන්</w:t>
      </w:r>
      <w:r>
        <w:rPr>
          <w:rFonts w:ascii="Times New Roman" w:hAnsi="Times New Roman" w:eastAsia="Times New Roman" w:cs="Times New Roman"/>
        </w:rPr>
        <w:t xml:space="preserve"> </w:t>
      </w:r>
      <w:r>
        <w:rPr>
          <w:rFonts w:ascii="Nirmala UI" w:hAnsi="Nirmala UI" w:eastAsia="Nirmala UI" w:cs="Nirmala UI"/>
        </w:rPr>
        <w:t>වනාහි</w:t>
      </w:r>
      <w:r>
        <w:rPr>
          <w:rFonts w:ascii="Times New Roman" w:hAnsi="Times New Roman" w:eastAsia="Times New Roman" w:cs="Times New Roman"/>
        </w:rPr>
        <w:t xml:space="preserve"> </w:t>
      </w:r>
      <w:r>
        <w:rPr>
          <w:rFonts w:ascii="Nirmala UI" w:hAnsi="Nirmala UI" w:eastAsia="Nirmala UI" w:cs="Nirmala UI"/>
        </w:rPr>
        <w:t>අන්තිම</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ගෝලවාදීන්ට</w:t>
      </w:r>
      <w:r>
        <w:rPr>
          <w:rFonts w:ascii="Times New Roman" w:hAnsi="Times New Roman" w:eastAsia="Times New Roman" w:cs="Times New Roman"/>
        </w:rPr>
        <w:t xml:space="preserve"> </w:t>
      </w:r>
      <w:r>
        <w:rPr>
          <w:rFonts w:ascii="Nirmala UI" w:hAnsi="Nirmala UI" w:eastAsia="Nirmala UI" w:cs="Nirmala UI"/>
        </w:rPr>
        <w:t>නියෝජිතයෝය</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ආගම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වර්තමානයේ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ජනපදයටත්</w:t>
      </w:r>
      <w:r>
        <w:rPr>
          <w:rFonts w:ascii="Times New Roman" w:hAnsi="Times New Roman" w:eastAsia="Times New Roman" w:cs="Times New Roman"/>
        </w:rPr>
        <w:t xml:space="preserve"> </w:t>
      </w:r>
      <w:r>
        <w:rPr>
          <w:rFonts w:ascii="Nirmala UI" w:hAnsi="Nirmala UI" w:eastAsia="Nirmala UI" w:cs="Nirmala UI"/>
        </w:rPr>
        <w:t>ලෝකයටත්</w:t>
      </w:r>
      <w:r>
        <w:rPr>
          <w:rFonts w:ascii="Times New Roman" w:hAnsi="Times New Roman" w:eastAsia="Times New Roman" w:cs="Times New Roman"/>
        </w:rPr>
        <w:t xml:space="preserve">, </w:t>
      </w:r>
      <w:r>
        <w:rPr>
          <w:rFonts w:ascii="Nirmala UI" w:hAnsi="Nirmala UI" w:eastAsia="Nirmala UI" w:cs="Nirmala UI"/>
        </w:rPr>
        <w:t>බැංකු</w:t>
      </w:r>
      <w:r>
        <w:rPr>
          <w:rFonts w:ascii="Times New Roman" w:hAnsi="Times New Roman" w:eastAsia="Times New Roman" w:cs="Times New Roman"/>
        </w:rPr>
        <w:t xml:space="preserve"> </w:t>
      </w:r>
      <w:r>
        <w:rPr>
          <w:rFonts w:ascii="Nirmala UI" w:hAnsi="Nirmala UI" w:eastAsia="Nirmala UI" w:cs="Nirmala UI"/>
        </w:rPr>
        <w:t>පද්ධතියේ</w:t>
      </w:r>
      <w:r>
        <w:rPr>
          <w:rFonts w:ascii="Times New Roman" w:hAnsi="Times New Roman" w:eastAsia="Times New Roman" w:cs="Times New Roman"/>
        </w:rPr>
        <w:t xml:space="preserve"> </w:t>
      </w:r>
      <w:r>
        <w:rPr>
          <w:rFonts w:ascii="Nirmala UI" w:hAnsi="Nirmala UI" w:eastAsia="Nirmala UI" w:cs="Nirmala UI"/>
        </w:rPr>
        <w:t>ගෝලවාදී</w:t>
      </w:r>
      <w:r>
        <w:rPr>
          <w:rFonts w:ascii="Times New Roman" w:hAnsi="Times New Roman" w:eastAsia="Times New Roman" w:cs="Times New Roman"/>
        </w:rPr>
        <w:t xml:space="preserve"> </w:t>
      </w:r>
      <w:r>
        <w:rPr>
          <w:rFonts w:ascii="Nirmala UI" w:hAnsi="Nirmala UI" w:eastAsia="Nirmala UI" w:cs="Nirmala UI"/>
        </w:rPr>
        <w:t>බලවේගයන්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ධාරාවේ</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යාපන</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යස්ථාන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නීතිවිරෝධී</w:t>
      </w:r>
      <w:r>
        <w:rPr>
          <w:rFonts w:ascii="Times New Roman" w:hAnsi="Times New Roman" w:eastAsia="Times New Roman" w:cs="Times New Roman"/>
        </w:rPr>
        <w:t xml:space="preserve"> </w:t>
      </w:r>
      <w:r>
        <w:rPr>
          <w:rFonts w:ascii="Nirmala UI" w:hAnsi="Nirmala UI" w:eastAsia="Nirmala UI" w:cs="Nirmala UI"/>
        </w:rPr>
        <w:t>විදේශිකයන්ගේ</w:t>
      </w:r>
      <w:r>
        <w:rPr>
          <w:rFonts w:ascii="Times New Roman" w:hAnsi="Times New Roman" w:eastAsia="Times New Roman" w:cs="Times New Roman"/>
        </w:rPr>
        <w:t xml:space="preserve"> </w:t>
      </w:r>
      <w:r>
        <w:rPr>
          <w:rFonts w:ascii="Nirmala UI" w:hAnsi="Nirmala UI" w:eastAsia="Nirmala UI" w:cs="Nirmala UI"/>
        </w:rPr>
        <w:t>බලහත්කාර</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w:t>
      </w:r>
      <w:r>
        <w:rPr>
          <w:rFonts w:ascii="Nirmala UI" w:hAnsi="Nirmala UI" w:eastAsia="Nirmala UI" w:cs="Nirmala UI"/>
        </w:rPr>
        <w:t>රමණය</w:t>
      </w:r>
      <w:r>
        <w:rPr>
          <w:rFonts w:ascii="Times New Roman" w:hAnsi="Times New Roman" w:eastAsia="Times New Roman" w:cs="Times New Roman"/>
        </w:rPr>
        <w:t xml:space="preserve"> </w:t>
      </w:r>
      <w:r>
        <w:rPr>
          <w:rFonts w:ascii="Nirmala UI" w:hAnsi="Nirmala UI" w:eastAsia="Nirmala UI" w:cs="Nirmala UI"/>
        </w:rPr>
        <w:t>මාර්ගයෙන්</w:t>
      </w:r>
      <w:r>
        <w:rPr>
          <w:rFonts w:ascii="Times New Roman" w:hAnsi="Times New Roman" w:eastAsia="Times New Roman" w:cs="Times New Roman"/>
        </w:rPr>
        <w:t xml:space="preserve"> </w:t>
      </w:r>
      <w:r>
        <w:rPr>
          <w:rFonts w:ascii="Nirmala UI" w:hAnsi="Nirmala UI" w:eastAsia="Nirmala UI" w:cs="Nirmala UI"/>
        </w:rPr>
        <w:t>ජාතික</w:t>
      </w:r>
      <w:r>
        <w:rPr>
          <w:rFonts w:ascii="Times New Roman" w:hAnsi="Times New Roman" w:eastAsia="Times New Roman" w:cs="Times New Roman"/>
        </w:rPr>
        <w:t xml:space="preserve"> </w:t>
      </w:r>
      <w:r>
        <w:rPr>
          <w:rFonts w:ascii="Nirmala UI" w:hAnsi="Nirmala UI" w:eastAsia="Nirmala UI" w:cs="Nirmala UI"/>
        </w:rPr>
        <w:t>වෙනස්කම්</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දමමින්</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පනවනු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වෝක්වාදය</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 xml:space="preserve">. </w:t>
      </w:r>
      <w:r>
        <w:rPr>
          <w:rFonts w:ascii="Nirmala UI" w:hAnsi="Nirmala UI" w:eastAsia="Nirmala UI" w:cs="Nirmala UI"/>
        </w:rPr>
        <w:t>අන්තියෝකස්</w:t>
      </w:r>
      <w:r>
        <w:rPr>
          <w:rFonts w:ascii="Times New Roman" w:hAnsi="Times New Roman" w:eastAsia="Times New Roman" w:cs="Times New Roman"/>
        </w:rPr>
        <w:t xml:space="preserve"> </w:t>
      </w:r>
      <w:r>
        <w:rPr>
          <w:rFonts w:ascii="Nirmala UI" w:hAnsi="Nirmala UI" w:eastAsia="Nirmala UI" w:cs="Nirmala UI"/>
        </w:rPr>
        <w:t>එපිෆනෙස්</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රීක</w:t>
      </w:r>
      <w:r>
        <w:rPr>
          <w:rFonts w:ascii="Times New Roman" w:hAnsi="Times New Roman" w:eastAsia="Times New Roman" w:cs="Times New Roman"/>
        </w:rPr>
        <w:t xml:space="preserve"> </w:t>
      </w:r>
      <w:r>
        <w:rPr>
          <w:rFonts w:ascii="Nirmala UI" w:hAnsi="Nirmala UI" w:eastAsia="Nirmala UI" w:cs="Nirmala UI"/>
        </w:rPr>
        <w:t>ආගම</w:t>
      </w:r>
      <w:r>
        <w:rPr>
          <w:rFonts w:ascii="Times New Roman" w:hAnsi="Times New Roman" w:eastAsia="Times New Roman" w:cs="Times New Roman"/>
        </w:rPr>
        <w:t xml:space="preserve"> </w:t>
      </w:r>
      <w:r>
        <w:rPr>
          <w:rFonts w:ascii="Nirmala UI" w:hAnsi="Nirmala UI" w:eastAsia="Nirmala UI" w:cs="Nirmala UI"/>
        </w:rPr>
        <w:t>බලහත්කාරයෙන්</w:t>
      </w:r>
      <w:r>
        <w:rPr>
          <w:rFonts w:ascii="Times New Roman" w:hAnsi="Times New Roman" w:eastAsia="Times New Roman" w:cs="Times New Roman"/>
        </w:rPr>
        <w:t xml:space="preserve"> </w:t>
      </w:r>
      <w:r>
        <w:rPr>
          <w:rFonts w:ascii="Nirmala UI" w:hAnsi="Nirmala UI" w:eastAsia="Nirmala UI" w:cs="Nirmala UI"/>
        </w:rPr>
        <w:t>පනවමින්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උත්සාහයන්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සහයෝගයෙන්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යුදෙව්වන්ද</w:t>
      </w:r>
      <w:r>
        <w:rPr>
          <w:rFonts w:ascii="Times New Roman" w:hAnsi="Times New Roman" w:eastAsia="Times New Roman" w:cs="Times New Roman"/>
        </w:rPr>
        <w:t xml:space="preserve"> </w:t>
      </w:r>
      <w:r>
        <w:rPr>
          <w:rFonts w:ascii="Nirmala UI" w:hAnsi="Nirmala UI" w:eastAsia="Nirmala UI" w:cs="Nirmala UI"/>
        </w:rPr>
        <w:t>සිටියහ</w:t>
      </w:r>
      <w:r>
        <w:rPr>
          <w:rFonts w:ascii="Times New Roman" w:hAnsi="Times New Roman" w:eastAsia="Times New Roman" w:cs="Times New Roman"/>
        </w:rPr>
        <w:t xml:space="preserve">. </w:t>
      </w:r>
      <w:r>
        <w:rPr>
          <w:rFonts w:ascii="Nirmala UI" w:hAnsi="Nirmala UI" w:eastAsia="Nirmala UI" w:cs="Nirmala UI"/>
        </w:rPr>
        <w:t>මක්කබියෝවරු</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රීසියේ</w:t>
      </w:r>
      <w:r>
        <w:rPr>
          <w:rFonts w:ascii="Times New Roman" w:hAnsi="Times New Roman" w:eastAsia="Times New Roman" w:cs="Times New Roman"/>
        </w:rPr>
        <w:t xml:space="preserve"> </w:t>
      </w:r>
      <w:r>
        <w:rPr>
          <w:rFonts w:ascii="Nirmala UI" w:hAnsi="Nirmala UI" w:eastAsia="Nirmala UI" w:cs="Nirmala UI"/>
        </w:rPr>
        <w:t>ආගමට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රතිරෝධය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විශ්වාසභ్రෂ්ට</w:t>
      </w:r>
      <w:r>
        <w:rPr>
          <w:rFonts w:ascii="Times New Roman" w:hAnsi="Times New Roman" w:eastAsia="Times New Roman" w:cs="Times New Roman"/>
        </w:rPr>
        <w:t xml:space="preserve"> </w:t>
      </w:r>
      <w:r>
        <w:rPr>
          <w:rFonts w:ascii="Nirmala UI" w:hAnsi="Nirmala UI" w:eastAsia="Nirmala UI" w:cs="Nirmala UI"/>
        </w:rPr>
        <w:t>යුදෙව්වන්ගේ</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පන්තියකි</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ග්</w:t>
      </w:r>
      <w:r>
        <w:rPr>
          <w:rFonts w:ascii="Times New Roman" w:hAnsi="Times New Roman" w:eastAsia="Times New Roman" w:cs="Times New Roman"/>
        </w:rPr>
        <w:t>‍</w:t>
      </w:r>
      <w:r>
        <w:rPr>
          <w:rFonts w:ascii="Nirmala UI" w:hAnsi="Nirmala UI" w:eastAsia="Nirmala UI" w:cs="Nirmala UI"/>
        </w:rPr>
        <w:t>රීක</w:t>
      </w:r>
      <w:r>
        <w:rPr>
          <w:rFonts w:ascii="Times New Roman" w:hAnsi="Times New Roman" w:eastAsia="Times New Roman" w:cs="Times New Roman"/>
        </w:rPr>
        <w:t xml:space="preserve"> </w:t>
      </w:r>
      <w:r>
        <w:rPr>
          <w:rFonts w:ascii="Nirmala UI" w:hAnsi="Nirmala UI" w:eastAsia="Nirmala UI" w:cs="Nirmala UI"/>
        </w:rPr>
        <w:t>ආගම</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කරවීමේ</w:t>
      </w:r>
      <w:r>
        <w:rPr>
          <w:rFonts w:ascii="Times New Roman" w:hAnsi="Times New Roman" w:eastAsia="Times New Roman" w:cs="Times New Roman"/>
        </w:rPr>
        <w:t xml:space="preserve"> </w:t>
      </w:r>
      <w:r>
        <w:rPr>
          <w:rFonts w:ascii="Nirmala UI" w:hAnsi="Nirmala UI" w:eastAsia="Nirmala UI" w:cs="Nirmala UI"/>
        </w:rPr>
        <w:t>කාර්යයට</w:t>
      </w:r>
      <w:r>
        <w:rPr>
          <w:rFonts w:ascii="Times New Roman" w:hAnsi="Times New Roman" w:eastAsia="Times New Roman" w:cs="Times New Roman"/>
        </w:rPr>
        <w:t xml:space="preserve"> </w:t>
      </w:r>
      <w:r>
        <w:rPr>
          <w:rFonts w:ascii="Nirmala UI" w:hAnsi="Nirmala UI" w:eastAsia="Nirmala UI" w:cs="Nirmala UI"/>
        </w:rPr>
        <w:t>සහය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විශ්වාසභ්</w:t>
      </w:r>
      <w:r>
        <w:rPr>
          <w:rFonts w:ascii="Times New Roman" w:hAnsi="Times New Roman" w:eastAsia="Times New Roman" w:cs="Times New Roman"/>
        </w:rPr>
        <w:t>‍</w:t>
      </w:r>
      <w:r>
        <w:rPr>
          <w:rFonts w:ascii="Nirmala UI" w:hAnsi="Nirmala UI" w:eastAsia="Nirmala UI" w:cs="Nirmala UI"/>
        </w:rPr>
        <w:t>රෂ්ට</w:t>
      </w:r>
      <w:r>
        <w:rPr>
          <w:rFonts w:ascii="Times New Roman" w:hAnsi="Times New Roman" w:eastAsia="Times New Roman" w:cs="Times New Roman"/>
        </w:rPr>
        <w:t xml:space="preserve"> </w:t>
      </w:r>
      <w:r>
        <w:rPr>
          <w:rFonts w:ascii="Nirmala UI" w:hAnsi="Nirmala UI" w:eastAsia="Nirmala UI" w:cs="Nirmala UI"/>
        </w:rPr>
        <w:t>යුදෙව්වන්ගේ</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පන්තියක්ද</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w:t>
      </w:r>
    </w:p>
    <w:p>
      <w:pPr>
        <w:pStyle w:val="ArticleBody"/>
        <w:jc w:val="left"/>
      </w:pP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ਸ਼ਲੋਕ</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ਤਿਹਰੀ</w:t>
      </w:r>
      <w:r>
        <w:rPr>
          <w:rFonts w:ascii="Times New Roman" w:hAnsi="Times New Roman" w:eastAsia="Times New Roman" w:cs="Times New Roman"/>
        </w:rPr>
        <w:t xml:space="preserve"> </w:t>
      </w:r>
      <w:r>
        <w:rPr>
          <w:rFonts w:ascii="Nirmala UI" w:hAnsi="Nirmala UI" w:eastAsia="Nirmala UI" w:cs="Nirmala UI"/>
        </w:rPr>
        <w:t>ਏਕਤਾ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ਸ਼ਲੋਕ</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ਸ਼ਲੋਕ</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ਲੜਾਈਆਂ</w:t>
      </w:r>
      <w:r>
        <w:rPr>
          <w:rFonts w:ascii="Times New Roman" w:hAnsi="Times New Roman" w:eastAsia="Times New Roman" w:cs="Times New Roman"/>
        </w:rPr>
        <w:t xml:space="preserve"> </w:t>
      </w:r>
      <w:r>
        <w:rPr>
          <w:rFonts w:ascii="Nirmala UI" w:hAnsi="Nirmala UI" w:eastAsia="Nirmala UI" w:cs="Nirmala UI"/>
        </w:rPr>
        <w:t>ਸ਼ਲੋਕ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(1989), </w:t>
      </w:r>
      <w:r>
        <w:rPr>
          <w:rFonts w:ascii="Nirmala UI" w:hAnsi="Nirmala UI" w:eastAsia="Nirmala UI" w:cs="Nirmala UI"/>
        </w:rPr>
        <w:t>ਸ਼ਲੋਕ</w:t>
      </w:r>
      <w:r>
        <w:rPr>
          <w:rFonts w:ascii="Times New Roman" w:hAnsi="Times New Roman" w:eastAsia="Times New Roman" w:cs="Times New Roman"/>
        </w:rPr>
        <w:t xml:space="preserve"> </w:t>
      </w:r>
      <w:r>
        <w:rPr>
          <w:rFonts w:ascii="Nirmala UI" w:hAnsi="Nirmala UI" w:eastAsia="Nirmala UI" w:cs="Nirmala UI"/>
        </w:rPr>
        <w:t>ਗਿਆਰ੍ਹਾਂ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ਯੂਕਰੇਨੀ</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ਗਲੋਬਲਵਾਦੀਆਂ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ਰਾਜਨੀਤਿਕ</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Dans ce conflit, le dernier président des États-Unis devra faire face aux conséquences de la victoire de Poutine, puis de l’effondrement qui s’ensuit, représentés aux versets onze et douze. Il formera une alliance avec l’OTAN, ou avec les Nations Unies, afin de résoudre les retombées de l’effondrement de la Russie, et, dans l’histoire de cette alliance, il engagera les Nations Unies dans la bataille de Panium. La troisième bataille du verset quarante sera comme la première bataille du verset quarante. De même que l’Union soviétique s’est effondrée sous la puissance économique et militaire des États-Unis, de même les mondialistes des Nations Unies seront contraints de répéter la « perestroïka », élément clé des efforts de Gorbatchev pour réformer l’Union soviétique, bien qu’elle ait finalement contribué au démantèlement du système soviétique et à la dissolution finale de l’Union soviétique.</w:t>
      </w:r>
    </w:p>
    <w:p>
      <w:pPr>
        <w:pStyle w:val="ArticleBody"/>
        <w:jc w:val="left"/>
      </w:pPr>
      <w:r>
        <w:rPr>
          <w:rFonts w:ascii="Times New Roman" w:hAnsi="Times New Roman" w:eastAsia="Times New Roman" w:cs="Times New Roman"/>
        </w:rPr>
        <w:t>يُصوَّر الصراع الثالث بالصراع الأول، ومن خلال الضغوط الاقتصادية والعسكرية سيُرغم ترامب، كما يُمثَّل بريغان، الأممَ المتحدة على «البيريسترويكا»، أي إعادة الهيكلة أو الإصلاح. وهذه إعادةُ الهيكلة ستُقيم الولاياتِ المتحدة على رأس نظام الملوك العشرة، الذي هو الأمم المتحدة. وعندئذٍ، في ذلك الصراع، ستُدخل البابوية نفسها إلى مجرى التاريخ، مدَّعيةً أنها المدافع عن النظام الذي يكون ترامب حينئذٍ بصدد إخضاعه.</w:t>
      </w:r>
    </w:p>
    <w:p>
      <w:pPr>
        <w:pStyle w:val="ArticleBody"/>
        <w:jc w:val="left"/>
      </w:pPr>
      <w:r>
        <w:rPr>
          <w:rFonts w:ascii="Times New Roman" w:hAnsi="Times New Roman" w:eastAsia="Times New Roman" w:cs="Times New Roman"/>
        </w:rPr>
        <w:t>Dans cette même histoire, Trump fera face à une guerre civile intérieure qu’il sera contraint d’affronter, tout comme Abraham Lincoln fut contraint de le faire. La guerre civile opposera deux factions apostates au sein des États-Unis. Une catégorie est représentée par ceux qui ont adopté la religion et la philosophie du wokisme, lesquels sont les mondialistes progressistes des deux partis politiques. L’autre catégorie (le MAGA-isme) professe être composée de véritables protestants, bien qu’ils aient perdu ce manteau en 1844.</w:t>
      </w:r>
    </w:p>
    <w:p>
      <w:pPr>
        <w:pStyle w:val="ArticleBody"/>
        <w:jc w:val="left"/>
      </w:pPr>
      <w:r>
        <w:rPr>
          <w:rFonts w:ascii="Times New Roman" w:hAnsi="Times New Roman" w:eastAsia="Times New Roman" w:cs="Times New Roman"/>
        </w:rPr>
        <w:t>Le camp du Président est représenté par le MAGA-isme et repose sur l’affirmation erronée de défendre le véritable protestantisme et la Constitution. Le wokisme, quant à lui, revendique la religion de la Terre-Mère, le Nouvel Âge et la croyance selon laquelle la Constitution s’applique en fonction des circonstances présentes des normes de la société, et non selon les idées archaïques des pères fondateurs.</w:t>
      </w:r>
    </w:p>
    <w:p>
      <w:pPr>
        <w:pStyle w:val="ArticleBody"/>
        <w:jc w:val="left"/>
      </w:pPr>
      <w:r>
        <w:rPr>
          <w:rFonts w:ascii="Times New Roman" w:hAnsi="Times New Roman" w:eastAsia="Times New Roman" w:cs="Times New Roman"/>
        </w:rPr>
        <w:t>Matatias (Trump) porá fim às tentativas dos Democratas globalistas-progressistas dentro dos Estados Unidos, conforme representadas pela revolta que começou em Modin em 167 a.C. Trump então repetirá a história de 164 a.C., quando os Macabeus rededicaram o templo, conforme comemorado pela observância de Hanukkah. Então, no período representado de 161 a.C. a 158 a.C., Trump começará o impulso final para erigir a imagem do papado, a qual é uma imagem que identifica uma relação ilícita entre o poder religioso e o poder político. Em 158 a.C., a liga será implementada à medida que a lei dominical de breve vinda do versículo dezesseis for imposta.</w:t>
      </w:r>
    </w:p>
    <w:p>
      <w:pPr>
        <w:pStyle w:val="ArticleBody"/>
        <w:jc w:val="left"/>
      </w:pPr>
      <w:r>
        <w:rPr>
          <w:rFonts w:ascii="Times New Roman" w:hAnsi="Times New Roman" w:eastAsia="Times New Roman" w:cs="Times New Roman"/>
        </w:rPr>
        <w:t xml:space="preserve">Daniel </w:t>
      </w:r>
      <w:r>
        <w:rPr>
          <w:rFonts w:ascii="Microsoft YaHei" w:hAnsi="Microsoft YaHei" w:eastAsia="Microsoft YaHei" w:cs="Microsoft YaHei"/>
        </w:rPr>
        <w:t>十一章首先指出罗马如何在政治上取得控制权</w:t>
      </w:r>
      <w:r>
        <w:rPr>
          <w:rFonts w:ascii="Times New Roman" w:hAnsi="Times New Roman" w:eastAsia="Times New Roman" w:cs="Times New Roman"/>
        </w:rPr>
        <w:t>,</w:t>
      </w:r>
      <w:r>
        <w:rPr>
          <w:rFonts w:ascii="Microsoft YaHei" w:hAnsi="Microsoft YaHei" w:eastAsia="Microsoft YaHei" w:cs="Microsoft YaHei"/>
        </w:rPr>
        <w:t>随后但以理又以另一条线索重述并扩展同一段历史</w:t>
      </w:r>
      <w:r>
        <w:rPr>
          <w:rFonts w:ascii="Times New Roman" w:hAnsi="Times New Roman" w:eastAsia="Times New Roman" w:cs="Times New Roman"/>
        </w:rPr>
        <w:t>,</w:t>
      </w:r>
      <w:r>
        <w:rPr>
          <w:rFonts w:ascii="Microsoft YaHei" w:hAnsi="Microsoft YaHei" w:eastAsia="Microsoft YaHei" w:cs="Microsoft YaHei"/>
        </w:rPr>
        <w:t>指出罗马如何在同一段历史中对待上帝的子民</w:t>
      </w:r>
      <w:r>
        <w:rPr>
          <w:rFonts w:ascii="Times New Roman" w:hAnsi="Times New Roman" w:eastAsia="Times New Roman" w:cs="Times New Roman"/>
        </w:rPr>
        <w:t>.</w:t>
      </w:r>
      <w:r>
        <w:rPr>
          <w:rFonts w:ascii="Microsoft YaHei" w:hAnsi="Microsoft YaHei" w:eastAsia="Microsoft YaHei" w:cs="Microsoft YaHei"/>
        </w:rPr>
        <w:t>从第十六节到第十九节</w:t>
      </w:r>
      <w:r>
        <w:rPr>
          <w:rFonts w:ascii="Times New Roman" w:hAnsi="Times New Roman" w:eastAsia="Times New Roman" w:cs="Times New Roman"/>
        </w:rPr>
        <w:t>,</w:t>
      </w:r>
      <w:r>
        <w:rPr>
          <w:rFonts w:ascii="Microsoft YaHei" w:hAnsi="Microsoft YaHei" w:eastAsia="Microsoft YaHei" w:cs="Microsoft YaHei"/>
        </w:rPr>
        <w:t>说明了异教罗马取得世界统治权的三个障碍</w:t>
      </w:r>
      <w:r>
        <w:rPr>
          <w:rFonts w:ascii="Times New Roman" w:hAnsi="Times New Roman" w:eastAsia="Times New Roman" w:cs="Times New Roman"/>
        </w:rPr>
        <w:t>.</w:t>
      </w:r>
      <w:r>
        <w:rPr>
          <w:rFonts w:ascii="Microsoft YaHei" w:hAnsi="Microsoft YaHei" w:eastAsia="Microsoft YaHei" w:cs="Microsoft YaHei"/>
        </w:rPr>
        <w:t>在第十六节中</w:t>
      </w:r>
      <w:r>
        <w:rPr>
          <w:rFonts w:ascii="Times New Roman" w:hAnsi="Times New Roman" w:eastAsia="Times New Roman" w:cs="Times New Roman"/>
        </w:rPr>
        <w:t>,</w:t>
      </w:r>
      <w:r>
        <w:rPr>
          <w:rFonts w:ascii="Microsoft YaHei" w:hAnsi="Microsoft YaHei" w:eastAsia="Microsoft YaHei" w:cs="Microsoft YaHei"/>
        </w:rPr>
        <w:t>叙利亚于公元前</w:t>
      </w:r>
      <w:r>
        <w:rPr>
          <w:rFonts w:ascii="Times New Roman" w:hAnsi="Times New Roman" w:eastAsia="Times New Roman" w:cs="Times New Roman"/>
        </w:rPr>
        <w:t>65</w:t>
      </w:r>
      <w:r>
        <w:rPr>
          <w:rFonts w:ascii="Microsoft YaHei" w:hAnsi="Microsoft YaHei" w:eastAsia="Microsoft YaHei" w:cs="Microsoft YaHei"/>
        </w:rPr>
        <w:t>年被异教罗马征服</w:t>
      </w:r>
      <w:r>
        <w:rPr>
          <w:rFonts w:ascii="Times New Roman" w:hAnsi="Times New Roman" w:eastAsia="Times New Roman" w:cs="Times New Roman"/>
        </w:rPr>
        <w:t>,</w:t>
      </w:r>
      <w:r>
        <w:rPr>
          <w:rFonts w:ascii="Microsoft YaHei" w:hAnsi="Microsoft YaHei" w:eastAsia="Microsoft YaHei" w:cs="Microsoft YaHei"/>
        </w:rPr>
        <w:t>随后犹太地于公元前</w:t>
      </w:r>
      <w:r>
        <w:rPr>
          <w:rFonts w:ascii="Times New Roman" w:hAnsi="Times New Roman" w:eastAsia="Times New Roman" w:cs="Times New Roman"/>
        </w:rPr>
        <w:t>63</w:t>
      </w:r>
      <w:r>
        <w:rPr>
          <w:rFonts w:ascii="Microsoft YaHei" w:hAnsi="Microsoft YaHei" w:eastAsia="Microsoft YaHei" w:cs="Microsoft YaHei"/>
        </w:rPr>
        <w:t>年被庞培征服</w:t>
      </w:r>
      <w:r>
        <w:rPr>
          <w:rFonts w:ascii="Times New Roman" w:hAnsi="Times New Roman" w:eastAsia="Times New Roman" w:cs="Times New Roman"/>
        </w:rPr>
        <w:t>.</w:t>
      </w:r>
      <w:r>
        <w:rPr>
          <w:rFonts w:ascii="Microsoft YaHei" w:hAnsi="Microsoft YaHei" w:eastAsia="Microsoft YaHei" w:cs="Microsoft YaHei"/>
        </w:rPr>
        <w:t>第十六节指出了罗马何时站立在荣美之地</w:t>
      </w:r>
      <w:r>
        <w:rPr>
          <w:rFonts w:ascii="Times New Roman" w:hAnsi="Times New Roman" w:eastAsia="Times New Roman" w:cs="Times New Roman"/>
        </w:rPr>
        <w:t>,</w:t>
      </w:r>
      <w:r>
        <w:rPr>
          <w:rFonts w:ascii="Microsoft YaHei" w:hAnsi="Microsoft YaHei" w:eastAsia="Microsoft YaHei" w:cs="Microsoft YaHei"/>
        </w:rPr>
        <w:t>而此举正是预表同章第四十一节中的星期日法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Tha a e cudromach a thoirt fa-near gun do thachair eachdraidh a’ cheannsachaidh ann an 63 RC [co-shìnte ri 1863], ann am meadhan Cogadh Catharra a bha a’ dol air adhart taobh a-staigh Ierusaleim. Thuirt Uriah Smith, “Air do Phompey tilleadh o a thuras-armachd an aghaidh Mithridates, rìgh Phontuis, bha dithis fharpaisich, Hyrcanus agus Aristobulus, a’ strì airson crùn Iudèa.”</w:t>
      </w:r>
    </w:p>
    <w:p>
      <w:pPr>
        <w:pStyle w:val="ArticleBody"/>
        <w:jc w:val="left"/>
      </w:pPr>
      <w:r>
        <w:rPr>
          <w:rFonts w:ascii="Times New Roman" w:hAnsi="Times New Roman" w:eastAsia="Times New Roman" w:cs="Times New Roman"/>
        </w:rPr>
        <w:t>Les noms « Hyrcan » et « Aristobule » sont tous deux d’origine grecque et revêtent une importance historique, particulièrement dans le contexte de l’histoire juive durant la période hellénistique et la dynastie hasmonéenne. « Hyrcan » dérive du mot grec « Hurkanos », lequel provient vraisemblablement du terme persan « hurkan », signifiant « loup ». Hyrcan fut un nom porté par plusieurs souverains hasmonéens. « Aristobule » signifie « meilleur conseiller » ou « meilleur avocat ». Aristobule fut un autre nom porté par plusieurs souverains hasmonéens. « Hyrcan » et « Aristobule » sont l’un et l’autre des noms associés à des figures marquantes de l’histoire juive durant la période hasmonéenne. Ce furent des dirigeants qui jouèrent des rôles importants dans le gouvernement et l’expansion du royaume hasmonéen en Judée. Les descendants et représentants prophétiques du royaume hasmonéen au temps du Christ étaient les pharisiens.</w:t>
      </w:r>
    </w:p>
    <w:p>
      <w:pPr>
        <w:pStyle w:val="ArticleBody"/>
        <w:jc w:val="left"/>
      </w:pPr>
      <w:r>
        <w:rPr>
          <w:rFonts w:ascii="Times New Roman" w:hAnsi="Times New Roman" w:eastAsia="Times New Roman" w:cs="Times New Roman"/>
        </w:rPr>
        <w:t>Lelakela Pompey a hlula Yerusalema, mekha emebeli ya sepolotiki ka bobedi e be e sala morago tšwago ya yona go fihla nakong ya bohlanogi bjo bo emetšwego ke Modein ka 167 BC. Ge Pompey a be a šetše a gogelitšwe bohlanoging bjoo, a ikemišetša go tšea Yerusalema, gomme lehlakore la sepolotiki la Aristobulus la ikemišetša go mo ganetša; eupša lehlakore la Hyrcanus lona la ikemišetša go bulela Pompey dikgoro. Ke moka Pompey a hlasela Yerusalema, gomme dikgwedi tše tharo ka morago Yerusalema ya ba ka mo tlase ga taolo ya Roma go ya go ile.</w:t>
      </w:r>
    </w:p>
    <w:p>
      <w:pPr>
        <w:pStyle w:val="ArticleBody"/>
        <w:jc w:val="left"/>
      </w:pPr>
      <w:r>
        <w:rPr>
          <w:rFonts w:ascii="Times New Roman" w:hAnsi="Times New Roman" w:eastAsia="Times New Roman" w:cs="Times New Roman"/>
        </w:rPr>
        <w:t>Ná ngwáh ma rịr dọ́ n’ihe dị ka amaokwu nke iri na itoolu, e jidere Ijipt, bụ́ ihe mgbochi nke atọ na nke ikpeazụ, n’aka Rom. Mgbe ahụ, n’amaokwu nke iri abụọ, a kọwara ọmụmụ Kraịst ka Daniel malitere igosi otú Rom ga-esi mesoo ndị nke Chineke n’ime akụkọ ihe mere eme ahụ. N’amaokwu nke iri abụọ na otu na nke iri abụọ na abụọ, a kpọgidere Kraịst n’obe. N’amaokwu nke iri abụọ na atọ, e ji mara ọgbụgba ndụ ahụ nke malitere n’afọ 161 BC ruo 158 BC ozugbo mgbe amaokwu ndị ahụ kọwara obe, ebe ndị Juu nupụ isi kwupụtara na ha “enweghị eze ọbụla ma e wezụga Siza.” Ahịrị nke ndị Juu nupụ isi ahụ, nke ndị Maccabee nọchiri anya ha, bụ́ ndị guzogidere nbata nkà ihe ọmụma okpukpe Gris, ma site n’ime nke a wee banye n’mmekọrịta na-adịghị nsọ na Rom, na-eso amaokwu ahụ nke na-akọwa akụkọ ihe mere eme nke obe, ebe mkpụrụ nke mmekọrịta ha na-adịghị nsọ gosipụtara onwe ya n’uju.</w:t>
      </w:r>
    </w:p>
    <w:p>
      <w:pPr>
        <w:pStyle w:val="ArticleBody"/>
        <w:jc w:val="left"/>
      </w:pPr>
      <w:r>
        <w:rPr>
          <w:rFonts w:ascii="Times New Roman" w:hAnsi="Times New Roman" w:eastAsia="Times New Roman" w:cs="Times New Roman"/>
        </w:rPr>
        <w:t>La Shekinah ne revint jamais dans le temple qui fut édifié après les soixante-dix années de captivité. Le dernier témoignage prophétique, proclamé par Malachie, fut donné vers le milieu du Ve siècle av. J.-C. Il n’y avait eu ni présence visible de Dieu, ni témoignage prophétique pendant des centaines d’années avant que les Maccabées ne se dressent contre l’influence grecque mondialiste. Au commencement de leur révolte, ils accomplirent précisément la rébellion même qu’avaient tentée tant Ptolémée que le roi Ozias, lorsque ces deux rois cherchèrent à remplir la fonction de prêtre et à présenter une offrande dans le temple.</w:t>
      </w:r>
    </w:p>
    <w:p>
      <w:pPr>
        <w:pStyle w:val="ArticleBody"/>
        <w:jc w:val="left"/>
      </w:pPr>
      <w:r>
        <w:rPr>
          <w:rFonts w:ascii="Times New Roman" w:hAnsi="Times New Roman" w:eastAsia="Times New Roman" w:cs="Times New Roman"/>
        </w:rPr>
        <w:t>Յոնաթան Ափփուսը (նաեւ հայտնի որպես Յոնաթան Մակաբեոս) Մատաթիայի որդիներից մեկն էր, որ սկիզբ դրեց Մակաբեական ապստամբությանը, եւ նա նշանակալի դեր կատարեց Սելեւկյան կայսրության դեմ հրեական ապստամբությունը ղեկավարելու գործում։ Իր եղբոր՝ Յուդա Մակաբեոսի, պատերազմում մահից հետո Յոնաթանը ստանձնեց Մակաբեական ուժերի առաջնորդությունը։ Իր ռազմական եւ քաղաքական առաջնորդությանը զուգահեռ՝ Յոնաթանը նաեւ ստանձնեց քահանայապետի պաշտոնը՝ ծառայելով որպես հրեա ժողովրդի հոգեւոր առաջնորդ։ Յոնաթանի այս երկակի դերը՝ թե՛ որպես առաջնորդ, թե՛ որպես քահանայապետ, նշանավոր զարգացում եղավ հրեական պատմության մեջ, քանի որ այն համախմբեց թե՛ քաղաքական, թե՛ կրոնական իշխանությունը Հասմոնյան տոհմի շրջանակում։ Նրա առաջնորդությունը նպաստեց հրեական ինքնավարության ամրապնդմանը եւ Հասմոնյան իշխանության հաստատմանը Հուդեայում։</w:t>
      </w:r>
    </w:p>
    <w:p>
      <w:pPr>
        <w:pStyle w:val="ArticleBody"/>
        <w:jc w:val="left"/>
      </w:pPr>
      <w:r>
        <w:rPr>
          <w:rFonts w:ascii="Times New Roman" w:hAnsi="Times New Roman" w:eastAsia="Times New Roman" w:cs="Times New Roman"/>
        </w:rPr>
        <w:t>Ibicumuro nyine Ptolomeyo yagerageje gukora nyuma y’intsinzi ya Rafiya cyakozwe rwose mu ntangiriro y’ukwigomeka kw’Abamakabeyo. Ni cyo cyaha kimwe abatambyi barwanyije mu gihe cy’umwami Uziya, ariko ukwivuga kw’Abamakabeyo ko barindaga imirimo y’urusengero rw’Imana kwari ukugaragaza kuyobye kandi k’ubwigomeke kw’ihuzwa ry’itorero na leta; bityo rero, ni ishusho y’ubwigomeke bw’Abaporotesitanti bayobye ubu bari guteranira hamwe mu gushyigikira Trump barwanya ukwivanga kwa “woke-ism” y’ubu-globaliste bwa Biden.</w:t>
      </w:r>
    </w:p>
    <w:p>
      <w:pPr>
        <w:pStyle w:val="ArticleBody"/>
        <w:jc w:val="left"/>
      </w:pPr>
      <w:r>
        <w:rPr>
          <w:rFonts w:ascii="Times New Roman" w:hAnsi="Times New Roman" w:eastAsia="Times New Roman" w:cs="Times New Roman"/>
        </w:rPr>
        <w:t>Bayibuli eteyisa nti mulibamanya olw’ebibala byabwe, era Abafalisaayo mu biro bya Kristo baali bisigalira eby’enkomerero eby’obwakabaka bwa Bahaasumoneya obwatandika ne Mattathias. Mattathias, n’obujeemu bwe yatandika, byazaala ebibala by’Obufalisaayo, nga bwe kiri ne ku Bapolotesitante abakyamu abawagira endowooza ya “Make America Great Again”. Amerika yali nnene ng’Obulagirizi bw’eggwanga butegeerebwa okukuuma ekkanisa n’eggwanga nga byawuliddwa ku biri, naye ku kyamagero eky’obulimba ekikiikirirwa obuwanguzi obujjukirwa embaga ya Hanukkah, olutalo olw’amateeka ga Ssande luliva mu kyama ne lweraga mu lwatu.</w:t>
      </w:r>
    </w:p>
    <w:p>
      <w:pPr>
        <w:pStyle w:val="ArticleBody"/>
        <w:jc w:val="left"/>
      </w:pPr>
      <w:r>
        <w:rPr>
          <w:rFonts w:ascii="Times New Roman" w:hAnsi="Times New Roman" w:eastAsia="Times New Roman" w:cs="Times New Roman"/>
        </w:rPr>
        <w:t>On poursuivra cette étude dans le prochain article.</w:t>
      </w:r>
    </w:p>
    <w:p>
      <w:pPr>
        <w:pStyle w:val="ArticleScripture"/>
        <w:jc w:val="left"/>
      </w:pPr>
      <w:r>
        <w:rPr>
          <w:rFonts w:ascii="Times New Roman" w:hAnsi="Times New Roman" w:eastAsia="Times New Roman" w:cs="Times New Roman"/>
        </w:rPr>
        <w:t>«سابقاً، کسانی که حقایقِ پیامِ فرشتهٔ سوم را عرضه می‌کردند، غالباً صرفاً هشداردهندگانی هراس‌افکن شمرده می‌شدند. پیشگویی‌های ایشان مبنی بر اینکه عدمِ مداراى دینی در ایالات متحده زمامِ امور را به دست خواهد گرفت، و اینکه کلیسا و دولت برای آزارِ کسانی که احکامِ خدا را نگاه می‌دارند با یکدیگر متحد خواهند شد، بی‌اساس و پوچ اعلام شده بود. با اطمینان اظهار می‌شد که این سرزمین هرگز نمی‌تواند چیزی جز آنچه بوده است بشود—مدافعِ آزادیِ دینی. اما چون مسئلهٔ اِعمالِ اجباریِ رعایتِ یکشنبه به‌گونه‌ای گسترده بر سر زبان‌ها می‌افتد، آن رویدادی که تا این مدت دراز موردِ تردید و ناباوری بود، دیده می‌شود که در حالِ نزدیک شدن است، و پیامِ سوم اثری پدید خواهد آورد که پیش از این نمی‌توانست داشته باشد.»</w:t>
      </w:r>
    </w:p>
    <w:p>
      <w:pPr>
        <w:pStyle w:val="ArticleScripture"/>
        <w:jc w:val="left"/>
      </w:pPr>
      <w:r>
        <w:rPr>
          <w:rFonts w:ascii="Times New Roman" w:hAnsi="Times New Roman" w:eastAsia="Times New Roman" w:cs="Times New Roman"/>
        </w:rPr>
        <w:t>«Σε κάθε γενεά ο Θεός απέστειλε τους δούλους Του για να ελέγξουν την αμαρτία, τόσο στον κόσμο όσο και στην εκκλησία. Ο λαός όμως επιθυμεί να του λέγονται ευχάριστα πράγματα, και η καθαρή, ανόθευτη αλήθεια δεν είναι αποδεκτή. Πολλοί μεταρρυθμιστές, όταν ανέλαβαν το έργο τους, αποφάσισαν να επιδείξουν μεγάλη σύνεση στην αντιμετώπιση των αμαρτημάτων της εκκλησίας και του έθνους. Ήλπιζαν, με το παράδειγμα μιας καθαρής χριστιανικής ζωής, να επαναφέρουν τον λαό στις διδασκαλίες της Βίβλου. Αλλά το Πνεύμα του Θεού ήλθε επάνω τους όπως είχε έλθει επάνω στον Ηλία, παρακινώντας αυτόν να ελέγξει τις αμαρτίες ενός πονηρού βασιλέως και ενός αποστάτη λαού· δεν μπορούσαν να απέχουν από το να κηρύττουν τις σαφείς διακηρύξεις της Βίβλου— διδασκαλίες τις οποίες είχαν διστάσει να παρουσιάσουν. Ωθούνταν να διακηρύττουν με ζήλο την αλήθεια και τον κίνδυνο που απειλούσε τις ψυχές. Τα λόγια που τους έδιδε ο Κύριος, αυτά έλεγαν, χωρίς φόβο για τις συνέπειες, και ο λαός υποχρεωνόταν να ακούσει την προειδοποίηση.»</w:t>
      </w:r>
    </w:p>
    <w:p>
      <w:pPr>
        <w:pStyle w:val="ArticleScripture"/>
        <w:jc w:val="left"/>
      </w:pPr>
      <w:r>
        <w:rPr>
          <w:rFonts w:ascii="Times New Roman" w:hAnsi="Times New Roman" w:eastAsia="Times New Roman" w:cs="Times New Roman"/>
        </w:rPr>
        <w:t>«Akan ditaburkanlah pekabaran malaikat yang ketiga itu. Apabila tiba waktunya untuk disampaikan dengan kuasa yang terbesar, Tuhan akan bekerja melalui alat-alat yang rendah hati, sambil menuntun pikiran mereka yang menguduskan diri bagi pelayanan-Nya. Para pekerja itu akan diperlengkapi bukan terutama oleh pendidikan lembaga-lembaga kesusastraan, melainkan oleh urapan Roh-Nya. Orang-orang yang beriman dan berdoa akan terdorong untuk maju dengan semangat yang kudus, memberitakan perkataan-perkataan yang dikaruniakan Allah kepada mereka. Dosa-dosa Babel akan disingkapkan. Akibat-akibat yang mengerikan dari penegakan tata cara gereja oleh kuasa sipil, serbuan-serbuan spiritualisme, kemajuan kuasa kepausan yang diam-diam namun cepat—semuanya akan dibukakan kedoknya. Oleh amaran-amaran yang khidmat ini rakyat akan digugah. Beribu-ribu kali beribu-ribu orang akan mendengarkan, yang belum pernah mendengar perkataan seperti ini. Dengan keheranan mereka mendengar kesaksian bahwa Babel adalah gereja, yang telah jatuh oleh karena kesalahan-kesalahan dan dosa-dosanya, oleh karena penolakannya terhadap kebenaran yang dikirimkan kepadanya dari surga. Ketika orang banyak pergi kepada guru-guru mereka yang dahulu dengan pertanyaan yang sungguh-sungguh, Benarkah perkara-perkara ini? para pelayan itu menyajikan dongeng-dongeng, bernubuat tentang hal-hal yang mulus, untuk menenangkan ketakutan mereka dan membungkam hati nurani yang telah dibangunkan. Tetapi karena banyak orang menolak untuk dipuaskan hanya dengan kewibawaan manusia semata-mata dan menuntut suatu “Beginilah firman Tuhan” yang jelas, maka pelayanan yang populer itu, seperti orang-orang Farisi pada zaman dahulu, dipenuhi murka ketika kewibawaan mereka dipersoalkan, lalu akan mengecam pekabaran itu sebagai berasal dari Setan dan menghasut orang banyak yang mencintai dosa untuk mencela dan menganiaya mereka yang memaklumkannya.»</w:t>
      </w:r>
    </w:p>
    <w:p>
      <w:pPr>
        <w:pStyle w:val="ArticleScripture"/>
        <w:jc w:val="left"/>
      </w:pPr>
      <w:r>
        <w:rPr>
          <w:rFonts w:ascii="Times New Roman" w:hAnsi="Times New Roman" w:eastAsia="Times New Roman" w:cs="Times New Roman"/>
        </w:rPr>
        <w:t>“Katika kadiri mabishano hayo yanavyoenea katika nyanja mpya na fikira za watu zinavyoelekezwa kwa sheria ya Mungu iliyokandamizwa, Shetani huamka kwa shughuli nyingi. Uwezo unaoandamana na ujumbe huo utawatia wazimu tu wale wanaoupinga. Makasisi watatoa juhudi karibu zinazopita za kibinadamu ili kuufungia mbali mwanga usiangazie makundi yao. Kwa kila njia iliyo katika uwezo wao watajitahidi kuukandamiza mjadala wa maswali haya ya maana sana. Kanisa litaomba mkono wenye nguvu wa mamlaka ya kiraia, na, katika kazi hii, Wapapa na Waprotestanti wataungana. Kadiri harakati ya kulazimisha utunzaji wa Jumapili inavyozidi kuwa ya ujasiri na thabiti, sheria itatumika dhidi ya washika-amri. Watatishiwa faini na kifungo, na wengine watapewa nyadhifa za ushawishi, na thawabu nyingine na faida, kama vivutio vya kuikana imani yao. Lakini jibu lao lisiloyumba ni hili: ‘Tuonyesheni kutoka katika neno la Mungu kosa letu’—ndiyo hoja ileile iliyotolewa na Luther chini ya hali zinazofanana. Wale wanaofikishwa mbele ya mahakama huutetea ukweli kwa nguvu, na baadhi ya wanaowasikia huongozwa kuchukua msimamo wao wa kuzishika amri zote za Mungu. Hivyo mwanga utaletwa mbele ya maelfu ambao, vinginevyo, wasingejua chochote kuhusu kweli hizi.”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هشتادم</dc:title>
  <dc:subject>Mkutano wa Kinabii wa Roma, Wamakabayo, na Nyakati za Kisasa: Utafiti katika Maono ya Danieli</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