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quatre-vingt-deux</w:t>
      </w:r>
    </w:p>
    <w:p>
      <w:pPr>
        <w:pStyle w:val="ArticleSubtitle"/>
        <w:jc w:val="left"/>
      </w:pPr>
      <w:r>
        <w:rPr>
          <w:rFonts w:ascii="Segoe UI" w:hAnsi="Segoe UI" w:eastAsia="Segoe UI" w:cs="Segoe UI"/>
        </w:rPr>
        <w:t>ئەنجامدانی</w:t>
      </w:r>
      <w:r>
        <w:rPr>
          <w:rFonts w:ascii="Arial" w:hAnsi="Arial" w:eastAsia="Arial" w:cs="Arial"/>
        </w:rPr>
        <w:t xml:space="preserve"> </w:t>
      </w:r>
      <w:r>
        <w:rPr>
          <w:rFonts w:ascii="Segoe UI" w:hAnsi="Segoe UI" w:eastAsia="Segoe UI" w:cs="Segoe UI"/>
        </w:rPr>
        <w:t>هاوپەیمانییە</w:t>
      </w:r>
      <w:r>
        <w:rPr>
          <w:rFonts w:ascii="Arial" w:hAnsi="Arial" w:eastAsia="Arial" w:cs="Arial"/>
        </w:rPr>
        <w:t xml:space="preserve"> </w:t>
      </w:r>
      <w:r>
        <w:rPr>
          <w:rFonts w:ascii="Segoe UI" w:hAnsi="Segoe UI" w:eastAsia="Segoe UI" w:cs="Segoe UI"/>
        </w:rPr>
        <w:t>پێشبینییەکان</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شەڕەکان</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سێلێوکەسی</w:t>
      </w:r>
      <w:r>
        <w:rPr>
          <w:rFonts w:ascii="Arial" w:hAnsi="Arial" w:eastAsia="Arial" w:cs="Arial"/>
        </w:rPr>
        <w:t xml:space="preserve"> </w:t>
      </w:r>
      <w:r>
        <w:rPr>
          <w:rFonts w:ascii="Segoe UI" w:hAnsi="Segoe UI" w:eastAsia="Segoe UI" w:cs="Segoe UI"/>
        </w:rPr>
        <w:t>کۆنەوە</w:t>
      </w:r>
      <w:r>
        <w:rPr>
          <w:rFonts w:ascii="Arial" w:hAnsi="Arial" w:eastAsia="Arial" w:cs="Arial"/>
        </w:rPr>
        <w:t xml:space="preserve"> </w:t>
      </w:r>
      <w:r>
        <w:rPr>
          <w:rFonts w:ascii="Segoe UI" w:hAnsi="Segoe UI" w:eastAsia="Segoe UI" w:cs="Segoe UI"/>
        </w:rPr>
        <w:t>تا</w:t>
      </w:r>
      <w:r>
        <w:rPr>
          <w:rFonts w:ascii="Arial" w:hAnsi="Arial" w:eastAsia="Arial" w:cs="Arial"/>
        </w:rPr>
        <w:t xml:space="preserve"> </w:t>
      </w:r>
      <w:r>
        <w:rPr>
          <w:rFonts w:ascii="Segoe UI" w:hAnsi="Segoe UI" w:eastAsia="Segoe UI" w:cs="Segoe UI"/>
        </w:rPr>
        <w:t>جۆپۆلیتیکی</w:t>
      </w:r>
      <w:r>
        <w:rPr>
          <w:rFonts w:ascii="Arial" w:hAnsi="Arial" w:eastAsia="Arial" w:cs="Arial"/>
        </w:rPr>
        <w:t xml:space="preserve"> </w:t>
      </w:r>
      <w:r>
        <w:rPr>
          <w:rFonts w:ascii="Segoe UI" w:hAnsi="Segoe UI" w:eastAsia="Segoe UI" w:cs="Segoe UI"/>
        </w:rPr>
        <w:t>مۆدێرن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آیات سیزده و چهارده تاریخی را معرفی می‌کنند که در آن سلوکوس و فیلیپِ مقدونی در حال تشکیل اتحادی بودند، و ایشان نمونهٔ ایالات متحده‌اند که نخستین سپاه نیابتیِ روم است، و مقدونیه (یونان) نمادی از سازمان ملل متحد است. در آن تاریخِ آغازین، اتحادی از پادشاه شمال (سلوکوس) و فیلیپ (یونان)، نمایانگر تاریخی است که به نبرد پانیوم می‌انجامد؛ نبردی که دو سده بعد، نام آن شهر از پانیوم به قیصریهٔ فیلیپی تغییر یافت. نامِ دوگانهٔ شهر، بزرگداشتِ اتحادِ سلوکوس و فیلیپِ مقدونی نبود.</w:t>
      </w:r>
    </w:p>
    <w:p>
      <w:pPr>
        <w:pStyle w:val="ArticleBody"/>
        <w:jc w:val="left"/>
      </w:pPr>
      <w:r>
        <w:rPr>
          <w:rFonts w:ascii="Times New Roman" w:hAnsi="Times New Roman" w:eastAsia="Times New Roman" w:cs="Times New Roman"/>
        </w:rPr>
        <w:t>Le nom « Césarée de Philippe » provient de la transformation historique de l’ancienne ville connue sous le nom de Panéas ou Panion. La ville fut à l’origine appelée Panéas en raison de sa proximité avec une source importante consacrée au dieu grec Pan. Cette source, qui constituait dans l’Antiquité un lieu religieux d’une grande importance, se jetait dans le Jourdain.</w:t>
      </w:r>
    </w:p>
    <w:p>
      <w:pPr>
        <w:pStyle w:val="ArticleBody"/>
        <w:jc w:val="left"/>
      </w:pPr>
      <w:r>
        <w:rPr>
          <w:rFonts w:ascii="Times New Roman" w:hAnsi="Times New Roman" w:eastAsia="Times New Roman" w:cs="Times New Roman"/>
        </w:rPr>
        <w:t>Sous le règne du roi Hérode le Grand, vers le Ier siècle av. J.-C., la ville fit l’objet d’importants travaux de rénovation, et elle fut agrandie et embellie. Césarée de Philippe fut nommée par Hérode Philippe, fils d’Hérode le Grand. Il donna à la ville le nom de Césarée en l’honneur de l’empereur romain César Auguste, et celui de Philippe d’après son propre nom, d’où Césarée de Philippe. Ainsi, « Césarée de Philippe » est une combinaison de « Césarée », qui reflète l’hommage rendu par Hérode à César Auguste, et de « Philippe », en l’honneur d’Hérode Philippe.</w:t>
      </w:r>
    </w:p>
    <w:p>
      <w:pPr>
        <w:pStyle w:val="ArticleBody"/>
        <w:jc w:val="left"/>
      </w:pPr>
      <w:r>
        <w:rPr>
          <w:rFonts w:ascii="Times New Roman" w:hAnsi="Times New Roman" w:eastAsia="Times New Roman" w:cs="Times New Roman"/>
        </w:rPr>
        <w:t>وعلى نحوٍ نبويّ، يرتبط بانيوم بتحالفٍ بين سلوقس وفيليبُس المقدوني، وكذلك بالتحالف بين قيصر وهيرودس فيليبُس. وهذان التحالفان يشيران إلى التحالف بين الولايات المتحدة والأمم المتحدة الذي يعقب انهيار روسيا بوتين كما يمثّله سلوقس وفيليبُس. كما إنهما يمثّلان أيضًا التحالف بين البابوية، وهي الأم، والولايات المتحدة، وهي الابنة، كما يمثّله قيصر وفيليبُس، اللذان كانا كلاهما ممثّلَين لروما. وهما معًا يحدّدان بلوغَ الولايات المتحدة «عبر الهوّة لتقبض على يد السلطة الرومانية»، وامتدادَها «فوق الهاوية لتتصافح مع الروحانية». وقبل قانون الأحد المذكور في الآية السادسة عشرة، يكون الاتحاد الثلاثي قد أُقيم بالفعل.</w:t>
      </w:r>
    </w:p>
    <w:p>
      <w:pPr>
        <w:pStyle w:val="ArticleBody"/>
        <w:jc w:val="left"/>
      </w:pPr>
      <w:r>
        <w:rPr>
          <w:rFonts w:ascii="Times New Roman" w:hAnsi="Times New Roman" w:eastAsia="Times New Roman" w:cs="Times New Roman"/>
        </w:rPr>
        <w:t>Panium représente le centre du culte grec rendu au dieu Pan. La source qui était consacrée au dieu grec Pan était aussi connue, à cette époque, comme les « portes de l’enfer »; et lorsque Jésus s’y rendit, sa déclaration au sujet des « portes de l’enfer » désigne une lutte entre les attributs politiques et religieux de la Grèce (mondialisme) et le protestantisme apostat, lutte qui se déroule dans les derniers jours. C’est la bataille d’abord engagée par le riche président qui suscita le royaume de la Grèce au verset deux. C’est une bataille extérieure de portée mondiale, et aussi une bataille intérieure au sein des États-Unis.</w:t>
      </w:r>
    </w:p>
    <w:p>
      <w:pPr>
        <w:pStyle w:val="ArticleBody"/>
        <w:jc w:val="left"/>
      </w:pPr>
      <w:r>
        <w:rPr>
          <w:rFonts w:ascii="Times New Roman" w:hAnsi="Times New Roman" w:eastAsia="Times New Roman" w:cs="Times New Roman"/>
        </w:rPr>
        <w:t>Keeme keessaa addunyaawaa t jedhu amantii jabaa nagaawaa t jedhu, yeroo ammaa keessatti immoo amantii “woke-ism” jedhamee waamamu dha. Bara 2020 keessatti, bineensi boolla gadi fagoo keessaa ba’u, kan Mul’ata boqonnaa kudha tokko keessatti adda baafame, humna isaa siyaasaa fi amantii mul’isee gaanfota lamaan bineensa lafaa ajjeese. Boolli gadi fagoon sunis, wantoota biroo keessaa tokko ta’ee, “Madda Paan” jedhamuun bakka buufama; innis laga Yordaanos ni soora ture.</w:t>
      </w:r>
    </w:p>
    <w:p>
      <w:pPr>
        <w:pStyle w:val="ArticleBody"/>
        <w:jc w:val="left"/>
      </w:pPr>
      <w:r>
        <w:rPr>
          <w:rFonts w:ascii="Times New Roman" w:hAnsi="Times New Roman" w:eastAsia="Times New Roman" w:cs="Times New Roman"/>
        </w:rPr>
        <w:t>Si cikin tatsuniyoyin Helenawa, ana danganta Pan da yanayi, jejin daji, da kiɗan karkara, kuma kasancewar wani maɓuɓɓuga da aka keɓe masa yana da muhimmancin addini ga masu bautarsa. Akan nuna allahn Pan sau da yawa yana da ƙafafu, ƙahoni, da kunnuwa irin na akuya. Ana ɗaukar Pan a matsayin allahn makiyaya da garkuna, kuma sau da yawa ana siffanta shi a matsayin abin bautawa mai wasa da son shirme, wanda yake ta yawo cikin dazuzzuka da duwatsu cikin murna. Siffar Pan a matsayin abin bautawa mai ƙafafun akuya ta yi daidai da Daniyel sura ta takwas, inda Girka take wakilta ta wurin bunsuru. Awaki dabbobin gida ne da aka saba samu a tsohuwar Girka, kuma sau da yawa ana samunsu a yankunan duwatsu inda aka yi imani Pan yana yawo. Wannan siffantawa ta zama muhimmin ɓangare na alamomin Pan, kuma ta dawwama a fasahar Helenawa da adabinsu da ke kwatanta allahn, har ma da kuɗin ƙasa.</w:t>
      </w:r>
    </w:p>
    <w:p>
      <w:pPr>
        <w:pStyle w:val="ArticleBody"/>
        <w:jc w:val="left"/>
      </w:pPr>
      <w:r>
        <w:rPr>
          <w:rFonts w:ascii="Times New Roman" w:hAnsi="Times New Roman" w:eastAsia="Times New Roman" w:cs="Times New Roman"/>
        </w:rPr>
        <w:t>When Jesus visited Caesarea Philippi, He identified that the “Gates of Hell” would not prevail against the church. What Peter had stated in answer to Jesus’ question is understood in Christian history and tradition as the “Christian Confession.”</w:t>
      </w:r>
    </w:p>
    <w:p>
      <w:pPr>
        <w:pStyle w:val="ArticleScripture"/>
        <w:jc w:val="left"/>
      </w:pPr>
      <w:r>
        <w:rPr>
          <w:rFonts w:ascii="Times New Roman" w:hAnsi="Times New Roman" w:eastAsia="Times New Roman" w:cs="Times New Roman"/>
        </w:rPr>
        <w:t>Na Yesu alipofika katika mipaka ya Kaisaria Filipi, aliwauliza wanafunzi wake, akisema, Watu huninena mimi Mwana wa Adamu kuwa ni nani? Wakasema, Wengine hunena ya kwamba u Yohana Mbatizaji; wengine, Eliya; na wengine, Yeremia, au mmoja wa manabii. Akawaambia, Nanyi mwaninena mimi kuwa ni nani? Simoni Petro akajibu, akasema, Wewe ndiwe Kristo, Mwana wa Mungu aliye hai. Yesu akajibu, akamwambia, Heri wewe, Simoni Bar-yona; kwa kuwa mwili na damu havikukufunulia hili, ila Baba yangu aliye mbinguni. Nami nakuambia, Wewe ndiwe Petro, na juu ya mwamba huu nitalijenga kanisa langu; wala milango ya kuzimu haitalishinda. Nami nitakupa wewe funguo za ufalme wa mbinguni; na lo lote utakalolifunga duniani litakuwa limefungwa mbinguni; na lo lote utakalolifungua duniani litakuwa limefunguliwa mbinguni. Ndipo akawakataza wanafunzi wake wasimwambie mtu yeyote ya kwamba yeye ndiye Yesu Kristo. Mathayo 16:13–20.</w:t>
      </w:r>
    </w:p>
    <w:p>
      <w:pPr>
        <w:pStyle w:val="ArticleBody"/>
        <w:jc w:val="left"/>
      </w:pPr>
      <w:r>
        <w:rPr>
          <w:rFonts w:ascii="Times New Roman" w:hAnsi="Times New Roman" w:eastAsia="Times New Roman" w:cs="Times New Roman"/>
        </w:rPr>
        <w:t>Ce passage revêt une importance considérable, car il représente un moment décisif dans le ministère de Jésus et dans le développement de la théologie chrétienne. La confession de Pierre reconnaissant Jésus comme le Messie, le Fils du Dieu vivant, est considérée comme le fondement de la foi chrétienne et la pierre angulaire sur laquelle l’Église est édifiée. L’expression « sur cette pierre je bâtirai mon Église » est interprétée, dans la tradition catholique, comme une référence à Pierre lui-même, que Jésus désigne comme la « pierre » sur laquelle l’Église sera bâtie. Cette interprétation sert de fondement à la primauté et à l’autorité papales dans la théologie catholique.</w:t>
      </w:r>
    </w:p>
    <w:p>
      <w:pPr>
        <w:pStyle w:val="ArticleBody"/>
        <w:jc w:val="left"/>
      </w:pPr>
      <w:r>
        <w:rPr>
          <w:rFonts w:ascii="Times New Roman" w:hAnsi="Times New Roman" w:eastAsia="Times New Roman" w:cs="Times New Roman"/>
        </w:rPr>
        <w:t>In protestantischer Theologie wird der „Fels“ nicht als Bezug auf Petrus persönlich verstanden, sondern auf das Bekenntnis des Petrus zu Jesus als dem Messias und dem Sohn Gottes. Nach dieser Auffassung ist das Fundament der Kirche nicht Petrus, sondern das Bekenntnis, dass Jesus der Christus und der Sohn Gottes ist. Ungeachtet der theologischen Auslegung gilt das Bekenntnis des Petrus in Matthäus 16,13–20 als eine zentrale und grundlegende Passage des christlichen Glaubens, die die Identität Jesu als des Messias und des Sohnes Gottes hervorhebt und den Auftrag sowie die Bestimmung der Kirche bekräftigt.</w:t>
      </w:r>
    </w:p>
    <w:p>
      <w:pPr>
        <w:pStyle w:val="ArticleBody"/>
        <w:jc w:val="left"/>
      </w:pPr>
      <w:r>
        <w:rPr>
          <w:rFonts w:ascii="Times New Roman" w:hAnsi="Times New Roman" w:eastAsia="Times New Roman" w:cs="Times New Roman"/>
        </w:rPr>
        <w:t>A cikin maƙalar da ta gabata mun gabatar da wani ɓangare daga *The Desire of Ages*, inda Sister White ta fayyace wasu daga cikin batutuwan da ke da alaƙa da ziyarar Almasihu zuwa Kaisariya Filibbi. Ɗaya daga cikin abubuwan da ta lura da su shi ne cewa Almasihu ya ɗauki almajiran ya nisantar da su daga tasirin Yahudawa domin ya gabatar musu da darussan Kaisariya Filibbi.</w:t>
      </w:r>
    </w:p>
    <w:p>
      <w:pPr>
        <w:pStyle w:val="ArticleScripture"/>
        <w:jc w:val="left"/>
      </w:pPr>
      <w:r>
        <w:rPr>
          <w:rFonts w:ascii="Times New Roman" w:hAnsi="Times New Roman" w:eastAsia="Times New Roman" w:cs="Times New Roman"/>
        </w:rPr>
        <w:t>«Ησα και οι μαθητές Του είχαν τώρα φθάσει σε μία από τις κωμοπόλεις κοντά στην Καισάρεια τη Φιλίππου. Βρίσκονταν πέρα από τα όρια της Γαλιλαίας, σε μια περιοχή όπου επικρατούσε η ειδωλολατρία. Εκεί οι μαθητές απομακρύνθηκαν από την κυριαρχική επιρροή του Ιουδαϊσμού και ήλθαν σε στενότερη επαφή με την εθνική λατρεία. Γύρω τους παρουσιάζονταν μορφές δεισιδαιμονίας που υπήρχαν σε όλα τα μέρη του κόσμου. Ο Ησα επιθυμούσε η θέα αυτών των πραγμάτων να τους οδηγήσει να αισθανθούν την ευθύνη τους απέναντι στους εθνικούς. Κατά την παραμονή Του σε αυτή την περιοχή, επιδίωξε να αποσυρθεί από τη διδασκαλία του λαού και να αφοσιωθεί πληρέστερα στους μαθητές Του». Ο Πόθος των Αιώνων, 411.</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ព្រះគ្រីស្ទបានដកពួកសិស្សនៃថ្ងៃទី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ចេញពីឥទ្ធិពលនៃអាដវេនទីសម៍ឡាវឌីសេ។</w:t>
      </w:r>
      <w:r>
        <w:rPr>
          <w:rFonts w:ascii="Times New Roman" w:hAnsi="Times New Roman" w:eastAsia="Times New Roman" w:cs="Times New Roman"/>
        </w:rPr>
        <w:t xml:space="preserve"> </w:t>
      </w:r>
      <w:r>
        <w:rPr>
          <w:rFonts w:ascii="Leelawadee UI" w:hAnsi="Leelawadee UI" w:eastAsia="Leelawadee UI" w:cs="Leelawadee UI"/>
        </w:rPr>
        <w:t>ការខកចិត្តលើកទីមួយនៅក្នុងប្រស្នាពាក្យនៃព្រហ្មចារីដប់នាក់</w:t>
      </w:r>
      <w:r>
        <w:rPr>
          <w:rFonts w:ascii="Times New Roman" w:hAnsi="Times New Roman" w:eastAsia="Times New Roman" w:cs="Times New Roman"/>
        </w:rPr>
        <w:t xml:space="preserve"> </w:t>
      </w:r>
      <w:r>
        <w:rPr>
          <w:rFonts w:ascii="Leelawadee UI" w:hAnsi="Leelawadee UI" w:eastAsia="Leelawadee UI" w:cs="Leelawadee UI"/>
        </w:rPr>
        <w:t>បានបង្កើតការបំបែកមួយរវាងចលនានោះ</w:t>
      </w:r>
      <w:r>
        <w:rPr>
          <w:rFonts w:ascii="Times New Roman" w:hAnsi="Times New Roman" w:eastAsia="Times New Roman" w:cs="Times New Roman"/>
        </w:rPr>
        <w:t xml:space="preserve"> </w:t>
      </w:r>
      <w:r>
        <w:rPr>
          <w:rFonts w:ascii="Leelawadee UI" w:hAnsi="Leelawadee UI" w:eastAsia="Leelawadee UI" w:cs="Leelawadee UI"/>
        </w:rPr>
        <w:t>និងក្រុមជំនុំរបស់ពួកអ្នកចំអក</w:t>
      </w:r>
      <w:r>
        <w:rPr>
          <w:rFonts w:ascii="Times New Roman" w:hAnsi="Times New Roman" w:eastAsia="Times New Roman" w:cs="Times New Roman"/>
        </w:rPr>
        <w:t xml:space="preserve"> </w:t>
      </w:r>
      <w:r>
        <w:rPr>
          <w:rFonts w:ascii="Leelawadee UI" w:hAnsi="Leelawadee UI" w:eastAsia="Leelawadee UI" w:cs="Leelawadee UI"/>
        </w:rPr>
        <w:t>ដែលកំពុងស្ថិតក្នុងដំណើរការត្រូវបានរំលងផុតទៅ។</w:t>
      </w:r>
      <w:r>
        <w:rPr>
          <w:rFonts w:ascii="Times New Roman" w:hAnsi="Times New Roman" w:eastAsia="Times New Roman" w:cs="Times New Roman"/>
        </w:rPr>
        <w:t xml:space="preserve"> </w:t>
      </w:r>
      <w:r>
        <w:rPr>
          <w:rFonts w:ascii="Leelawadee UI" w:hAnsi="Leelawadee UI" w:eastAsia="Leelawadee UI" w:cs="Leelawadee UI"/>
        </w:rPr>
        <w:t>សេចក្ដីពិតនេះបានសម្រេចជាការបំពេញនៅក្នុងប្រវត្តិសាស្ត្រមីល្លឺរ៉ៃត៍</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19 </w:t>
      </w:r>
      <w:r>
        <w:rPr>
          <w:rFonts w:ascii="Leelawadee UI" w:hAnsi="Leelawadee UI" w:eastAsia="Leelawadee UI" w:cs="Leelawadee UI"/>
        </w:rPr>
        <w:t>ខែមេសា</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ហើយម្តងទៀតនៅថ្ងៃទី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ប្រវត្តិសាស្ត្រនៃពេលពន្យារបានចាប់ផ្ដើម</w:t>
      </w:r>
      <w:r>
        <w:rPr>
          <w:rFonts w:ascii="Times New Roman" w:hAnsi="Times New Roman" w:eastAsia="Times New Roman" w:cs="Times New Roman"/>
        </w:rPr>
        <w:t xml:space="preserve"> </w:t>
      </w:r>
      <w:r>
        <w:rPr>
          <w:rFonts w:ascii="Leelawadee UI" w:hAnsi="Leelawadee UI" w:eastAsia="Leelawadee UI" w:cs="Leelawadee UI"/>
        </w:rPr>
        <w:t>ហើយវាមានសញ្ញាសម្គាល់នៃ</w:t>
      </w:r>
      <w:r>
        <w:rPr>
          <w:rFonts w:ascii="Times New Roman" w:hAnsi="Times New Roman" w:eastAsia="Times New Roman" w:cs="Times New Roman"/>
        </w:rPr>
        <w:t xml:space="preserve"> «</w:t>
      </w:r>
      <w:r>
        <w:rPr>
          <w:rFonts w:ascii="Leelawadee UI" w:hAnsi="Leelawadee UI" w:eastAsia="Leelawadee UI" w:cs="Leelawadee UI"/>
        </w:rPr>
        <w:t>សេចក្ដីពិត</w:t>
      </w:r>
      <w:r>
        <w:rPr>
          <w:rFonts w:ascii="Times New Roman" w:hAnsi="Times New Roman" w:eastAsia="Times New Roman" w:cs="Times New Roman"/>
        </w:rPr>
        <w:t xml:space="preserve">» </w:t>
      </w:r>
      <w:r>
        <w:rPr>
          <w:rFonts w:ascii="Leelawadee UI" w:hAnsi="Leelawadee UI" w:eastAsia="Leelawadee UI" w:cs="Leelawadee UI"/>
        </w:rPr>
        <w:t>ទាំងនៅក្នុងចលនារបស់ទេវតាទីមួយ</w:t>
      </w:r>
      <w:r>
        <w:rPr>
          <w:rFonts w:ascii="Times New Roman" w:hAnsi="Times New Roman" w:eastAsia="Times New Roman" w:cs="Times New Roman"/>
        </w:rPr>
        <w:t xml:space="preserve"> </w:t>
      </w:r>
      <w:r>
        <w:rPr>
          <w:rFonts w:ascii="Leelawadee UI" w:hAnsi="Leelawadee UI" w:eastAsia="Leelawadee UI" w:cs="Leelawadee UI"/>
        </w:rPr>
        <w:t>និងទេវតាទីបី។</w:t>
      </w:r>
    </w:p>
    <w:p>
      <w:pPr>
        <w:pStyle w:val="ArticleBody"/>
        <w:jc w:val="left"/>
      </w:pPr>
      <w:r>
        <w:rPr>
          <w:rFonts w:ascii="Times New Roman" w:hAnsi="Times New Roman" w:eastAsia="Times New Roman" w:cs="Times New Roman"/>
        </w:rPr>
        <w:t>Okokuqala ukuphoxeka kungolokuqala kwezimpawu ezintathu zendlela, futhi lowo mlando uphetha ngokuPhoxeka Okukhulu kwango-October 22, 1844, okufanekisela “ukuzamazama komhlaba okukhulu” kwesAmbulo isahluko seshumi nanye. Isiqalo, uhlamvu lokuqala lwezinhlamvu zesiHebheru, lumelela ukuphoxeka, futhi isiphetho, uhlamvu lwamashumi amabili nambili lwezinhlamvu zesiHebheru, nalo lumelela ukuphoxeka. Uhlamvu lweshumi nantathu, olumelayo ukuvukela, lukhomba ukuphoxeka kwezintombi eziyiziwula ezibonakalisa isimo sazo sokulahleka lapho isimemezelo saphakathi kwamabili siveza ukuthi ngubani olungiselele, nongalungiselelanga, inhlekelele. Izinhlamvu ezingamashumi amabili nambili zesiHebheru zimelela uphawu lokuhlanganiswa kobuNkulunkulu nobuntu olufezwa ngaphakathi kwalowo mlando, nakuba umlando wamaMillerite umelela iKadeshi yokuqala, kanti umlando wethu namuhla umelela iKadeshi yokugcina.</w:t>
      </w:r>
    </w:p>
    <w:p>
      <w:pPr>
        <w:pStyle w:val="ArticleBody"/>
        <w:jc w:val="left"/>
      </w:pPr>
      <w:r>
        <w:rPr>
          <w:rFonts w:ascii="Times New Roman" w:hAnsi="Times New Roman" w:eastAsia="Times New Roman" w:cs="Times New Roman"/>
        </w:rPr>
        <w:t>De twee lijnen lopen parallel, maar de ene vertegenwoordigt het falen van Gods volk en de andere de overwinning van Gods volk. Vlak vóór het kruis bracht Jezus Zijn discipelen naar Panium, evenals Hij Zijn discipelen van de laatste dagen naar Panium heeft gebracht; en door dit te doen liet Hij toe dat een teleurstelling Zijn discipelen van de laatste dagen verwijderde van de “beheersende invloed” van het Laodiceaanse adventisme, dat in de geschiedenis van Mattheüs hoofdstuk zestien wordt voorgesteld door “het jodendom”. Daarbij bracht Hij Zijn discipelen tegelijkertijd ook in nauwer contact met het heidendom, en stelde zo de werkomgeving voor van Zijn discipelen van de laatste dagen, die nu leven te midden van de volle openbaring van satanische macht, voorgesteld door de moderne communicatiesystemen die worden aangewend om de gehele wereld ertoe te brengen het merkteken van het beest te ontvangen.</w:t>
      </w:r>
    </w:p>
    <w:p>
      <w:pPr>
        <w:pStyle w:val="ArticleBody"/>
        <w:jc w:val="left"/>
      </w:pPr>
      <w:r>
        <w:rPr>
          <w:rFonts w:ascii="Times New Roman" w:hAnsi="Times New Roman" w:eastAsia="Times New Roman" w:cs="Times New Roman"/>
        </w:rPr>
        <w:t>L’histoire de Césarée de Philippe correspond à l’histoire de la bataille de Panium, ainsi qu’aux versets treize à quinze. Christ et ses disciples se tenaient à l’ombre de la croix, figurant ses disciples des derniers jours se tenant à l’ombre de la loi du dimanche. Là, aux versets treize à quinze, qui étaient Césarée de Philippe, et aussi la bataille de Panium, c’est-à-dire l’endroit où nous nous tenons aujourd’hui, Christ commença à enseigner à ses disciples ce qui allait se produire au verset seize.</w:t>
      </w:r>
    </w:p>
    <w:p>
      <w:pPr>
        <w:pStyle w:val="ArticleScripture"/>
        <w:jc w:val="left"/>
      </w:pPr>
      <w:r>
        <w:rPr>
          <w:rFonts w:ascii="Times New Roman" w:hAnsi="Times New Roman" w:eastAsia="Times New Roman" w:cs="Times New Roman"/>
        </w:rPr>
        <w:t>«Был готов открыть им о страданиях, ожидавших Его. Но прежде Он удалился один и молился, чтобы сердца их были приготовлены принять Его слова». Желание веков, 411.</w:t>
      </w:r>
    </w:p>
    <w:p>
      <w:pPr>
        <w:pStyle w:val="ArticleBody"/>
        <w:jc w:val="left"/>
      </w:pPr>
      <w:r>
        <w:rPr>
          <w:rFonts w:ascii="Times New Roman" w:hAnsi="Times New Roman" w:eastAsia="Times New Roman" w:cs="Times New Roman"/>
        </w:rPr>
        <w:t>Kabla Kristi nɔna e nusrɔfo befa asɛndua no ho asɛm no, odii kan kɔɔ akyirikyiri, anaasɛ ɔtwentwɛn ne nan ase; saa na ɔde twentwɛn bere no hyɛɛ bɛ no ne abakɔsɛm no mu fi July 18, 2020 kosi July 2023.</w:t>
      </w:r>
    </w:p>
    <w:p>
      <w:pPr>
        <w:pStyle w:val="ArticleScripture"/>
        <w:jc w:val="left"/>
      </w:pPr>
      <w:r>
        <w:rPr>
          <w:rFonts w:ascii="Times New Roman" w:hAnsi="Times New Roman" w:eastAsia="Times New Roman" w:cs="Times New Roman"/>
        </w:rPr>
        <w:t>“Alipojiunga nao, hakuwasilisha mara moja yale aliyotaka kuwapa. Kabla ya kufanya hivyo, aliwapa fursa ya kukiri imani yao kwake ili wapate kutiwa nguvu kwa ajili ya jaribu lililokuwa likija.” The Desire of Ages, 411.</w:t>
      </w:r>
    </w:p>
    <w:p>
      <w:pPr>
        <w:pStyle w:val="ArticleBody"/>
        <w:jc w:val="left"/>
      </w:pPr>
      <w:r>
        <w:rPr>
          <w:rFonts w:ascii="Times New Roman" w:hAnsi="Times New Roman" w:eastAsia="Times New Roman" w:cs="Times New Roman"/>
        </w:rPr>
        <w:t>در ژوئیهٔ ۲۰۲۳، خداوند آغاز به فراهم آوردن فرصت برای کسانی کرد که با آن نومیدی درگیر بودند تا ایمان خویش را ابراز کنند. او این کار را با گشودن پیام حزقیال سی‌وهفت انجام داد، پیامی که تأییدی بر پیام ۱۱ سپتامبر ۲۰۰۱ بود. این همان رشته‌ای بود که زمانِ مُهر شدن را از ۱۱ سپتامبر ۲۰۰۱ تا قانونِ یکشنبهٔ قریب‌الوقوع به یکدیگر پیوند می‌داد. و این کار را بدین‌سان انجام داد که نومیدیِ ۱۸ ژوئیهٔ ۲۰۲۰ را در ساختارِ حقیقت جای داد؛ زیرا آنان که مایل بودند ببینند، می‌توانستند تشخیص دهند که هر جنبش اصلاحی، مضمونی دارد که در سراسر تاریخِ مقدسِ خاصِ آن امتداد می‌یابد.</w:t>
      </w:r>
    </w:p>
    <w:p>
      <w:pPr>
        <w:pStyle w:val="ArticleBody"/>
        <w:jc w:val="left"/>
      </w:pPr>
      <w:r>
        <w:rPr>
          <w:rFonts w:ascii="Times New Roman" w:hAnsi="Times New Roman" w:eastAsia="Times New Roman" w:cs="Times New Roman"/>
        </w:rPr>
        <w:t>Dans les derniers jours, le message du troisième malheur arriva le 11 septembre 2001; puis un faux message du troisième malheur fut proclamé, qui produisit une déception; mais le message qui les ramena à la vie après trois jours et demi passés comme des ossements morts, desséchés et dispersés, fut le message des quatre vents, lequel est aussi le troisième malheur.</w:t>
      </w:r>
    </w:p>
    <w:p>
      <w:pPr>
        <w:pStyle w:val="ArticleBody"/>
        <w:jc w:val="left"/>
      </w:pPr>
      <w:r>
        <w:rPr>
          <w:rFonts w:ascii="Times New Roman" w:hAnsi="Times New Roman" w:eastAsia="Times New Roman" w:cs="Times New Roman"/>
        </w:rPr>
        <w:t>ہریک کے آخری زمانہ کے شاگرد، اگر وہ دیکھنا چاہیں، تو دیکھ سکتے ہیں کہ ایک لاکھ چوالیس ہزار کی مہرگذاری کے تینوں سنگِ میل ہر مرحلہ پر ایک ہی موضوع ہیں، اور یہ کہ دوسرے مرحلہ میں، عبرانی حروفِ تہجی کے تیرھویں حرف سے ممثل بغاوت نے اس پیغام کی تصدیق “سچائی” کے طور پر کی۔ ایک دوسری گواہی جو خداوند نے فراہم کی، یہ اس حقیقت میں تھی کہ سابقہ اصلاحی تحریکوں کی پہلی مایوسی خدا کے مکشوفہ ارادہ کے خلاف بغاوت پر مبنی تھی، خواہ وہ موسیٰ کا اپنے بیٹے کا ختنہ نہ کرنا ہو، یا عُزّہ کا اُس صندوق کو چھونا، یا مرتھا اور مریم کا لعزر کی موت کے بارے میں یسوع کے کلام پر شک کرنا۔ واحد اصلاحی خط جس نے اس حقیقت کو برقرار نہ رکھا کہ پہلی مایوسی نافرمانی پر مبنی تھی، میلریوں کی اصلاحی تحریک تھی؛ لیکن اُس وقت یہ بھی دکھایا گیا کہ میلریوں کی تاریخ اپنے اندرونی سنگِ میل رکھتی تھی جو آٹھویں کی سچائی پر مبنی تھے، جو سات میں سے ہے۔</w:t>
      </w:r>
    </w:p>
    <w:p>
      <w:pPr>
        <w:pStyle w:val="ArticleBody"/>
        <w:jc w:val="left"/>
      </w:pPr>
      <w:r>
        <w:rPr>
          <w:rFonts w:ascii="Times New Roman" w:hAnsi="Times New Roman" w:eastAsia="Times New Roman" w:cs="Times New Roman"/>
        </w:rPr>
        <w:t>O fato de o oitavo ser dos sete é um elemento fundamental da Revelação de Jesus Cristo que agora está sendo desselada, e a transição do movimento milerita filadelfiano para a igreja de Laodiceia foi um marco que identificou quando o movimento laodiceano do terceiro anjo faria a transição para o movimento filadelfiano dos cento e quarenta e quatro mil. Assim, o fato de que o primeiro desapontamento milerita se cumpriu sem que seu movimento manifestasse desobediência forneceu o contraste para o mesmo marco nos últimos dias, em que o movimento laodiceano do terceiro anjo desobedeceria e produziria um desapontamento, e, ao fazê-lo, se alinharia com o marco milerita e produziria a lógica para ver que o movimento dos cento e quarenta e quatro mil é o oitavo, que é dos sete.</w:t>
      </w:r>
    </w:p>
    <w:p>
      <w:pPr>
        <w:pStyle w:val="ArticleBody"/>
        <w:jc w:val="left"/>
      </w:pPr>
      <w:r>
        <w:rPr>
          <w:rFonts w:ascii="Times New Roman" w:hAnsi="Times New Roman" w:eastAsia="Times New Roman" w:cs="Times New Roman"/>
        </w:rPr>
        <w:t>En juillet 2023, le Seigneur suscita une « voix qui crie dans le désert » afin de préparer son peuple des derniers jours à la crise de la loi du dimanche, et, lorsqu’il revint vers les disciples après avoir tardé dans la prière, il leur donna l’occasion d’exprimer leur foi. Aux jours du Christ, le message était son baptême, le moment où Jésus devint Jésus-Christ. Ce jalon s’aligne sur le 11 septembre 2001, et ses disciples furent interrogés sur ce que les hommes pensaient, puis sur ce que les disciples eux-mêmes pensaient du Christ.</w:t>
      </w:r>
    </w:p>
    <w:p>
      <w:pPr>
        <w:pStyle w:val="ArticleScripture"/>
        <w:jc w:val="left"/>
      </w:pPr>
      <w:r>
        <w:rPr>
          <w:rFonts w:ascii="Times New Roman" w:hAnsi="Times New Roman" w:eastAsia="Times New Roman" w:cs="Times New Roman"/>
        </w:rPr>
        <w:t>“Onlara katıldıktan sonra, iletmeyi arzu ettiği şeyi hemen bildirmedi. Bunu yapmadan önce, yaklaşan sınav karşısında güçlendirilmeleri için, O’na olan imanlarını ikrar etme fırsatını onlara verdi. Şöyle sordu: ‘İnsanoğlu olan Benim kim olduğumu insanlar söylüyor?’”</w:t>
      </w:r>
    </w:p>
    <w:p>
      <w:pPr>
        <w:pStyle w:val="ArticleScripture"/>
        <w:jc w:val="left"/>
      </w:pPr>
      <w:r>
        <w:rPr>
          <w:rFonts w:ascii="Times New Roman" w:hAnsi="Times New Roman" w:eastAsia="Times New Roman" w:cs="Times New Roman"/>
        </w:rPr>
        <w:t>“Za kusikitisha, wanafunzi walilazimika kukiri kwamba Israeli ilikuwa imeshindwa kumtambua Masihi wao. Wengine kweli, walipoziona miujiza Yake, walimtangaza kuwa Mwana wa Daudi. Makutano yale yaliyokuwa yamelishwa huko Bethsaida yalitamani kumtangaza kuwa mfalme wa Israeli. Wengi walikuwa tayari kumkubali kama nabii; lakini hawakuamini kwamba Yeye ndiye Masihi.” The Desire of Ages, 411.</w:t>
      </w:r>
    </w:p>
    <w:p>
      <w:pPr>
        <w:pStyle w:val="ArticleBody"/>
        <w:jc w:val="left"/>
      </w:pPr>
      <w:r>
        <w:rPr>
          <w:rFonts w:ascii="Times New Roman" w:hAnsi="Times New Roman" w:eastAsia="Times New Roman" w:cs="Times New Roman"/>
        </w:rPr>
        <w:t>Het merendeel van het adventisme geloofde niet in de derde wee van 11 september 2001. Zij geloofden in enkele van de wonderen van het profetische Woord die binnen de beweging waren voorgesteld, en sommigen begrepen dat de boodschap van 11 september 2001 elementen van waarheid bevatte, maar zij geloofden de aanspraken van 11 september 2001 niet werkelijk.</w:t>
      </w:r>
    </w:p>
    <w:p>
      <w:pPr>
        <w:pStyle w:val="ArticleBody"/>
        <w:jc w:val="left"/>
      </w:pPr>
      <w:r>
        <w:rPr>
          <w:rFonts w:ascii="Times New Roman" w:hAnsi="Times New Roman" w:eastAsia="Times New Roman" w:cs="Times New Roman"/>
        </w:rPr>
        <w:t>Ang pahayag tungkol sa Setyembre 11, 2001 ay naipatipo na ng pahayag tungkol sa Agosto 11, 1840, at ang pahayag na iyon ay ipinahayag ni Sister White nang siya ay magbigay ng puna hinggil sa katuparan ng Agosto 11, 1840. Kaniyang sinabi:</w:t>
      </w:r>
    </w:p>
    <w:p>
      <w:pPr>
        <w:pStyle w:val="ArticleScripture"/>
        <w:jc w:val="left"/>
      </w:pPr>
      <w:r>
        <w:rPr>
          <w:rFonts w:ascii="Times New Roman" w:hAnsi="Times New Roman" w:eastAsia="Times New Roman" w:cs="Times New Roman"/>
        </w:rPr>
        <w:t>“Ko e taimi totonu pē na fakahā mai ai, na tali ai ʻe Tōkí, ʻi heʻene kau ʻamipasitoa, ʻa e maluʻi ʻa e ngaahi mālohi kaungāmeʻa ʻo ʻIulope, pea ko ia naʻa ne tuku ai ia ʻi he pule ʻa e ngaahi puleʻanga Kalisitiane. Naʻe fakahoko totonu ʻaupito ʻe he meʻa naʻe hoko ʻa e kikite. ʻI he taimi naʻe ʻilo ai ʻa e meʻá ni, naʻe loto-papau ai ʻa e tokolahi ʻaupito ki he totonu ʻo e ngaahi tefitoʻi moʻoni ʻo e fakamatalaʻi kikite naʻe tali ʻe Milla mo hono ngaahi hoa; pea naʻe foaki ai ha ivi fakaʻulia ki he fakalakalaka ʻa e ngāue ʻo e ʻAveni. Naʻe kau fakataha mo Milla ʻa e kau tangata poto mo e kau tangata maʻu tuʻunga, ʻi he malangaʻi mo e pulusi ʻenau ngaahi vakai, pea mei he 1840 ki he 1844 naʻe vave ʻa e mafola ʻa e ngāué.” The Great Controversy, 334, 335.</w:t>
      </w:r>
    </w:p>
    <w:p>
      <w:pPr>
        <w:pStyle w:val="ArticleBody"/>
        <w:jc w:val="left"/>
      </w:pPr>
      <w:r>
        <w:rPr>
          <w:rFonts w:ascii="Times New Roman" w:hAnsi="Times New Roman" w:eastAsia="Times New Roman" w:cs="Times New Roman"/>
        </w:rPr>
        <w:t>11 août 1840 confirma que les vues prophétiques de Miller étaient exactes, et l’affirmation du 11 septembre 2001 constitue la confirmation que les vues prophétiques de Future for America sont exactes. La multitude impénitente, en juillet 2023, ne pouvait ni ne voulait accepter le principe selon lequel la méthodologie conçue par le Christ, et confiée à Future for America, est en réalité la méthodologie de la pluie de l’arrière-saison. Mais alors le Christ demanda à Ses disciples ce qu’eux, et non la multitude, en pensaient.</w:t>
      </w:r>
    </w:p>
    <w:p>
      <w:pPr>
        <w:pStyle w:val="ArticleScripture"/>
        <w:jc w:val="left"/>
      </w:pPr>
      <w:r>
        <w:rPr>
          <w:rFonts w:ascii="Times New Roman" w:hAnsi="Times New Roman" w:eastAsia="Times New Roman" w:cs="Times New Roman"/>
        </w:rPr>
        <w:t>“Jisu seesee e tuttuɗo ƴiɗi ɗiɗaɓo, ɗum hollata e ɗi ɗon ɗiɗɓe makko e hoore mum'en: ‘Kono onon, moye on mbi'ata mi woni?’ Piyer noottii, wi'i: ‘Aɗa Almasiihu on, Ɓiiiri Alla mo yonki.’”</w:t>
      </w:r>
    </w:p>
    <w:p>
      <w:pPr>
        <w:pStyle w:val="ArticleScripture"/>
        <w:jc w:val="left"/>
      </w:pPr>
      <w:r>
        <w:rPr>
          <w:rFonts w:ascii="Times New Roman" w:hAnsi="Times New Roman" w:eastAsia="Times New Roman" w:cs="Times New Roman"/>
        </w:rPr>
        <w:t>“Faallamaa duraa kaasee Phexros Yesusin Masiihii taʼee amanee ture. Namoonni baayʼeen biroon, warri lallaba Yohaannis Cuuphaatiin qalbii isaanii keessatti amansiifamanii fi Kiristoosin fudhatan, yeroo inni hidhamuu fi ajjeefamuu isaan mudate, waaʼee ergama Yohaannis shakkuu jalqaban; amma immoo Yesusis Masiihii, isa isaan yeroo dheeraadhaaf eeggachaa turan, taʼuu isaa shakkuu jalqaban. Bartoonni baayʼeen, warri Yesus teessoo Daawit irratti iddoo Isaa akka fudhatu hawwii cimaadhaan eegaa turan, yeroo Inni yaada akkasii akka hin qabne hubatanitti Isa dhiisan. Phexros garuu fi hiriyoonni isaa amanamummaa isaanii irraa hin garagalle. Adeemsi jijjiiramaa warra kaleessa galateeffatanii harʼa immoo balaaleffatan sun amantii hordoftuu dhugaa Fayyisaa hin balleessine. Phexros, ‘Ati Kiristoos, Ilma Waaqa jiraataa ti’ jedhee labse. Gooftaan isaa ulfina mootummaa akka gonfatu hin eegin; garuu salphina Isaa keessatti Isa fudhate.”</w:t>
      </w:r>
    </w:p>
    <w:p>
      <w:pPr>
        <w:pStyle w:val="ArticleScripture"/>
        <w:jc w:val="left"/>
      </w:pPr>
      <w:r>
        <w:rPr>
          <w:rFonts w:ascii="Times New Roman" w:hAnsi="Times New Roman" w:eastAsia="Times New Roman" w:cs="Times New Roman"/>
        </w:rPr>
        <w:t>پطرس ایمانِ آن دوازده تن را ابراز کرده بود. با این حال، شاگردان هنوز از فهم مأموریت مسیح بسیار دور بودند. مخالفت و بدبازنماییِ کاهنان و حاکمان، هرچند نمی‌توانست آنان را از مسیح روی‌گردان سازد، با این همه سبب سرگشتگیِ عظیم ایشان می‌شد. آنان راهِ خود را به‌روشنی نمی‌دیدند. تأثیرِ تربیتِ نخستینِ ایشان، تعلیمِ ربیان، و قدرتِ سنّت، همچنان دیدِ آنان را نسبت به حقیقت سد می‌کرد. گهگاه پرتوهای گران‌بهای نور از جانب عیسی بر آنان می‌تابید، امّا ایشان غالباً چون مردمانی بودند که در میان سایه‌ها دست می‌کاوند. لیکن در این روز، پیش از آنکه رو در رویِ آزمونِ بزرگِ ایمانِ خویش قرار گیرند، روح‌القدس با قدرت بر آنان قرار گرفت. برای اندک زمانی، چشمانِ ایشان از «چیزهایی که دیده می‌شود» برگرفته شد تا «چیزهایی را که دیده نمی‌شود» بنگرند. دوم قرنتیان ۴:‏۱۸. آنان در زیرِ پوششِ انسانیت، جلالِ پسرِ خدا را تشخیص دادند.</w:t>
      </w:r>
    </w:p>
    <w:p>
      <w:pPr>
        <w:pStyle w:val="ArticleScripture"/>
        <w:jc w:val="left"/>
      </w:pPr>
      <w:r>
        <w:rPr>
          <w:rFonts w:ascii="Times New Roman" w:hAnsi="Times New Roman" w:eastAsia="Times New Roman" w:cs="Times New Roman"/>
        </w:rPr>
        <w:t>« Jésus répondit à Pierre, en disant : “Tu es heureux, Simon Bar-Jona ; car ce ne sont pas la chair et le sang qui t’ont révélé cela, mais mon Père qui est dans les cieux.” » The Desire of Ages, 412.</w:t>
      </w:r>
    </w:p>
    <w:p>
      <w:pPr>
        <w:pStyle w:val="ArticleBody"/>
        <w:jc w:val="left"/>
      </w:pPr>
      <w:r>
        <w:rPr>
          <w:rFonts w:ascii="Times New Roman" w:hAnsi="Times New Roman" w:eastAsia="Times New Roman" w:cs="Times New Roman"/>
        </w:rPr>
        <w:t>L’aveu de Pierre, en reconnaissant que le Christ est le Fils de Dieu, répondait directement à la question éprouvante de cette histoire. Le temps était venu pour le Messie de paraître, ainsi que l’avait établi la Parole prophétique de Dieu, et seuls ceux qui acceptaient cette vérité seraient comptés parmi ceux que représentait la déclaration de Pierre. Pierre représente ceux qui acceptent le message établi le 11 septembre 2001 et qui confessent que Jésus est le Fils de Dieu. « Pierre avait exprimé la foi des douze », et les douze qu’il représentait étaient les cent quarante-quatre mille. C’est pour cette raison que, dans ce passage, le Christ changea le nom de Pierre, de Simon Barjona à Pierre.</w:t>
      </w:r>
    </w:p>
    <w:p>
      <w:pPr>
        <w:pStyle w:val="ArticleBody"/>
        <w:jc w:val="left"/>
      </w:pPr>
      <w:r>
        <w:rPr>
          <w:rFonts w:ascii="Times New Roman" w:hAnsi="Times New Roman" w:eastAsia="Times New Roman" w:cs="Times New Roman"/>
        </w:rPr>
        <w:t>«Simon» signifie «celui qui entend», et «bar» signifie «fils de», et Jonas signifie «colombe». Simon représentait ceux qui entendaient le message de la colombe, laquelle représentait les vérités associées au baptême de Jésus, lorsqu’Il devint le Christ, oint de puissance, comme cela fut symboliquement représenté par la descente du Saint-Esprit sous la forme d’une colombe.</w:t>
      </w:r>
    </w:p>
    <w:p>
      <w:pPr>
        <w:pStyle w:val="ArticleBody"/>
        <w:jc w:val="left"/>
      </w:pPr>
      <w:r>
        <w:rPr>
          <w:rFonts w:ascii="Times New Roman" w:hAnsi="Times New Roman" w:eastAsia="Times New Roman" w:cs="Times New Roman"/>
        </w:rPr>
        <w:t>Reformlinjerne løber parallelt med hinanden, og Johannes repræsenterer milleritterne, som den 11. august 1840 åd den lille bog. Jeremias svarer til denne begivenhed, og da han åd den lille bog, blev han derpå kaldt ved Guds navn.</w:t>
      </w:r>
    </w:p>
    <w:p>
      <w:pPr>
        <w:pStyle w:val="ArticleScripture"/>
        <w:jc w:val="left"/>
      </w:pPr>
      <w:r>
        <w:rPr>
          <w:rFonts w:ascii="Times New Roman" w:hAnsi="Times New Roman" w:eastAsia="Times New Roman" w:cs="Times New Roman"/>
        </w:rPr>
        <w:t>Ta parole s’est présentée à moi, et je l’ai dévorée ; ta parole a fait la joie et l’allégresse de mon cœur, car je suis appelé de ton nom, ô Éternel, Dieu des armées. Jérémie 15:16.</w:t>
      </w:r>
    </w:p>
    <w:p>
      <w:pPr>
        <w:pStyle w:val="ArticleBody"/>
        <w:jc w:val="left"/>
      </w:pPr>
      <w:r>
        <w:rPr>
          <w:rFonts w:ascii="Leelawadee UI" w:hAnsi="Leelawadee UI" w:eastAsia="Leelawadee UI" w:cs="Leelawadee UI"/>
        </w:rPr>
        <w:t>เมื่อองค์พระผู้เป็นเจ้าทรงเข้าสู่พันธสัญญากับอับราม</w:t>
      </w:r>
      <w:r>
        <w:rPr>
          <w:rFonts w:ascii="Times New Roman" w:hAnsi="Times New Roman" w:eastAsia="Times New Roman" w:cs="Times New Roman"/>
        </w:rPr>
        <w:t xml:space="preserve"> </w:t>
      </w:r>
      <w:r>
        <w:rPr>
          <w:rFonts w:ascii="Leelawadee UI" w:hAnsi="Leelawadee UI" w:eastAsia="Leelawadee UI" w:cs="Leelawadee UI"/>
        </w:rPr>
        <w:t>พระองค์ทรงเปลี่ยนชื่อของเขาเป็นอับราฮัม</w:t>
      </w:r>
      <w:r>
        <w:rPr>
          <w:rFonts w:ascii="Times New Roman" w:hAnsi="Times New Roman" w:eastAsia="Times New Roman" w:cs="Times New Roman"/>
        </w:rPr>
        <w:t xml:space="preserve"> </w:t>
      </w:r>
      <w:r>
        <w:rPr>
          <w:rFonts w:ascii="Leelawadee UI" w:hAnsi="Leelawadee UI" w:eastAsia="Leelawadee UI" w:cs="Leelawadee UI"/>
        </w:rPr>
        <w:t>ดังที่พระองค์ทรงกระทำกับซารายและยาโคบ</w:t>
      </w:r>
      <w:r>
        <w:rPr>
          <w:rFonts w:ascii="Times New Roman" w:hAnsi="Times New Roman" w:eastAsia="Times New Roman" w:cs="Times New Roman"/>
        </w:rPr>
        <w:t xml:space="preserve"> </w:t>
      </w:r>
      <w:r>
        <w:rPr>
          <w:rFonts w:ascii="Leelawadee UI" w:hAnsi="Leelawadee UI" w:eastAsia="Leelawadee UI" w:cs="Leelawadee UI"/>
        </w:rPr>
        <w:t>การเปลี่ยนชื่อนั้นเป็นสัญลักษณ์ของความสัมพันธ์แห่งพันธสัญญา</w:t>
      </w:r>
      <w:r>
        <w:rPr>
          <w:rFonts w:ascii="Times New Roman" w:hAnsi="Times New Roman" w:eastAsia="Times New Roman" w:cs="Times New Roman"/>
        </w:rPr>
        <w:t xml:space="preserve"> </w:t>
      </w:r>
      <w:r>
        <w:rPr>
          <w:rFonts w:ascii="Leelawadee UI" w:hAnsi="Leelawadee UI" w:eastAsia="Leelawadee UI" w:cs="Leelawadee UI"/>
        </w:rPr>
        <w:t>และที่หมายสำคัญซึ่งสัญลักษณ์แห่งพระเจ้าทรงเสด็จลงมานั้น</w:t>
      </w:r>
      <w:r>
        <w:rPr>
          <w:rFonts w:ascii="Times New Roman" w:hAnsi="Times New Roman" w:eastAsia="Times New Roman" w:cs="Times New Roman"/>
        </w:rPr>
        <w:t xml:space="preserve"> </w:t>
      </w:r>
      <w:r>
        <w:rPr>
          <w:rFonts w:ascii="Leelawadee UI" w:hAnsi="Leelawadee UI" w:eastAsia="Leelawadee UI" w:cs="Leelawadee UI"/>
        </w:rPr>
        <w:t>ชนชาติของพระเจ้าจะต้องรับประทานข่าวสารนั้น</w:t>
      </w:r>
      <w:r>
        <w:rPr>
          <w:rFonts w:ascii="Times New Roman" w:hAnsi="Times New Roman" w:eastAsia="Times New Roman" w:cs="Times New Roman"/>
        </w:rPr>
        <w:t xml:space="preserve"> </w:t>
      </w:r>
      <w:r>
        <w:rPr>
          <w:rFonts w:ascii="Leelawadee UI" w:hAnsi="Leelawadee UI" w:eastAsia="Leelawadee UI" w:cs="Leelawadee UI"/>
        </w:rPr>
        <w:t>เข้าในพันธสัญญา</w:t>
      </w:r>
      <w:r>
        <w:rPr>
          <w:rFonts w:ascii="Times New Roman" w:hAnsi="Times New Roman" w:eastAsia="Times New Roman" w:cs="Times New Roman"/>
        </w:rPr>
        <w:t xml:space="preserve"> </w:t>
      </w:r>
      <w:r>
        <w:rPr>
          <w:rFonts w:ascii="Leelawadee UI" w:hAnsi="Leelawadee UI" w:eastAsia="Leelawadee UI" w:cs="Leelawadee UI"/>
        </w:rPr>
        <w:t>และแล้วชื่อของพวกเขาจึงถูกเปลี่ยนเสียใหม่</w:t>
      </w:r>
      <w:r>
        <w:rPr>
          <w:rFonts w:ascii="Times New Roman" w:hAnsi="Times New Roman" w:eastAsia="Times New Roman" w:cs="Times New Roman"/>
        </w:rPr>
        <w:t xml:space="preserve"> </w:t>
      </w:r>
      <w:r>
        <w:rPr>
          <w:rFonts w:ascii="Leelawadee UI" w:hAnsi="Leelawadee UI" w:eastAsia="Leelawadee UI" w:cs="Leelawadee UI"/>
        </w:rPr>
        <w:t>ในฐานะผู้แทนของเหล่าสาวกในสมัยของพระคริสต์</w:t>
      </w:r>
      <w:r>
        <w:rPr>
          <w:rFonts w:ascii="Times New Roman" w:hAnsi="Times New Roman" w:eastAsia="Times New Roman" w:cs="Times New Roman"/>
        </w:rPr>
        <w:t xml:space="preserve"> </w:t>
      </w:r>
      <w:r>
        <w:rPr>
          <w:rFonts w:ascii="Leelawadee UI" w:hAnsi="Leelawadee UI" w:eastAsia="Leelawadee UI" w:cs="Leelawadee UI"/>
        </w:rPr>
        <w:t>ซีโมน</w:t>
      </w:r>
      <w:r>
        <w:rPr>
          <w:rFonts w:ascii="Times New Roman" w:hAnsi="Times New Roman" w:eastAsia="Times New Roman" w:cs="Times New Roman"/>
        </w:rPr>
        <w:t xml:space="preserve"> </w:t>
      </w:r>
      <w:r>
        <w:rPr>
          <w:rFonts w:ascii="Leelawadee UI" w:hAnsi="Leelawadee UI" w:eastAsia="Leelawadee UI" w:cs="Leelawadee UI"/>
        </w:rPr>
        <w:t>บาร์</w:t>
      </w:r>
      <w:r>
        <w:rPr>
          <w:rFonts w:ascii="Times New Roman" w:hAnsi="Times New Roman" w:eastAsia="Times New Roman" w:cs="Times New Roman"/>
        </w:rPr>
        <w:t>-</w:t>
      </w:r>
      <w:r>
        <w:rPr>
          <w:rFonts w:ascii="Leelawadee UI" w:hAnsi="Leelawadee UI" w:eastAsia="Leelawadee UI" w:cs="Leelawadee UI"/>
        </w:rPr>
        <w:t>โยนา</w:t>
      </w:r>
      <w:r>
        <w:rPr>
          <w:rFonts w:ascii="Times New Roman" w:hAnsi="Times New Roman" w:eastAsia="Times New Roman" w:cs="Times New Roman"/>
        </w:rPr>
        <w:t xml:space="preserve"> </w:t>
      </w:r>
      <w:r>
        <w:rPr>
          <w:rFonts w:ascii="Leelawadee UI" w:hAnsi="Leelawadee UI" w:eastAsia="Leelawadee UI" w:cs="Leelawadee UI"/>
        </w:rPr>
        <w:t>เป็นตัวแทนของบรรดาผู้ที่ได้</w:t>
      </w:r>
      <w:r>
        <w:rPr>
          <w:rFonts w:ascii="Times New Roman" w:hAnsi="Times New Roman" w:eastAsia="Times New Roman" w:cs="Times New Roman"/>
        </w:rPr>
        <w:t xml:space="preserve"> “</w:t>
      </w:r>
      <w:r>
        <w:rPr>
          <w:rFonts w:ascii="Leelawadee UI" w:hAnsi="Leelawadee UI" w:eastAsia="Leelawadee UI" w:cs="Leelawadee UI"/>
        </w:rPr>
        <w:t>ยิน</w:t>
      </w:r>
      <w:r>
        <w:rPr>
          <w:rFonts w:ascii="Times New Roman" w:hAnsi="Times New Roman" w:eastAsia="Times New Roman" w:cs="Times New Roman"/>
        </w:rPr>
        <w:t xml:space="preserve">” </w:t>
      </w:r>
      <w:r>
        <w:rPr>
          <w:rFonts w:ascii="Leelawadee UI" w:hAnsi="Leelawadee UI" w:eastAsia="Leelawadee UI" w:cs="Leelawadee UI"/>
        </w:rPr>
        <w:t>ข่าวสารของ</w:t>
      </w:r>
      <w:r>
        <w:rPr>
          <w:rFonts w:ascii="Times New Roman" w:hAnsi="Times New Roman" w:eastAsia="Times New Roman" w:cs="Times New Roman"/>
        </w:rPr>
        <w:t xml:space="preserve"> “</w:t>
      </w:r>
      <w:r>
        <w:rPr>
          <w:rFonts w:ascii="Leelawadee UI" w:hAnsi="Leelawadee UI" w:eastAsia="Leelawadee UI" w:cs="Leelawadee UI"/>
        </w:rPr>
        <w:t>นกพิราบ</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Lorsqu’il rendit témoignage qu’il reconnaissait qu’à ce repère Jésus devint le Christ, et qu’Il était le Fils de Dieu, avec tout ce que cela implique, le Christ changea alors son nom en Pierre. Il avait exprimé le message qu’accepta le peuple de l’alliance du Christ dans cette histoire, et, ce faisant, il préfigura aussi les cent quarante-quatre mille des derniers jours.</w:t>
      </w:r>
    </w:p>
    <w:p>
      <w:pPr>
        <w:pStyle w:val="ArticleBody"/>
        <w:jc w:val="left"/>
      </w:pPr>
      <w:r>
        <w:rPr>
          <w:rFonts w:ascii="Times New Roman" w:hAnsi="Times New Roman" w:eastAsia="Times New Roman" w:cs="Times New Roman"/>
        </w:rPr>
        <w:t>Harfi “P” ni harufi ya kumi na sita katika alfabeti ya Kiingereza, na harufi “E” ni harufi ya tano katika alfabeti, na harufi “T” ni harufi ya ishirini, harufi “E” inarudiwa, na jina linamalizika kwa harufi “R” ambayo ni harufi ya kumi na nane. Kumi na sita “mara” tano, “mara” ishirini, “mara” tano, “mara” kumi na nane ni sawasawa na mia moja arobaini na nne elfu. Yule Mwanaisimu wa Ajabu alisema na Petro kwa Kiebrania, na Agano Jipya liliandikwa kwa Kigiriki, na watafsiri wa King James Version walilitoa Agano Jipya kwa Kiingereza.</w:t>
      </w:r>
    </w:p>
    <w:p>
      <w:pPr>
        <w:pStyle w:val="ArticleBody"/>
        <w:jc w:val="left"/>
      </w:pPr>
      <w:r>
        <w:rPr>
          <w:rFonts w:ascii="Times New Roman" w:hAnsi="Times New Roman" w:eastAsia="Times New Roman" w:cs="Times New Roman"/>
        </w:rPr>
        <w:t>Malgré les trois étapes des langues divergentes, le Christ, qui est le Fils de Dieu, le Merveilleux Linguiste et le Merveilleux Compteur, a placé dans le chapitre seize de Matthieu une illustration du scellement des cent quarante-quatre mille, laquelle s’aligne sur la bataille de Panium et sur sa visite à Césarée de Philippe. Il l’a fait en usant de sa maîtrise du langage et des nombres, car il est à la fois Palmoni (le Merveilleux Compteur) et la Parole (le Merveilleux Linguiste).</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वर्षअघि</w:t>
      </w:r>
      <w:r>
        <w:rPr>
          <w:rFonts w:ascii="Times New Roman" w:hAnsi="Times New Roman" w:eastAsia="Times New Roman" w:cs="Times New Roman"/>
        </w:rPr>
        <w:t xml:space="preserve">, </w:t>
      </w:r>
      <w:r>
        <w:rPr>
          <w:rFonts w:ascii="Nirmala UI" w:hAnsi="Nirmala UI" w:eastAsia="Nirmala UI" w:cs="Nirmala UI"/>
        </w:rPr>
        <w:t>स्वर्गमा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सिंहासनबाट</w:t>
      </w:r>
      <w:r>
        <w:rPr>
          <w:rFonts w:ascii="Times New Roman" w:hAnsi="Times New Roman" w:eastAsia="Times New Roman" w:cs="Times New Roman"/>
        </w:rPr>
        <w:t xml:space="preserve">, </w:t>
      </w:r>
      <w:r>
        <w:rPr>
          <w:rFonts w:ascii="Nirmala UI" w:hAnsi="Nirmala UI" w:eastAsia="Nirmala UI" w:cs="Nirmala UI"/>
        </w:rPr>
        <w:t>रहस्यमय</w:t>
      </w:r>
      <w:r>
        <w:rPr>
          <w:rFonts w:ascii="Times New Roman" w:hAnsi="Times New Roman" w:eastAsia="Times New Roman" w:cs="Times New Roman"/>
        </w:rPr>
        <w:t xml:space="preserve"> </w:t>
      </w:r>
      <w:r>
        <w:rPr>
          <w:rFonts w:ascii="Nirmala UI" w:hAnsi="Nirmala UI" w:eastAsia="Nirmala UI" w:cs="Nirmala UI"/>
        </w:rPr>
        <w:t>महत्त्वको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तँलाई</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तिमीले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पत्रमा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Hebrews 10:5–7.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वचनहरूमा</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उद्देश्यको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अनादिकालदेखि</w:t>
      </w:r>
      <w:r>
        <w:rPr>
          <w:rFonts w:ascii="Times New Roman" w:hAnsi="Times New Roman" w:eastAsia="Times New Roman" w:cs="Times New Roman"/>
        </w:rPr>
        <w:t xml:space="preserve"> </w:t>
      </w:r>
      <w:r>
        <w:rPr>
          <w:rFonts w:ascii="Nirmala UI" w:hAnsi="Nirmala UI" w:eastAsia="Nirmala UI" w:cs="Nirmala UI"/>
        </w:rPr>
        <w:t>गोप्य</w:t>
      </w:r>
      <w:r>
        <w:rPr>
          <w:rFonts w:ascii="Times New Roman" w:hAnsi="Times New Roman" w:eastAsia="Times New Roman" w:cs="Times New Roman"/>
        </w:rPr>
        <w:t xml:space="preserve"> </w:t>
      </w:r>
      <w:r>
        <w:rPr>
          <w:rFonts w:ascii="Nirmala UI" w:hAnsi="Nirmala UI" w:eastAsia="Nirmala UI" w:cs="Nirmala UI"/>
        </w:rPr>
        <w:t>राखिएको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देहधारी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लाग्नुभएको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भन्नुहुन्छ</w:t>
      </w:r>
      <w:r>
        <w:rPr>
          <w:rFonts w:ascii="Times New Roman" w:hAnsi="Times New Roman" w:eastAsia="Times New Roman" w:cs="Times New Roman"/>
        </w:rPr>
        <w:t>,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तिमीले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हुनुभन्दा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पितासित</w:t>
      </w:r>
      <w:r>
        <w:rPr>
          <w:rFonts w:ascii="Times New Roman" w:hAnsi="Times New Roman" w:eastAsia="Times New Roman" w:cs="Times New Roman"/>
        </w:rPr>
        <w:t xml:space="preserve"> </w:t>
      </w:r>
      <w:r>
        <w:rPr>
          <w:rFonts w:ascii="Nirmala UI" w:hAnsi="Nirmala UI" w:eastAsia="Nirmala UI" w:cs="Nirmala UI"/>
        </w:rPr>
        <w:t>उहाँसँग</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महिमासहित</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हुनुभएको</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उपस्थितिको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सक्नेथिएनौँ।</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नहोऔँ</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आच्छादित</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मानवताद्वारा</w:t>
      </w:r>
      <w:r>
        <w:rPr>
          <w:rFonts w:ascii="Times New Roman" w:hAnsi="Times New Roman" w:eastAsia="Times New Roman" w:cs="Times New Roman"/>
        </w:rPr>
        <w:t xml:space="preserve"> </w:t>
      </w:r>
      <w:r>
        <w:rPr>
          <w:rFonts w:ascii="Nirmala UI" w:hAnsi="Nirmala UI" w:eastAsia="Nirmala UI" w:cs="Nirmala UI"/>
        </w:rPr>
        <w:t>आवृत</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w:t>
      </w:r>
      <w:r>
        <w:rPr>
          <w:rFonts w:ascii="Nirmala UI" w:hAnsi="Nirmala UI" w:eastAsia="Nirmala UI" w:cs="Nirmala UI"/>
        </w:rPr>
        <w:t>अदृश्य</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मानवरूपमा।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উদ্দেশ্যটি</w:t>
      </w:r>
      <w:r>
        <w:rPr>
          <w:rFonts w:ascii="Times New Roman" w:hAnsi="Times New Roman" w:eastAsia="Times New Roman" w:cs="Times New Roman"/>
        </w:rPr>
        <w:t xml:space="preserve"> </w:t>
      </w:r>
      <w:r>
        <w:rPr>
          <w:rFonts w:ascii="Nirmala UI" w:hAnsi="Nirmala UI" w:eastAsia="Nirmala UI" w:cs="Nirmala UI"/>
        </w:rPr>
        <w:t>ছায়ারূপে</w:t>
      </w:r>
      <w:r>
        <w:rPr>
          <w:rFonts w:ascii="Times New Roman" w:hAnsi="Times New Roman" w:eastAsia="Times New Roman" w:cs="Times New Roman"/>
        </w:rPr>
        <w:t xml:space="preserve"> </w:t>
      </w:r>
      <w:r>
        <w:rPr>
          <w:rFonts w:ascii="Nirmala UI" w:hAnsi="Nirmala UI" w:eastAsia="Nirmala UI" w:cs="Nirmala UI"/>
        </w:rPr>
        <w:t>প্রকার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পূর্বেই</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জ্বলন্ত</w:t>
      </w:r>
      <w:r>
        <w:rPr>
          <w:rFonts w:ascii="Times New Roman" w:hAnsi="Times New Roman" w:eastAsia="Times New Roman" w:cs="Times New Roman"/>
        </w:rPr>
        <w:t xml:space="preserve"> </w:t>
      </w:r>
      <w:r>
        <w:rPr>
          <w:rFonts w:ascii="Nirmala UI" w:hAnsi="Nirmala UI" w:eastAsia="Nirmala UI" w:cs="Nirmala UI"/>
        </w:rPr>
        <w:t>গুল্মে</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হয়েছিলেন</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ঈশ্বরকে</w:t>
      </w:r>
      <w:r>
        <w:rPr>
          <w:rFonts w:ascii="Times New Roman" w:hAnsi="Times New Roman" w:eastAsia="Times New Roman" w:cs="Times New Roman"/>
        </w:rPr>
        <w:t xml:space="preserve"> </w:t>
      </w:r>
      <w:r>
        <w:rPr>
          <w:rFonts w:ascii="Nirmala UI" w:hAnsi="Nirmala UI" w:eastAsia="Nirmala UI" w:cs="Nirmala UI"/>
        </w:rPr>
        <w:t>উদ্ঘাটন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দেবত্বের</w:t>
      </w:r>
      <w:r>
        <w:rPr>
          <w:rFonts w:ascii="Times New Roman" w:hAnsi="Times New Roman" w:eastAsia="Times New Roman" w:cs="Times New Roman"/>
        </w:rPr>
        <w:t xml:space="preserve"> </w:t>
      </w:r>
      <w:r>
        <w:rPr>
          <w:rFonts w:ascii="Nirmala UI" w:hAnsi="Nirmala UI" w:eastAsia="Nirmala UI" w:cs="Nirmala UI"/>
        </w:rPr>
        <w:t>প্রতিনিধিত্বের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প্রতীকটি</w:t>
      </w:r>
      <w:r>
        <w:rPr>
          <w:rFonts w:ascii="Times New Roman" w:hAnsi="Times New Roman" w:eastAsia="Times New Roman" w:cs="Times New Roman"/>
        </w:rPr>
        <w:t xml:space="preserve"> </w:t>
      </w:r>
      <w:r>
        <w:rPr>
          <w:rFonts w:ascii="Nirmala UI" w:hAnsi="Nirmala UI" w:eastAsia="Nirmala UI" w:cs="Nirmala UI"/>
        </w:rPr>
        <w:t>নির্বাচিত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ঝোপ</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আপাতদৃষ্টিতে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আকর্ষণ</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মধ্যেই</w:t>
      </w:r>
      <w:r>
        <w:rPr>
          <w:rFonts w:ascii="Times New Roman" w:hAnsi="Times New Roman" w:eastAsia="Times New Roman" w:cs="Times New Roman"/>
        </w:rPr>
        <w:t xml:space="preserve"> </w:t>
      </w:r>
      <w:r>
        <w:rPr>
          <w:rFonts w:ascii="Nirmala UI" w:hAnsi="Nirmala UI" w:eastAsia="Nirmala UI" w:cs="Nirmala UI"/>
        </w:rPr>
        <w:t>অনন্তকে</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সর্বকরুণাময়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মহিমাকে</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অতিশয়</w:t>
      </w:r>
      <w:r>
        <w:rPr>
          <w:rFonts w:ascii="Times New Roman" w:hAnsi="Times New Roman" w:eastAsia="Times New Roman" w:cs="Times New Roman"/>
        </w:rPr>
        <w:t xml:space="preserve"> </w:t>
      </w:r>
      <w:r>
        <w:rPr>
          <w:rFonts w:ascii="Nirmala UI" w:hAnsi="Nirmala UI" w:eastAsia="Nirmala UI" w:cs="Nirmala UI"/>
        </w:rPr>
        <w:t>বিনম্র</w:t>
      </w:r>
      <w:r>
        <w:rPr>
          <w:rFonts w:ascii="Times New Roman" w:hAnsi="Times New Roman" w:eastAsia="Times New Roman" w:cs="Times New Roman"/>
        </w:rPr>
        <w:t xml:space="preserve"> </w:t>
      </w:r>
      <w:r>
        <w:rPr>
          <w:rFonts w:ascii="Nirmala UI" w:hAnsi="Nirmala UI" w:eastAsia="Nirmala UI" w:cs="Nirmala UI"/>
        </w:rPr>
        <w:t>প্রতীকের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আচ্ছাদিত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চেয়ে</w:t>
      </w:r>
      <w:r>
        <w:rPr>
          <w:rFonts w:ascii="Times New Roman" w:hAnsi="Times New Roman" w:eastAsia="Times New Roman" w:cs="Times New Roman"/>
        </w:rPr>
        <w:t xml:space="preserve"> </w:t>
      </w:r>
      <w:r>
        <w:rPr>
          <w:rFonts w:ascii="Nirmala UI" w:hAnsi="Nirmala UI" w:eastAsia="Nirmala UI" w:cs="Nirmala UI"/>
        </w:rPr>
        <w:t>থেকেও</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মেঘস্তম্ভে</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রাত্রে</w:t>
      </w:r>
      <w:r>
        <w:rPr>
          <w:rFonts w:ascii="Times New Roman" w:hAnsi="Times New Roman" w:eastAsia="Times New Roman" w:cs="Times New Roman"/>
        </w:rPr>
        <w:t xml:space="preserve"> </w:t>
      </w:r>
      <w:r>
        <w:rPr>
          <w:rFonts w:ascii="Nirmala UI" w:hAnsi="Nirmala UI" w:eastAsia="Nirmala UI" w:cs="Nirmala UI"/>
        </w:rPr>
        <w:t>অগ্নিস্তম্ভে</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যোগাযোগ</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মানুষদের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ইচ্ছা</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গৌরব</w:t>
      </w:r>
      <w:r>
        <w:rPr>
          <w:rFonts w:ascii="Times New Roman" w:hAnsi="Times New Roman" w:eastAsia="Times New Roman" w:cs="Times New Roman"/>
        </w:rPr>
        <w:t xml:space="preserve"> </w:t>
      </w:r>
      <w:r>
        <w:rPr>
          <w:rFonts w:ascii="Nirmala UI" w:hAnsi="Nirmala UI" w:eastAsia="Nirmala UI" w:cs="Nirmala UI"/>
        </w:rPr>
        <w:t>সংযত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মহিমা</w:t>
      </w:r>
      <w:r>
        <w:rPr>
          <w:rFonts w:ascii="Times New Roman" w:hAnsi="Times New Roman" w:eastAsia="Times New Roman" w:cs="Times New Roman"/>
        </w:rPr>
        <w:t xml:space="preserve"> </w:t>
      </w:r>
      <w:r>
        <w:rPr>
          <w:rFonts w:ascii="Nirmala UI" w:hAnsi="Nirmala UI" w:eastAsia="Nirmala UI" w:cs="Nirmala UI"/>
        </w:rPr>
        <w:t>আবৃত</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সসীম</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দুর্বল</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অবলোকন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তদ্রূপ</w:t>
      </w:r>
      <w:r>
        <w:rPr>
          <w:rFonts w:ascii="Times New Roman" w:hAnsi="Times New Roman" w:eastAsia="Times New Roman" w:cs="Times New Roman"/>
        </w:rPr>
        <w:t xml:space="preserve"> </w:t>
      </w:r>
      <w:r>
        <w:rPr>
          <w:rFonts w:ascii="Nirmala UI" w:hAnsi="Nirmala UI" w:eastAsia="Nirmala UI" w:cs="Nirmala UI"/>
        </w:rPr>
        <w:t>খ্রীষ্টকে</w:t>
      </w:r>
      <w:r>
        <w:rPr>
          <w:rFonts w:ascii="Times New Roman" w:hAnsi="Times New Roman" w:eastAsia="Times New Roman" w:cs="Times New Roman"/>
        </w:rPr>
        <w:t xml:space="preserve"> </w:t>
      </w:r>
      <w:r>
        <w:rPr>
          <w:rFonts w:ascii="Nirmala UI" w:hAnsi="Nirmala UI" w:eastAsia="Nirmala UI" w:cs="Nirmala UI"/>
        </w:rPr>
        <w:t>আসতে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হীনতার</w:t>
      </w:r>
      <w:r>
        <w:rPr>
          <w:rFonts w:ascii="Times New Roman" w:hAnsi="Times New Roman" w:eastAsia="Times New Roman" w:cs="Times New Roman"/>
        </w:rPr>
        <w:t xml:space="preserve"> </w:t>
      </w:r>
      <w:r>
        <w:rPr>
          <w:rFonts w:ascii="Nirmala UI" w:hAnsi="Nirmala UI" w:eastAsia="Nirmala UI" w:cs="Nirmala UI"/>
        </w:rPr>
        <w:t>দেহে</w:t>
      </w:r>
      <w:r>
        <w:rPr>
          <w:rFonts w:ascii="Times New Roman" w:hAnsi="Times New Roman" w:eastAsia="Times New Roman" w:cs="Times New Roman"/>
        </w:rPr>
        <w:t>’ (Philippians 3:21, R. V.),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সদৃশে।</w:t>
      </w:r>
      <w:r>
        <w:rPr>
          <w:rFonts w:ascii="Times New Roman" w:hAnsi="Times New Roman" w:eastAsia="Times New Roman" w:cs="Times New Roman"/>
        </w:rPr>
        <w:t xml:space="preserve">’ </w:t>
      </w:r>
      <w:r>
        <w:rPr>
          <w:rFonts w:ascii="Nirmala UI" w:hAnsi="Nirmala UI" w:eastAsia="Nirmala UI" w:cs="Nirmala UI"/>
        </w:rPr>
        <w:t>জগতের</w:t>
      </w:r>
      <w:r>
        <w:rPr>
          <w:rFonts w:ascii="Times New Roman" w:hAnsi="Times New Roman" w:eastAsia="Times New Roman" w:cs="Times New Roman"/>
        </w:rPr>
        <w:t xml:space="preserve"> </w:t>
      </w:r>
      <w:r>
        <w:rPr>
          <w:rFonts w:ascii="Nirmala UI" w:hAnsi="Nirmala UI" w:eastAsia="Nirmala UI" w:cs="Nirmala UI"/>
        </w:rPr>
        <w:t>দৃষ্টিতে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সৌন্দর্য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আকাঙ্ক্ষা</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অবতারপ্রাপ্ত</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জ্যোতি।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গৌরব</w:t>
      </w:r>
      <w:r>
        <w:rPr>
          <w:rFonts w:ascii="Times New Roman" w:hAnsi="Times New Roman" w:eastAsia="Times New Roman" w:cs="Times New Roman"/>
        </w:rPr>
        <w:t xml:space="preserve"> </w:t>
      </w:r>
      <w:r>
        <w:rPr>
          <w:rFonts w:ascii="Nirmala UI" w:hAnsi="Nirmala UI" w:eastAsia="Nirmala UI" w:cs="Nirmala UI"/>
        </w:rPr>
        <w:t>আবৃত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মহত্ত্ব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মহিমা</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পরীক্ষাগ্রস্ত</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আসতে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“Бог заповяда на Моисей за Израил: „И нека Ми направят светилище, за да обитавам между тях“ (Изход 25:8), и Той обитаваше в светилището, сред Своя народ. През цялото им изнурително скитане в пустинята символът на Неговото присъствие беше с тях. Така и Христос постави Своята скиния сред нашия човешки стан. Той разпъна шатъра Си до шатрите на човеците, за да може да обитава между нас и да ни направи запознати със Своя Божествен характер и живот. „Словото стана плът и пребиваваше между нас (и видяхме славата Му, слава като на Единородния от Отца), пълно с благодат и истина.“ Йоан 1:14, R. V., margin.</w:t>
      </w:r>
    </w:p>
    <w:p>
      <w:pPr>
        <w:pStyle w:val="ArticleScripture"/>
        <w:jc w:val="left"/>
      </w:pPr>
      <w:r>
        <w:rPr>
          <w:rFonts w:ascii="Times New Roman" w:hAnsi="Times New Roman" w:eastAsia="Times New Roman" w:cs="Times New Roman"/>
        </w:rPr>
        <w:t>“Dès lors que Jésus est venu demeurer parmi nous, nous savons que Dieu connaît nos épreuves et compatit à nos afflictions. Chaque fils et chaque fille d’Adam peuvent comprendre que notre Créateur est l’ami des pécheurs. Car dans chaque doctrine de la grâce, chaque promesse de joie, chaque acte d’amour, chaque attrait divin manifesté dans la vie du Sauveur sur la terre, nous voyons ‘Dieu avec nous.’”</w:t>
      </w:r>
    </w:p>
    <w:p>
      <w:pPr>
        <w:pStyle w:val="ArticleScripture"/>
        <w:jc w:val="left"/>
      </w:pPr>
      <w:r>
        <w:rPr>
          <w:rFonts w:ascii="Times New Roman" w:hAnsi="Times New Roman" w:eastAsia="Times New Roman" w:cs="Times New Roman"/>
        </w:rPr>
        <w:t>“</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असंभव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आदि</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सृष्टिकर्ता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हममें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आज्ञाकारिता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आदर्श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गुज़रे।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इब्रानियों</w:t>
      </w:r>
      <w:r>
        <w:rPr>
          <w:rFonts w:ascii="Times New Roman" w:hAnsi="Times New Roman" w:eastAsia="Times New Roman" w:cs="Times New Roman"/>
        </w:rPr>
        <w:t xml:space="preserve"> 2:17</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अपर्याप्त</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इब्रानियों</w:t>
      </w:r>
      <w:r>
        <w:rPr>
          <w:rFonts w:ascii="Times New Roman" w:hAnsi="Times New Roman" w:eastAsia="Times New Roman" w:cs="Times New Roman"/>
        </w:rPr>
        <w:t xml:space="preserve"> 4:15</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स्वतंत्र</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पाई।</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प्रसन्न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अंतःकरण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40:8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भलाई</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इधर</w:t>
      </w:r>
      <w:r>
        <w:rPr>
          <w:rFonts w:ascii="Times New Roman" w:hAnsi="Times New Roman" w:eastAsia="Times New Roman" w:cs="Times New Roman"/>
        </w:rPr>
        <w:t>-</w:t>
      </w:r>
      <w:r>
        <w:rPr>
          <w:rFonts w:ascii="Nirmala UI" w:hAnsi="Nirmala UI" w:eastAsia="Nirmala UI" w:cs="Nirmala UI"/>
        </w:rPr>
        <w:t>उधर</w:t>
      </w:r>
      <w:r>
        <w:rPr>
          <w:rFonts w:ascii="Times New Roman" w:hAnsi="Times New Roman" w:eastAsia="Times New Roman" w:cs="Times New Roman"/>
        </w:rPr>
        <w:t xml:space="preserve"> </w:t>
      </w:r>
      <w:r>
        <w:rPr>
          <w:rFonts w:ascii="Nirmala UI" w:hAnsi="Nirmala UI" w:eastAsia="Nirmala UI" w:cs="Nirmala UI"/>
        </w:rPr>
        <w:t>फिरते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संभव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“Kwake ubuntu, uKristu wathinta ubuntu; ngobunkulunkulu bakhe, ubamba isihlalo sobukhosi sikaNkulunkulu. NjengeNdodana yomuntu, wasinika isibonelo sokulalela; njengeNdodana kaNkulunkulu, usinika amandla okulalela. KwakunguKristu owakhuluma noMose esesihlahleni eNtabeni iHorebe, ethi, ‘NGINGUYE ENGINGUYE…. Uyakusho kanje kubantwana bakwa-Israyeli, uthi, NGINGUYE ungithumile kini.’ Eksodusi 3:14. Lokhu kwakuyisiqinisekiso sokukhululwa kuka-Israyeli. Ngakho-ke, lapho efika ‘esimweni sabantu,’ waziveza enguNGINGUYE. UMntwana waseBethlehema, uMsindisi omnene noothobekileyo, unguNkulunkulu ‘obonakalisiwe enyameni.’ 1 Thimothewu 3:16. Futhi kithi uthi: ‘NGINGUMalusi omuhle.’ ‘NGINGISINKWA esiphilayo.’ ‘NGINGUYE iNdlela, neQiniso, nokuPhila.’ ‘Nginikwe onke amandla ezulwini nasemhlabeni.’ Johane 10:11; 6:51; 14:6; Mathewu 28:18. NGINGUYE isiqinisekiso sazo zonke izithembiso. NGINGUYE; ningesabi. ‘UNkulunkulu unathi’ uyisiqiniseko sokukhululwa kwethu esonweni, nesiqinisekiso samandla ethu okulalela umthetho wezulu.” The Desire of Ages,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quatre-vingt-deux</dc:title>
  <dc:subject>ئەنجامدانی هاوپەیمانییە پێشبینییەکان و شەڕەکان: لە سێلێوکەسی کۆنەوە تا جۆپۆلیتیکی مۆدێرن</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