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quatre-vingt-trois</w:t>
      </w:r>
    </w:p>
    <w:p>
      <w:pPr>
        <w:pStyle w:val="ArticleSubtitle"/>
        <w:jc w:val="left"/>
      </w:pPr>
      <w:r>
        <w:rPr>
          <w:rFonts w:ascii="Arial" w:hAnsi="Arial" w:eastAsia="Arial" w:cs="Arial"/>
        </w:rPr>
        <w:t>Die ewige Grundlage: Christus in der prophetischen Geschichte und im Glauben des Gläubigen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විශ්වාසියාගේ</w:t>
      </w:r>
      <w:r>
        <w:rPr>
          <w:rFonts w:ascii="Times New Roman" w:hAnsi="Times New Roman" w:eastAsia="Times New Roman" w:cs="Times New Roman"/>
        </w:rPr>
        <w:t xml:space="preserve"> </w:t>
      </w:r>
      <w:r>
        <w:rPr>
          <w:rFonts w:ascii="Nirmala UI" w:hAnsi="Nirmala UI" w:eastAsia="Nirmala UI" w:cs="Nirmala UI"/>
        </w:rPr>
        <w:t>ඇදහිල්ලේ</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රිස්තුස්වහන්සේම</w:t>
      </w:r>
      <w:r>
        <w:rPr>
          <w:rFonts w:ascii="Times New Roman" w:hAnsi="Times New Roman" w:eastAsia="Times New Roman" w:cs="Times New Roman"/>
        </w:rPr>
        <w:t xml:space="preserve"> </w:t>
      </w:r>
      <w:r>
        <w:rPr>
          <w:rFonts w:ascii="Nirmala UI" w:hAnsi="Nirmala UI" w:eastAsia="Nirmala UI" w:cs="Nirmala UI"/>
        </w:rPr>
        <w:t>සදාකාල</w:t>
      </w:r>
      <w:r>
        <w:rPr>
          <w:rFonts w:ascii="Times New Roman" w:hAnsi="Times New Roman" w:eastAsia="Times New Roman" w:cs="Times New Roman"/>
        </w:rPr>
        <w:t xml:space="preserve"> </w:t>
      </w:r>
      <w:r>
        <w:rPr>
          <w:rFonts w:ascii="Nirmala UI" w:hAnsi="Nirmala UI" w:eastAsia="Nirmala UI" w:cs="Nirmala UI"/>
        </w:rPr>
        <w:t>ජීවනය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දෙයයි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අංශ</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දුන්නේය</w:t>
      </w:r>
      <w:r>
        <w:rPr>
          <w:rFonts w:ascii="Times New Roman" w:hAnsi="Times New Roman" w:eastAsia="Times New Roman" w:cs="Times New Roman"/>
        </w:rPr>
        <w:t xml:space="preserve">. </w:t>
      </w:r>
      <w:r>
        <w:rPr>
          <w:rFonts w:ascii="Nirmala UI" w:hAnsi="Nirmala UI" w:eastAsia="Nirmala UI" w:cs="Nirmala UI"/>
        </w:rPr>
        <w:t>පළමුවැන්න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අනාගතවාණි</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අංගයක්</w:t>
      </w:r>
      <w:r>
        <w:rPr>
          <w:rFonts w:ascii="Times New Roman" w:hAnsi="Times New Roman" w:eastAsia="Times New Roman" w:cs="Times New Roman"/>
        </w:rPr>
        <w:t xml:space="preserve"> </w:t>
      </w:r>
      <w:r>
        <w:rPr>
          <w:rFonts w:ascii="Nirmala UI" w:hAnsi="Nirmala UI" w:eastAsia="Nirmala UI" w:cs="Nirmala UI"/>
        </w:rPr>
        <w:t>වීමය</w:t>
      </w:r>
      <w:r>
        <w:rPr>
          <w:rFonts w:ascii="Times New Roman" w:hAnsi="Times New Roman" w:eastAsia="Times New Roman" w:cs="Times New Roman"/>
        </w:rPr>
        <w:t xml:space="preserve">. </w:t>
      </w:r>
      <w:r>
        <w:rPr>
          <w:rFonts w:ascii="Nirmala UI" w:hAnsi="Nirmala UI" w:eastAsia="Nirmala UI" w:cs="Nirmala UI"/>
        </w:rPr>
        <w:t>අනාගතවාණි</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සිද්ධීන්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සිද්ධීන්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සම්බන්ධතාවය</w:t>
      </w:r>
      <w:r>
        <w:rPr>
          <w:rFonts w:ascii="Times New Roman" w:hAnsi="Times New Roman" w:eastAsia="Times New Roman" w:cs="Times New Roman"/>
        </w:rPr>
        <w:t xml:space="preserve"> </w:t>
      </w:r>
      <w:r>
        <w:rPr>
          <w:rFonts w:ascii="Nirmala UI" w:hAnsi="Nirmala UI" w:eastAsia="Nirmala UI" w:cs="Nirmala UI"/>
        </w:rPr>
        <w:t>අනාගතවාණි</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වල</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w:t>
      </w:r>
      <w:r>
        <w:rPr>
          <w:rFonts w:ascii="Nirmala UI" w:hAnsi="Nirmala UI" w:eastAsia="Nirmala UI" w:cs="Nirmala UI"/>
        </w:rPr>
        <w:t>රත්වය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ආරක්ෂා</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වාර</w:t>
      </w:r>
      <w:r>
        <w:rPr>
          <w:rFonts w:ascii="Times New Roman" w:hAnsi="Times New Roman" w:eastAsia="Times New Roman" w:cs="Times New Roman"/>
        </w:rPr>
        <w:t xml:space="preserve"> </w:t>
      </w:r>
      <w:r>
        <w:rPr>
          <w:rFonts w:ascii="Nirmala UI" w:hAnsi="Nirmala UI" w:eastAsia="Nirmala UI" w:cs="Nirmala UI"/>
        </w:rPr>
        <w:t>ගණනක්</w:t>
      </w:r>
      <w:r>
        <w:rPr>
          <w:rFonts w:ascii="Times New Roman" w:hAnsi="Times New Roman" w:eastAsia="Times New Roman" w:cs="Times New Roman"/>
        </w:rPr>
        <w:t xml:space="preserve"> </w:t>
      </w:r>
      <w:r>
        <w:rPr>
          <w:rFonts w:ascii="Nirmala UI" w:hAnsi="Nirmala UI" w:eastAsia="Nirmala UI" w:cs="Nirmala UI"/>
        </w:rPr>
        <w:t>පැවසූයේ</w:t>
      </w:r>
      <w:r>
        <w:rPr>
          <w:rFonts w:ascii="Times New Roman" w:hAnsi="Times New Roman" w:eastAsia="Times New Roman" w:cs="Times New Roman"/>
        </w:rPr>
        <w:t xml:space="preserve"> </w:t>
      </w:r>
      <w:r>
        <w:rPr>
          <w:rFonts w:ascii="Nirmala UI" w:hAnsi="Nirmala UI" w:eastAsia="Nirmala UI" w:cs="Nirmala UI"/>
        </w:rPr>
        <w:t>ඇයිද</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සපයයි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පරීක්ෂාකාරී</w:t>
      </w:r>
      <w:r>
        <w:rPr>
          <w:rFonts w:ascii="Times New Roman" w:hAnsi="Times New Roman" w:eastAsia="Times New Roman" w:cs="Times New Roman"/>
        </w:rPr>
        <w:t xml:space="preserve"> </w:t>
      </w:r>
      <w:r>
        <w:rPr>
          <w:rFonts w:ascii="Nirmala UI" w:hAnsi="Nirmala UI" w:eastAsia="Nirmala UI" w:cs="Nirmala UI"/>
        </w:rPr>
        <w:t>තේමාව</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බෞතිස්මයය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දේවීය</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පහළවීමෙන්</w:t>
      </w:r>
      <w:r>
        <w:rPr>
          <w:rFonts w:ascii="Times New Roman" w:hAnsi="Times New Roman" w:eastAsia="Times New Roman" w:cs="Times New Roman"/>
        </w:rPr>
        <w:t xml:space="preserve"> </w:t>
      </w:r>
      <w:r>
        <w:rPr>
          <w:rFonts w:ascii="Nirmala UI" w:hAnsi="Nirmala UI" w:eastAsia="Nirmala UI" w:cs="Nirmala UI"/>
        </w:rPr>
        <w:t>විශේෂිත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රතිසංස්කරණ</w:t>
      </w:r>
      <w:r>
        <w:rPr>
          <w:rFonts w:ascii="Times New Roman" w:hAnsi="Times New Roman" w:eastAsia="Times New Roman" w:cs="Times New Roman"/>
        </w:rPr>
        <w:t xml:space="preserve"> </w:t>
      </w:r>
      <w:r>
        <w:rPr>
          <w:rFonts w:ascii="Nirmala UI" w:hAnsi="Nirmala UI" w:eastAsia="Nirmala UI" w:cs="Nirmala UI"/>
        </w:rPr>
        <w:t>රේඛාවන්හි</w:t>
      </w:r>
      <w:r>
        <w:rPr>
          <w:rFonts w:ascii="Times New Roman" w:hAnsi="Times New Roman" w:eastAsia="Times New Roman" w:cs="Times New Roman"/>
        </w:rPr>
        <w:t xml:space="preserve"> </w:t>
      </w:r>
      <w:r>
        <w:rPr>
          <w:rFonts w:ascii="Nirmala UI" w:hAnsi="Nirmala UI" w:eastAsia="Nirmala UI" w:cs="Nirmala UI"/>
        </w:rPr>
        <w:t>අනෙකුත්</w:t>
      </w:r>
      <w:r>
        <w:rPr>
          <w:rFonts w:ascii="Times New Roman" w:hAnsi="Times New Roman" w:eastAsia="Times New Roman" w:cs="Times New Roman"/>
        </w:rPr>
        <w:t xml:space="preserve"> </w:t>
      </w:r>
      <w:r>
        <w:rPr>
          <w:rFonts w:ascii="Nirmala UI" w:hAnsi="Nirmala UI" w:eastAsia="Nirmala UI" w:cs="Nirmala UI"/>
        </w:rPr>
        <w:t>සිද්ධීන්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සමාලෝචනය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在摩西的改正线中</w:t>
      </w:r>
      <w:r>
        <w:rPr>
          <w:rFonts w:ascii="Times New Roman" w:hAnsi="Times New Roman" w:eastAsia="Times New Roman" w:cs="Times New Roman"/>
        </w:rPr>
        <w:t>,</w:t>
      </w:r>
      <w:r>
        <w:rPr>
          <w:rFonts w:ascii="Microsoft YaHei" w:hAnsi="Microsoft YaHei" w:eastAsia="Microsoft YaHei" w:cs="Microsoft YaHei"/>
        </w:rPr>
        <w:t>神性降临并住于燃烧的荆棘中</w:t>
      </w:r>
      <w:r>
        <w:rPr>
          <w:rFonts w:ascii="Times New Roman" w:hAnsi="Times New Roman" w:eastAsia="Times New Roman" w:cs="Times New Roman"/>
        </w:rPr>
        <w:t>,</w:t>
      </w:r>
      <w:r>
        <w:rPr>
          <w:rFonts w:ascii="Microsoft YaHei" w:hAnsi="Microsoft YaHei" w:eastAsia="Microsoft YaHei" w:cs="Microsoft YaHei"/>
        </w:rPr>
        <w:t>这是创造主与受造之物结合的象征</w:t>
      </w:r>
      <w:r>
        <w:rPr>
          <w:rFonts w:ascii="Times New Roman" w:hAnsi="Times New Roman" w:eastAsia="Times New Roman" w:cs="Times New Roman"/>
        </w:rPr>
        <w:t>.</w:t>
      </w:r>
      <w:r>
        <w:rPr>
          <w:rFonts w:ascii="Microsoft YaHei" w:hAnsi="Microsoft YaHei" w:eastAsia="Microsoft YaHei" w:cs="Microsoft YaHei"/>
        </w:rPr>
        <w:t>在七十年末了的改正线中</w:t>
      </w:r>
      <w:r>
        <w:rPr>
          <w:rFonts w:ascii="Times New Roman" w:hAnsi="Times New Roman" w:eastAsia="Times New Roman" w:cs="Times New Roman"/>
        </w:rPr>
        <w:t>,</w:t>
      </w:r>
      <w:r>
        <w:rPr>
          <w:rFonts w:ascii="Microsoft YaHei" w:hAnsi="Microsoft YaHei" w:eastAsia="Microsoft YaHei" w:cs="Microsoft YaHei"/>
        </w:rPr>
        <w:t>米迦勒降临</w:t>
      </w:r>
      <w:r>
        <w:rPr>
          <w:rFonts w:ascii="Times New Roman" w:hAnsi="Times New Roman" w:eastAsia="Times New Roman" w:cs="Times New Roman"/>
        </w:rPr>
        <w:t>,</w:t>
      </w:r>
      <w:r>
        <w:rPr>
          <w:rFonts w:ascii="Microsoft YaHei" w:hAnsi="Microsoft YaHei" w:eastAsia="Microsoft YaHei" w:cs="Microsoft YaHei"/>
        </w:rPr>
        <w:t>赋能古列推进第一道谕令</w:t>
      </w:r>
      <w:r>
        <w:rPr>
          <w:rFonts w:ascii="Times New Roman" w:hAnsi="Times New Roman" w:eastAsia="Times New Roman" w:cs="Times New Roman"/>
        </w:rPr>
        <w:t>;</w:t>
      </w:r>
      <w:r>
        <w:rPr>
          <w:rFonts w:ascii="Microsoft YaHei" w:hAnsi="Microsoft YaHei" w:eastAsia="Microsoft YaHei" w:cs="Microsoft YaHei"/>
        </w:rPr>
        <w:t>与此同时</w:t>
      </w:r>
      <w:r>
        <w:rPr>
          <w:rFonts w:ascii="Times New Roman" w:hAnsi="Times New Roman" w:eastAsia="Times New Roman" w:cs="Times New Roman"/>
        </w:rPr>
        <w:t>,</w:t>
      </w:r>
      <w:r>
        <w:rPr>
          <w:rFonts w:ascii="Microsoft YaHei" w:hAnsi="Microsoft YaHei" w:eastAsia="Microsoft YaHei" w:cs="Microsoft YaHei"/>
        </w:rPr>
        <w:t>但以理也被改变成为基督的形像</w:t>
      </w:r>
      <w:r>
        <w:rPr>
          <w:rFonts w:ascii="Times New Roman" w:hAnsi="Times New Roman" w:eastAsia="Times New Roman" w:cs="Times New Roman"/>
        </w:rPr>
        <w:t>.</w:t>
      </w:r>
      <w:r>
        <w:rPr>
          <w:rFonts w:ascii="Microsoft YaHei" w:hAnsi="Microsoft YaHei" w:eastAsia="Microsoft YaHei" w:cs="Microsoft YaHei"/>
        </w:rPr>
        <w:t>在基督的改正线中</w:t>
      </w:r>
      <w:r>
        <w:rPr>
          <w:rFonts w:ascii="Times New Roman" w:hAnsi="Times New Roman" w:eastAsia="Times New Roman" w:cs="Times New Roman"/>
        </w:rPr>
        <w:t>,</w:t>
      </w:r>
      <w:r>
        <w:rPr>
          <w:rFonts w:ascii="Microsoft YaHei" w:hAnsi="Microsoft YaHei" w:eastAsia="Microsoft YaHei" w:cs="Microsoft YaHei"/>
        </w:rPr>
        <w:t>圣灵以鸽子的形状降下</w:t>
      </w:r>
      <w:r>
        <w:rPr>
          <w:rFonts w:ascii="Times New Roman" w:hAnsi="Times New Roman" w:eastAsia="Times New Roman" w:cs="Times New Roman"/>
        </w:rPr>
        <w:t>,</w:t>
      </w:r>
      <w:r>
        <w:rPr>
          <w:rFonts w:ascii="Microsoft YaHei" w:hAnsi="Microsoft YaHei" w:eastAsia="Microsoft YaHei" w:cs="Microsoft YaHei"/>
        </w:rPr>
        <w:t>膏立上帝的儿子</w:t>
      </w:r>
      <w:r>
        <w:rPr>
          <w:rFonts w:ascii="Times New Roman" w:hAnsi="Times New Roman" w:eastAsia="Times New Roman" w:cs="Times New Roman"/>
        </w:rPr>
        <w:t>,</w:t>
      </w:r>
      <w:r>
        <w:rPr>
          <w:rFonts w:ascii="Microsoft YaHei" w:hAnsi="Microsoft YaHei" w:eastAsia="Microsoft YaHei" w:cs="Microsoft YaHei"/>
        </w:rPr>
        <w:t>这是神性与人性结合的象征</w:t>
      </w:r>
      <w:r>
        <w:rPr>
          <w:rFonts w:ascii="Times New Roman" w:hAnsi="Times New Roman" w:eastAsia="Times New Roman" w:cs="Times New Roman"/>
        </w:rPr>
        <w:t>.</w:t>
      </w:r>
      <w:r>
        <w:rPr>
          <w:rFonts w:ascii="Microsoft YaHei" w:hAnsi="Microsoft YaHei" w:eastAsia="Microsoft YaHei" w:cs="Microsoft YaHei"/>
        </w:rPr>
        <w:t>在米勒派的历史中</w:t>
      </w:r>
      <w:r>
        <w:rPr>
          <w:rFonts w:ascii="Times New Roman" w:hAnsi="Times New Roman" w:eastAsia="Times New Roman" w:cs="Times New Roman"/>
        </w:rPr>
        <w:t>,</w:t>
      </w:r>
      <w:r>
        <w:rPr>
          <w:rFonts w:ascii="Microsoft YaHei" w:hAnsi="Microsoft YaHei" w:eastAsia="Microsoft YaHei" w:cs="Microsoft YaHei"/>
        </w:rPr>
        <w:t>那位于</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日降下的天使</w:t>
      </w:r>
      <w:r>
        <w:rPr>
          <w:rFonts w:ascii="Times New Roman" w:hAnsi="Times New Roman" w:eastAsia="Times New Roman" w:cs="Times New Roman"/>
        </w:rPr>
        <w:t>“</w:t>
      </w:r>
      <w:r>
        <w:rPr>
          <w:rFonts w:ascii="Microsoft YaHei" w:hAnsi="Microsoft YaHei" w:eastAsia="Microsoft YaHei" w:cs="Microsoft YaHei"/>
        </w:rPr>
        <w:t>无异于耶稣基督本人</w:t>
      </w:r>
      <w:r>
        <w:rPr>
          <w:rFonts w:ascii="Times New Roman" w:hAnsi="Times New Roman" w:eastAsia="Times New Roman" w:cs="Times New Roman"/>
        </w:rPr>
        <w:t>”,</w:t>
      </w:r>
      <w:r>
        <w:rPr>
          <w:rFonts w:ascii="Microsoft YaHei" w:hAnsi="Microsoft YaHei" w:eastAsia="Microsoft YaHei" w:cs="Microsoft YaHei"/>
        </w:rPr>
        <w:t>祂带着一卷要被吃下的小书降临</w:t>
      </w:r>
      <w:r>
        <w:rPr>
          <w:rFonts w:ascii="Times New Roman" w:hAnsi="Times New Roman" w:eastAsia="Times New Roman" w:cs="Times New Roman"/>
        </w:rPr>
        <w:t>,</w:t>
      </w:r>
      <w:r>
        <w:rPr>
          <w:rFonts w:ascii="Microsoft YaHei" w:hAnsi="Microsoft YaHei" w:eastAsia="Microsoft YaHei" w:cs="Microsoft YaHei"/>
        </w:rPr>
        <w:t>而祂自己就是那小书</w:t>
      </w:r>
      <w:r>
        <w:rPr>
          <w:rFonts w:ascii="Times New Roman" w:hAnsi="Times New Roman" w:eastAsia="Times New Roman" w:cs="Times New Roman"/>
        </w:rPr>
        <w:t>.</w:t>
      </w:r>
      <w:r>
        <w:rPr>
          <w:rFonts w:ascii="Microsoft YaHei" w:hAnsi="Microsoft YaHei" w:eastAsia="Microsoft YaHei" w:cs="Microsoft YaHei"/>
        </w:rPr>
        <w:t>在那里</w:t>
      </w:r>
      <w:r>
        <w:rPr>
          <w:rFonts w:ascii="Times New Roman" w:hAnsi="Times New Roman" w:eastAsia="Times New Roman" w:cs="Times New Roman"/>
        </w:rPr>
        <w:t>,</w:t>
      </w:r>
      <w:r>
        <w:rPr>
          <w:rFonts w:ascii="Microsoft YaHei" w:hAnsi="Microsoft YaHei" w:eastAsia="Microsoft YaHei" w:cs="Microsoft YaHei"/>
        </w:rPr>
        <w:t>祂表明</w:t>
      </w:r>
      <w:r>
        <w:rPr>
          <w:rFonts w:ascii="Times New Roman" w:hAnsi="Times New Roman" w:eastAsia="Times New Roman" w:cs="Times New Roman"/>
        </w:rPr>
        <w:t>,</w:t>
      </w:r>
      <w:r>
        <w:rPr>
          <w:rFonts w:ascii="Microsoft YaHei" w:hAnsi="Microsoft YaHei" w:eastAsia="Microsoft YaHei" w:cs="Microsoft YaHei"/>
        </w:rPr>
        <w:t>神性与人性的结合</w:t>
      </w:r>
      <w:r>
        <w:rPr>
          <w:rFonts w:ascii="Times New Roman" w:hAnsi="Times New Roman" w:eastAsia="Times New Roman" w:cs="Times New Roman"/>
        </w:rPr>
        <w:t>,</w:t>
      </w:r>
      <w:r>
        <w:rPr>
          <w:rFonts w:ascii="Microsoft YaHei" w:hAnsi="Microsoft YaHei" w:eastAsia="Microsoft YaHei" w:cs="Microsoft YaHei"/>
        </w:rPr>
        <w:t>乃是借着吃喝天上之粮的肉与血而成就的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L’histoire sacrée est sacrée parce qu’elle est incarnée par la présence du Christ. Les prédictions de la Parole de Dieu qui identifient les événements futurs, c’est Jésus-Christ, car Il est la « Parole ». Lorsque ces prédictions s’accomplissent dans l’histoire, les événements représentent l’accomplissement de Sa parole, et Sa Parole est Vérité. C’est Sa Parole qui expose la prédiction, et c’est Sa Parole qui s’accomplit lorsque l’événement survient ; ainsi, au commencement comme à la fin, c’est Jésus-Christ, car Il est l’Alpha et l’Oméga. Par conséquent, lorsque Pierre proclama que Jésus était le Christ et le Fils du Dieu vivant, il identifiait un repère qui était Jésus-Christ et un repère qui parvient à son accomplissement parfait dans les derniers jours. Le 11 septembre 2001 fut l’accomplissement parfait du Christ.</w:t>
      </w:r>
    </w:p>
    <w:p>
      <w:pPr>
        <w:pStyle w:val="ArticleBody"/>
        <w:jc w:val="left"/>
      </w:pPr>
      <w:r>
        <w:rPr>
          <w:rFonts w:ascii="Times New Roman" w:hAnsi="Times New Roman" w:eastAsia="Times New Roman" w:cs="Times New Roman"/>
        </w:rPr>
        <w:t xml:space="preserve">1999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სექტემბრის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აღსრულების</w:t>
      </w:r>
      <w:r>
        <w:rPr>
          <w:rFonts w:ascii="Times New Roman" w:hAnsi="Times New Roman" w:eastAsia="Times New Roman" w:cs="Times New Roman"/>
        </w:rPr>
        <w:t xml:space="preserve"> </w:t>
      </w:r>
      <w:r>
        <w:rPr>
          <w:rFonts w:ascii="Sylfaen" w:hAnsi="Sylfaen" w:eastAsia="Sylfaen" w:cs="Sylfaen"/>
        </w:rPr>
        <w:t>უარყოფა</w:t>
      </w:r>
      <w:r>
        <w:rPr>
          <w:rFonts w:ascii="Times New Roman" w:hAnsi="Times New Roman" w:eastAsia="Times New Roman" w:cs="Times New Roman"/>
        </w:rPr>
        <w:t xml:space="preserve"> </w:t>
      </w:r>
      <w:r>
        <w:rPr>
          <w:rFonts w:ascii="Sylfaen" w:hAnsi="Sylfaen" w:eastAsia="Sylfaen" w:cs="Sylfaen"/>
        </w:rPr>
        <w:t>ნიშნავს</w:t>
      </w:r>
      <w:r>
        <w:rPr>
          <w:rFonts w:ascii="Times New Roman" w:hAnsi="Times New Roman" w:eastAsia="Times New Roman" w:cs="Times New Roman"/>
        </w:rPr>
        <w:t xml:space="preserve"> </w:t>
      </w:r>
      <w:r>
        <w:rPr>
          <w:rFonts w:ascii="Sylfaen" w:hAnsi="Sylfaen" w:eastAsia="Sylfaen" w:cs="Sylfaen"/>
        </w:rPr>
        <w:t>ცოცხალი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ძის</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უარყოფას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პეტრეს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გამოთქმული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მორწმუნის</w:t>
      </w:r>
      <w:r>
        <w:rPr>
          <w:rFonts w:ascii="Times New Roman" w:hAnsi="Times New Roman" w:eastAsia="Times New Roman" w:cs="Times New Roman"/>
        </w:rPr>
        <w:t xml:space="preserve"> </w:t>
      </w:r>
      <w:r>
        <w:rPr>
          <w:rFonts w:ascii="Sylfaen" w:hAnsi="Sylfaen" w:eastAsia="Sylfaen" w:cs="Sylfaen"/>
        </w:rPr>
        <w:t>რწმენის</w:t>
      </w:r>
      <w:r>
        <w:rPr>
          <w:rFonts w:ascii="Times New Roman" w:hAnsi="Times New Roman" w:eastAsia="Times New Roman" w:cs="Times New Roman"/>
        </w:rPr>
        <w:t xml:space="preserve"> </w:t>
      </w:r>
      <w:r>
        <w:rPr>
          <w:rFonts w:ascii="Sylfaen" w:hAnsi="Sylfaen" w:eastAsia="Sylfaen" w:cs="Sylfaen"/>
        </w:rPr>
        <w:t>საფუძველი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2001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სექტემბერს</w:t>
      </w:r>
      <w:r>
        <w:rPr>
          <w:rFonts w:ascii="Times New Roman" w:hAnsi="Times New Roman" w:eastAsia="Times New Roman" w:cs="Times New Roman"/>
        </w:rPr>
        <w:t xml:space="preserve"> </w:t>
      </w:r>
      <w:r>
        <w:rPr>
          <w:rFonts w:ascii="Sylfaen" w:hAnsi="Sylfaen" w:eastAsia="Sylfaen" w:cs="Sylfaen"/>
        </w:rPr>
        <w:t>ქრისტემ</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ხალხი</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მიიყვანა</w:t>
      </w:r>
      <w:r>
        <w:rPr>
          <w:rFonts w:ascii="Times New Roman" w:hAnsi="Times New Roman" w:eastAsia="Times New Roman" w:cs="Times New Roman"/>
        </w:rPr>
        <w:t xml:space="preserve"> </w:t>
      </w:r>
      <w:r>
        <w:rPr>
          <w:rFonts w:ascii="Sylfaen" w:hAnsi="Sylfaen" w:eastAsia="Sylfaen" w:cs="Sylfaen"/>
        </w:rPr>
        <w:t>იერემიას</w:t>
      </w:r>
      <w:r>
        <w:rPr>
          <w:rFonts w:ascii="Times New Roman" w:hAnsi="Times New Roman" w:eastAsia="Times New Roman" w:cs="Times New Roman"/>
        </w:rPr>
        <w:t xml:space="preserve"> „</w:t>
      </w:r>
      <w:r>
        <w:rPr>
          <w:rFonts w:ascii="Sylfaen" w:hAnsi="Sylfaen" w:eastAsia="Sylfaen" w:cs="Sylfaen"/>
        </w:rPr>
        <w:t>ძველ</w:t>
      </w:r>
      <w:r>
        <w:rPr>
          <w:rFonts w:ascii="Times New Roman" w:hAnsi="Times New Roman" w:eastAsia="Times New Roman" w:cs="Times New Roman"/>
        </w:rPr>
        <w:t xml:space="preserve"> </w:t>
      </w:r>
      <w:r>
        <w:rPr>
          <w:rFonts w:ascii="Sylfaen" w:hAnsi="Sylfaen" w:eastAsia="Sylfaen" w:cs="Sylfaen"/>
        </w:rPr>
        <w:t>ბილიკებთან</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უწყებათა</w:t>
      </w:r>
      <w:r>
        <w:rPr>
          <w:rFonts w:ascii="Times New Roman" w:hAnsi="Times New Roman" w:eastAsia="Times New Roman" w:cs="Times New Roman"/>
        </w:rPr>
        <w:t xml:space="preserve"> </w:t>
      </w:r>
      <w:r>
        <w:rPr>
          <w:rFonts w:ascii="Sylfaen" w:hAnsi="Sylfaen" w:eastAsia="Sylfaen" w:cs="Sylfaen"/>
        </w:rPr>
        <w:t>მოძრაობის</w:t>
      </w:r>
      <w:r>
        <w:rPr>
          <w:rFonts w:ascii="Times New Roman" w:hAnsi="Times New Roman" w:eastAsia="Times New Roman" w:cs="Times New Roman"/>
        </w:rPr>
        <w:t xml:space="preserve"> „</w:t>
      </w:r>
      <w:r>
        <w:rPr>
          <w:rFonts w:ascii="Sylfaen" w:hAnsi="Sylfaen" w:eastAsia="Sylfaen" w:cs="Sylfaen"/>
        </w:rPr>
        <w:t>საფუძვლებს</w:t>
      </w:r>
      <w:r>
        <w:rPr>
          <w:rFonts w:ascii="Times New Roman" w:hAnsi="Times New Roman" w:eastAsia="Times New Roman" w:cs="Times New Roman"/>
        </w:rPr>
        <w:t xml:space="preserve">“. </w:t>
      </w:r>
      <w:r>
        <w:rPr>
          <w:rFonts w:ascii="Sylfaen" w:hAnsi="Sylfaen" w:eastAsia="Sylfaen" w:cs="Sylfaen"/>
        </w:rPr>
        <w:t>პეტრე</w:t>
      </w:r>
      <w:r>
        <w:rPr>
          <w:rFonts w:ascii="Times New Roman" w:hAnsi="Times New Roman" w:eastAsia="Times New Roman" w:cs="Times New Roman"/>
        </w:rPr>
        <w:t xml:space="preserve"> </w:t>
      </w:r>
      <w:r>
        <w:rPr>
          <w:rFonts w:ascii="Sylfaen" w:hAnsi="Sylfaen" w:eastAsia="Sylfaen" w:cs="Sylfaen"/>
        </w:rPr>
        <w:t>განასახიერებდა</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w:t>
      </w:r>
      <w:r>
        <w:rPr>
          <w:rFonts w:ascii="Times New Roman" w:hAnsi="Times New Roman" w:eastAsia="Times New Roman" w:cs="Times New Roman"/>
        </w:rPr>
        <w:t xml:space="preserve"> </w:t>
      </w:r>
      <w:r>
        <w:rPr>
          <w:rFonts w:ascii="Sylfaen" w:hAnsi="Sylfaen" w:eastAsia="Sylfaen" w:cs="Sylfaen"/>
        </w:rPr>
        <w:t>ათასს</w:t>
      </w:r>
      <w:r>
        <w:rPr>
          <w:rFonts w:ascii="Times New Roman" w:hAnsi="Times New Roman" w:eastAsia="Times New Roman" w:cs="Times New Roman"/>
        </w:rPr>
        <w:t xml:space="preserve">, </w:t>
      </w:r>
      <w:r>
        <w:rPr>
          <w:rFonts w:ascii="Sylfaen" w:hAnsi="Sylfaen" w:eastAsia="Sylfaen" w:cs="Sylfaen"/>
        </w:rPr>
        <w:t>რომელნიც</w:t>
      </w:r>
      <w:r>
        <w:rPr>
          <w:rFonts w:ascii="Times New Roman" w:hAnsi="Times New Roman" w:eastAsia="Times New Roman" w:cs="Times New Roman"/>
        </w:rPr>
        <w:t xml:space="preserve"> </w:t>
      </w:r>
      <w:r>
        <w:rPr>
          <w:rFonts w:ascii="Sylfaen" w:hAnsi="Sylfaen" w:eastAsia="Sylfaen" w:cs="Sylfaen"/>
        </w:rPr>
        <w:t>იღებენ</w:t>
      </w:r>
      <w:r>
        <w:rPr>
          <w:rFonts w:ascii="Times New Roman" w:hAnsi="Times New Roman" w:eastAsia="Times New Roman" w:cs="Times New Roman"/>
        </w:rPr>
        <w:t xml:space="preserve"> </w:t>
      </w:r>
      <w:r>
        <w:rPr>
          <w:rFonts w:ascii="Sylfaen" w:hAnsi="Sylfaen" w:eastAsia="Sylfaen" w:cs="Sylfaen"/>
        </w:rPr>
        <w:t>ბეჭედს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პერიოდში</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ოთხი</w:t>
      </w:r>
      <w:r>
        <w:rPr>
          <w:rFonts w:ascii="Times New Roman" w:hAnsi="Times New Roman" w:eastAsia="Times New Roman" w:cs="Times New Roman"/>
        </w:rPr>
        <w:t xml:space="preserve"> </w:t>
      </w:r>
      <w:r>
        <w:rPr>
          <w:rFonts w:ascii="Sylfaen" w:hAnsi="Sylfaen" w:eastAsia="Sylfaen" w:cs="Sylfaen"/>
        </w:rPr>
        <w:t>ანგელოზი</w:t>
      </w:r>
      <w:r>
        <w:rPr>
          <w:rFonts w:ascii="Times New Roman" w:hAnsi="Times New Roman" w:eastAsia="Times New Roman" w:cs="Times New Roman"/>
        </w:rPr>
        <w:t xml:space="preserve"> </w:t>
      </w:r>
      <w:r>
        <w:rPr>
          <w:rFonts w:ascii="Sylfaen" w:hAnsi="Sylfaen" w:eastAsia="Sylfaen" w:cs="Sylfaen"/>
        </w:rPr>
        <w:t>აკავებს</w:t>
      </w:r>
      <w:r>
        <w:rPr>
          <w:rFonts w:ascii="Times New Roman" w:hAnsi="Times New Roman" w:eastAsia="Times New Roman" w:cs="Times New Roman"/>
        </w:rPr>
        <w:t xml:space="preserve"> </w:t>
      </w:r>
      <w:r>
        <w:rPr>
          <w:rFonts w:ascii="Sylfaen" w:hAnsi="Sylfaen" w:eastAsia="Sylfaen" w:cs="Sylfaen"/>
        </w:rPr>
        <w:t>ოთხ</w:t>
      </w:r>
      <w:r>
        <w:rPr>
          <w:rFonts w:ascii="Times New Roman" w:hAnsi="Times New Roman" w:eastAsia="Times New Roman" w:cs="Times New Roman"/>
        </w:rPr>
        <w:t xml:space="preserve"> </w:t>
      </w:r>
      <w:r>
        <w:rPr>
          <w:rFonts w:ascii="Sylfaen" w:hAnsi="Sylfaen" w:eastAsia="Sylfaen" w:cs="Sylfaen"/>
        </w:rPr>
        <w:t>ქარს</w:t>
      </w:r>
      <w:r>
        <w:rPr>
          <w:rFonts w:ascii="Times New Roman" w:hAnsi="Times New Roman" w:eastAsia="Times New Roman" w:cs="Times New Roman"/>
        </w:rPr>
        <w:t xml:space="preserve">. </w:t>
      </w:r>
      <w:r>
        <w:rPr>
          <w:rFonts w:ascii="Sylfaen" w:hAnsi="Sylfaen" w:eastAsia="Sylfaen" w:cs="Sylfaen"/>
        </w:rPr>
        <w:t>დაბეჭდვის</w:t>
      </w:r>
      <w:r>
        <w:rPr>
          <w:rFonts w:ascii="Times New Roman" w:hAnsi="Times New Roman" w:eastAsia="Times New Roman" w:cs="Times New Roman"/>
        </w:rPr>
        <w:t xml:space="preserve"> </w:t>
      </w:r>
      <w:r>
        <w:rPr>
          <w:rFonts w:ascii="Sylfaen" w:hAnsi="Sylfaen" w:eastAsia="Sylfaen" w:cs="Sylfaen"/>
        </w:rPr>
        <w:t>დრო</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განსაზღვრული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პერიოდი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იწყება</w:t>
      </w:r>
      <w:r>
        <w:rPr>
          <w:rFonts w:ascii="Times New Roman" w:hAnsi="Times New Roman" w:eastAsia="Times New Roman" w:cs="Times New Roman"/>
        </w:rPr>
        <w:t xml:space="preserve"> 2001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სექტემბერს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მოსალოდნელი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დადგომით</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ყოველთვის</w:t>
      </w:r>
      <w:r>
        <w:rPr>
          <w:rFonts w:ascii="Times New Roman" w:hAnsi="Times New Roman" w:eastAsia="Times New Roman" w:cs="Times New Roman"/>
        </w:rPr>
        <w:t xml:space="preserve"> </w:t>
      </w:r>
      <w:r>
        <w:rPr>
          <w:rFonts w:ascii="Sylfaen" w:hAnsi="Sylfaen" w:eastAsia="Sylfaen" w:cs="Sylfaen"/>
        </w:rPr>
        <w:t>რაიმეს</w:t>
      </w:r>
      <w:r>
        <w:rPr>
          <w:rFonts w:ascii="Times New Roman" w:hAnsi="Times New Roman" w:eastAsia="Times New Roman" w:cs="Times New Roman"/>
        </w:rPr>
        <w:t xml:space="preserve"> </w:t>
      </w:r>
      <w:r>
        <w:rPr>
          <w:rFonts w:ascii="Sylfaen" w:hAnsi="Sylfaen" w:eastAsia="Sylfaen" w:cs="Sylfaen"/>
        </w:rPr>
        <w:t>დასასრულს</w:t>
      </w:r>
      <w:r>
        <w:rPr>
          <w:rFonts w:ascii="Times New Roman" w:hAnsi="Times New Roman" w:eastAsia="Times New Roman" w:cs="Times New Roman"/>
        </w:rPr>
        <w:t xml:space="preserve"> </w:t>
      </w:r>
      <w:r>
        <w:rPr>
          <w:rFonts w:ascii="Sylfaen" w:hAnsi="Sylfaen" w:eastAsia="Sylfaen" w:cs="Sylfaen"/>
        </w:rPr>
        <w:t>წარმოაჩენს</w:t>
      </w:r>
      <w:r>
        <w:rPr>
          <w:rFonts w:ascii="Times New Roman" w:hAnsi="Times New Roman" w:eastAsia="Times New Roman" w:cs="Times New Roman"/>
        </w:rPr>
        <w:t xml:space="preserve"> </w:t>
      </w:r>
      <w:r>
        <w:rPr>
          <w:rFonts w:ascii="Sylfaen" w:hAnsi="Sylfaen" w:eastAsia="Sylfaen" w:cs="Sylfaen"/>
        </w:rPr>
        <w:t>რაიმეს</w:t>
      </w:r>
      <w:r>
        <w:rPr>
          <w:rFonts w:ascii="Times New Roman" w:hAnsi="Times New Roman" w:eastAsia="Times New Roman" w:cs="Times New Roman"/>
        </w:rPr>
        <w:t xml:space="preserve"> </w:t>
      </w:r>
      <w:r>
        <w:rPr>
          <w:rFonts w:ascii="Sylfaen" w:hAnsi="Sylfaen" w:eastAsia="Sylfaen" w:cs="Sylfaen"/>
        </w:rPr>
        <w:t>დასაწყისის</w:t>
      </w:r>
      <w:r>
        <w:rPr>
          <w:rFonts w:ascii="Times New Roman" w:hAnsi="Times New Roman" w:eastAsia="Times New Roman" w:cs="Times New Roman"/>
        </w:rPr>
        <w:t xml:space="preserve"> </w:t>
      </w:r>
      <w:r>
        <w:rPr>
          <w:rFonts w:ascii="Sylfaen" w:hAnsi="Sylfaen" w:eastAsia="Sylfaen" w:cs="Sylfaen"/>
        </w:rPr>
        <w:t>მეშვეობით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Mwanzoni mwa wakati wa kutiwa muhuri malaika wa Ufunuo kumi na nane alishuka, kama vile Roho Mtakatifu alivyoshuka wakati wa ubatizo, na malaika huyo alikuwa “si mwingine ila Yesu Kristo mwenyewe,” kwa maana malaika aliyeshuka kuuangazia ulimwengu kwa utukufu Wake katika historia ya Wamillerite alikuwa “si mwingine ila Yesu Kristo mwenyewe.” Katika sheria ya Jumapili inayokuja upesi “si mwingine ila Yesu Kristo mwenyewe,” hushuka tena na kuwasilisha ujumbe wa pili kati ya jumbe mbili za Ufunuo kumi na nane, awaitapo kondoo Wake wengine watoke Babeli. Katikati ya kipindi cha wakati wa kutiwa muhuri, malaika alishuka, kama vile malaika wa pili alivyoshuka tarehe 19 Aprili, 1844, wakati wa kukatishwa tamaa kwa kwanza kwa vuguvugu la Wamillerite.</w:t>
      </w:r>
    </w:p>
    <w:p>
      <w:pPr>
        <w:pStyle w:val="ArticleBody"/>
        <w:jc w:val="left"/>
      </w:pPr>
      <w:r>
        <w:rPr>
          <w:rFonts w:ascii="Times New Roman" w:hAnsi="Times New Roman" w:eastAsia="Times New Roman" w:cs="Times New Roman"/>
        </w:rPr>
        <w:t>Mu nguva iri hagati yo kuza kwa marayika wa kabiri no kuza kwa marayika wa gatatu ku wa 22 Ukwakira 1844, hatoranyijwe marayika benshi kugira ngo bongerere imbaraga marayika wa kabiri ubwo ubutumwa bw’Ijwi ryo mu Gicuku bwageraga. Avuga ku mateka y’igihe abo marayika bazaga mu mateka y’Abamileriti, Mushiki wacu White atumenyesha ko abanze ubwo butumwa babambye Kristo ku musaraba rwose nk’uko Abayahudi na bo babambye Kristo.</w:t>
      </w:r>
    </w:p>
    <w:p>
      <w:pPr>
        <w:pStyle w:val="ArticleScripture"/>
        <w:jc w:val="left"/>
      </w:pPr>
      <w:r>
        <w:rPr>
          <w:rFonts w:ascii="Times New Roman" w:hAnsi="Times New Roman" w:eastAsia="Times New Roman" w:cs="Times New Roman"/>
        </w:rPr>
        <w:t>« Je vis que, de même que les Juifs avaient crucifié Jésus, ainsi les Églises de nom avaient crucifié ces messages; c’est pourquoi elles n’ont aucune connaissance du chemin qui mène au lieu très saint, et elles ne peuvent bénéficier de l’intercession de Jésus en ce lieu. » Early Writings, 261.</w:t>
      </w:r>
    </w:p>
    <w:p>
      <w:pPr>
        <w:pStyle w:val="ArticleBody"/>
        <w:jc w:val="left"/>
      </w:pP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सुनकर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En vérité, en vérité, je vous le dis, l’heure vient, et elle est déjà venue, où les morts entendront la voix du Fils de Dieu; et ceux qui l’auront entendue vivront. Car, comme le Père a la vie en lui-même, ainsi a-t-il donné au Fils d’avoir la vie en lui-même; et il lui a donné autorité d’exercer aussi le jugement, parce qu’il est le Fils de l’homme. Ne vous en étonnez pas; car l’heure vient où tous ceux qui sont dans les tombeaux entendront sa voix, et en sortiront: ceux qui auront fait le bien, pour une résurrection de vie; mais ceux qui auront fait le mal, pour une résurrection de condamnation. Jean 5:25–29.</w:t>
      </w:r>
    </w:p>
    <w:p>
      <w:pPr>
        <w:pStyle w:val="ArticleBody"/>
        <w:jc w:val="left"/>
      </w:pPr>
      <w:r>
        <w:rPr>
          <w:rFonts w:ascii="Times New Roman" w:hAnsi="Times New Roman" w:eastAsia="Times New Roman" w:cs="Times New Roman"/>
        </w:rPr>
        <w:t>Mnamo mwezi wa Julai 2023, sauti Yake iliita mifupa mikavu iliyokufa ipate uhai, na Alfa na Omega kisha akarudia mwanzo wa wakati wa kutiwa muhuri, kwa maana Julai 2023 huashiria kipindi cha mwisho wa wakati wa kutiwa muhuri. Ndipo watu Wake wakaitwa tena warudi kwenye njia za kale za Yeremia, kwenye misingi ya historia ya Wamilleri. Ujumbe wa msingi wa mwanzo na mwisho wa Wamilleri ulikuwa ujumbe wa kwanza na wa mwisho wa historia ya Wamilleri, yaani, “nyakati saba” za sura ya ishirini na sita ya Mambo ya Walawi.</w:t>
      </w:r>
    </w:p>
    <w:p>
      <w:pPr>
        <w:pStyle w:val="ArticleBody"/>
        <w:jc w:val="left"/>
      </w:pPr>
      <w:r>
        <w:rPr>
          <w:rFonts w:ascii="Times New Roman" w:hAnsi="Times New Roman" w:eastAsia="Times New Roman" w:cs="Times New Roman"/>
        </w:rPr>
        <w:t>NgoMhlangulana 2023, abantu bakaNkulunkulu bezinsuku zokugcina baphinde bayalwa ukuba bathathe incwadi encane bayidle. Njengoba beyidla le ncwadi encane, base bevivinywa ukuze kubonakale ukuthi bayakuvuma yini umlayezo woMaye wesithathu kuSambulo isahluko sesishiyagalolunye (izindaba zasempumalanga) kanye nomlayezo kaDaniyeli isahluko seshumi nanye (izindaba zasenyakatho). Lolu hlelo lokuvivinya lubaholela emavesini eshumi nantathu kuya kweleshumi nanhlanu kaDaniyeli isahluko seshumi nanye, okuyiMpi yasePanium, okuyiKesariya Filipi, futhi okuwumyalezo wokukhala kwaphakathi kobusuku lapho kubonakaliswa khona izigaba ezimbili zalabo abezwile izwi laKhe, isigaba esisodwa “abenza okuhle, ekuvukeni kokuphila; kanti abenze okubi, ekuvukeni kokulahlwa.”</w:t>
      </w:r>
    </w:p>
    <w:p>
      <w:pPr>
        <w:pStyle w:val="ArticleBody"/>
        <w:jc w:val="left"/>
      </w:pP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इमारतें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पुकारकर</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Panium des versets treize à quinze de Daniel onze est la « portion » de la prophétie de Daniel qui fut scellée et qui identifie le message du Cri de Minuit. Panium est la réunion de camp d’Exeter en août 1844 ; c’est une histoire qui s’accomplit durant le second mandat de Donald Trump, et c’est le message prophétique qui imprime le sceau de Dieu sur les fronts des cent quarante-quatre mille. Les versets que nous étudions maintenant sont une terre très sainte.</w:t>
      </w:r>
    </w:p>
    <w:p>
      <w:pPr>
        <w:pStyle w:val="ArticleScripture"/>
        <w:jc w:val="left"/>
      </w:pP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भलाई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मनुष्यजाति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अधोलोक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अय्यूब</w:t>
      </w:r>
      <w:r>
        <w:rPr>
          <w:rFonts w:ascii="Times New Roman" w:hAnsi="Times New Roman" w:eastAsia="Times New Roman" w:cs="Times New Roman"/>
        </w:rPr>
        <w:t xml:space="preserve"> 11:8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दत्तकत्व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 </w:t>
      </w:r>
      <w:r>
        <w:rPr>
          <w:rFonts w:ascii="Nirmala UI" w:hAnsi="Nirmala UI" w:eastAsia="Nirmala UI" w:cs="Nirmala UI"/>
        </w:rPr>
        <w:t>कुरिन्थियों</w:t>
      </w:r>
      <w:r>
        <w:rPr>
          <w:rFonts w:ascii="Times New Roman" w:hAnsi="Times New Roman" w:eastAsia="Times New Roman" w:cs="Times New Roman"/>
        </w:rPr>
        <w:t xml:space="preserve"> 2:9, 10</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25:14; </w:t>
      </w:r>
      <w:r>
        <w:rPr>
          <w:rFonts w:ascii="Nirmala UI" w:hAnsi="Nirmala UI" w:eastAsia="Nirmala UI" w:cs="Nirmala UI"/>
        </w:rPr>
        <w:t>यूहन्ना</w:t>
      </w:r>
      <w:r>
        <w:rPr>
          <w:rFonts w:ascii="Times New Roman" w:hAnsi="Times New Roman" w:eastAsia="Times New Roman" w:cs="Times New Roman"/>
        </w:rPr>
        <w:t xml:space="preserve"> 6:45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सचमुच</w:t>
      </w:r>
      <w:r>
        <w:rPr>
          <w:rFonts w:ascii="Times New Roman" w:hAnsi="Times New Roman" w:eastAsia="Times New Roman" w:cs="Times New Roman"/>
        </w:rPr>
        <w:t>,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शमौन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“Jeesus jatkoi: ‘Ja minä sanon sinulle myös: sinä olet Pietari, ja tälle kalliolle minä rakennan seurakuntani, eivätkä tuonelan portit voita sitä.’ Nimi Pietari merkitsee kiveä — vierivää kiveä. Pietari ei ollut se kallio, jolle seurakunta perustettiin. Tuonelan portit voittivat hänet, kun hän kielsi Herransa kirouksin ja valoin. Seurakunta rakennettiin Sen varaan, jota vastaan tuonelan portit eivät voineet mitään.” Aikakausien Toivo, 413</w:t>
      </w:r>
    </w:p>
    <w:p>
      <w:pPr>
        <w:pStyle w:val="ArticleBody"/>
        <w:jc w:val="left"/>
      </w:pP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କାଇସରିଆ</w:t>
      </w:r>
      <w:r>
        <w:rPr>
          <w:rFonts w:ascii="Times New Roman" w:hAnsi="Times New Roman" w:eastAsia="Times New Roman" w:cs="Times New Roman"/>
        </w:rPr>
        <w:t xml:space="preserve"> </w:t>
      </w:r>
      <w:r>
        <w:rPr>
          <w:rFonts w:ascii="Nirmala UI" w:hAnsi="Nirmala UI" w:eastAsia="Nirmala UI" w:cs="Nirmala UI"/>
        </w:rPr>
        <w:t>ଫିଲିପ୍ପୀରେ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ଶିଷ୍ୟମାନଙ୍କୁ</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ପ୍ରଦାନ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ମଧ୍ୟରାତ୍ରିର</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ଗ୍ରୀକ</w:t>
      </w:r>
      <w:r>
        <w:rPr>
          <w:rFonts w:ascii="Times New Roman" w:hAnsi="Times New Roman" w:eastAsia="Times New Roman" w:cs="Times New Roman"/>
        </w:rPr>
        <w:t xml:space="preserve"> </w:t>
      </w:r>
      <w:r>
        <w:rPr>
          <w:rFonts w:ascii="Nirmala UI" w:hAnsi="Nirmala UI" w:eastAsia="Nirmala UI" w:cs="Nirmala UI"/>
        </w:rPr>
        <w:t>ଦେବତା</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w:t>
      </w:r>
      <w:r>
        <w:rPr>
          <w:rFonts w:ascii="Nirmala UI" w:hAnsi="Nirmala UI" w:eastAsia="Nirmala UI" w:cs="Nirmala UI"/>
        </w:rPr>
        <w:t>ଯାହାଙ୍କ</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ନରକର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କୁହାଯାଉଥିଲା</w:t>
      </w:r>
      <w:r>
        <w:rPr>
          <w:rFonts w:ascii="Times New Roman" w:hAnsi="Times New Roman" w:eastAsia="Times New Roman" w:cs="Times New Roman"/>
        </w:rPr>
        <w:t>—</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ଶିଙ୍ଗର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ଆତ୍ମିକ</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ପ୍ରସଙ୍ଗରେ</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ମାକ୍କାବୀମାନେ</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ଜନମାନେ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ଗ୍ରୀକମାନଙ୍କର</w:t>
      </w:r>
      <w:r>
        <w:rPr>
          <w:rFonts w:ascii="Times New Roman" w:hAnsi="Times New Roman" w:eastAsia="Times New Roman" w:cs="Times New Roman"/>
        </w:rPr>
        <w:t xml:space="preserve"> </w:t>
      </w:r>
      <w:r>
        <w:rPr>
          <w:rFonts w:ascii="Nirmala UI" w:hAnsi="Nirmala UI" w:eastAsia="Nirmala UI" w:cs="Nirmala UI"/>
        </w:rPr>
        <w:t>ଧର୍ମବ୍ୟବସ୍ଥା</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କରୁଥିବାବେଳେ</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କଳିସିୟାର</w:t>
      </w:r>
      <w:r>
        <w:rPr>
          <w:rFonts w:ascii="Times New Roman" w:hAnsi="Times New Roman" w:eastAsia="Times New Roman" w:cs="Times New Roman"/>
        </w:rPr>
        <w:t xml:space="preserve"> </w:t>
      </w:r>
      <w:r>
        <w:rPr>
          <w:rFonts w:ascii="Nirmala UI" w:hAnsi="Nirmala UI" w:eastAsia="Nirmala UI" w:cs="Nirmala UI"/>
        </w:rPr>
        <w:t>ରକ୍ଷକ</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ରାଜନୈତିକ</w:t>
      </w:r>
      <w:r>
        <w:rPr>
          <w:rFonts w:ascii="Times New Roman" w:hAnsi="Times New Roman" w:eastAsia="Times New Roman" w:cs="Times New Roman"/>
        </w:rPr>
        <w:t>—</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ପ୍ରକାର</w:t>
      </w:r>
      <w:r>
        <w:rPr>
          <w:rFonts w:ascii="Times New Roman" w:hAnsi="Times New Roman" w:eastAsia="Times New Roman" w:cs="Times New Roman"/>
        </w:rPr>
        <w:t xml:space="preserve"> </w:t>
      </w:r>
      <w:r>
        <w:rPr>
          <w:rFonts w:ascii="Nirmala UI" w:hAnsi="Nirmala UI" w:eastAsia="Nirmala UI" w:cs="Nirmala UI"/>
        </w:rPr>
        <w:t>ନେତା</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ପରିଚୟ</w:t>
      </w:r>
      <w:r>
        <w:rPr>
          <w:rFonts w:ascii="Times New Roman" w:hAnsi="Times New Roman" w:eastAsia="Times New Roman" w:cs="Times New Roman"/>
        </w:rPr>
        <w:t xml:space="preserve"> </w:t>
      </w:r>
      <w:r>
        <w:rPr>
          <w:rFonts w:ascii="Nirmala UI" w:hAnsi="Nirmala UI" w:eastAsia="Nirmala UI" w:cs="Nirmala UI"/>
        </w:rPr>
        <w:t>ଦେଉଥିଲେ।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କଳିସିୟାମାନଙ୍କର</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ପ୍ରୋଟେଷ୍ଟାଣ୍ଟବାଦକୁ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ଯୁକ୍ତରାଷ୍ଟ୍ର</w:t>
      </w:r>
      <w:r>
        <w:rPr>
          <w:rFonts w:ascii="Times New Roman" w:hAnsi="Times New Roman" w:eastAsia="Times New Roman" w:cs="Times New Roman"/>
        </w:rPr>
        <w:t xml:space="preserve"> </w:t>
      </w:r>
      <w:r>
        <w:rPr>
          <w:rFonts w:ascii="Nirmala UI" w:hAnsi="Nirmala UI" w:eastAsia="Nirmala UI" w:cs="Nirmala UI"/>
        </w:rPr>
        <w:t>ସରକାର</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ମିଶି</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ପ୍ରତିମୂର୍ତ୍ତି</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ଗ୍ଲୋବାଲିଷ୍ଟମାନଙ୍କର</w:t>
      </w:r>
      <w:r>
        <w:rPr>
          <w:rFonts w:ascii="Times New Roman" w:hAnsi="Times New Roman" w:eastAsia="Times New Roman" w:cs="Times New Roman"/>
        </w:rPr>
        <w:t xml:space="preserve"> ‘</w:t>
      </w:r>
      <w:r>
        <w:rPr>
          <w:rFonts w:ascii="Nirmala UI" w:hAnsi="Nirmala UI" w:eastAsia="Nirmala UI" w:cs="Nirmala UI"/>
        </w:rPr>
        <w:t>ୱୋକିଜ୍ମ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ଧର୍ମ</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ଶିଙ୍ଗମାନେ</w:t>
      </w:r>
      <w:r>
        <w:rPr>
          <w:rFonts w:ascii="Times New Roman" w:hAnsi="Times New Roman" w:eastAsia="Times New Roman" w:cs="Times New Roman"/>
        </w:rPr>
        <w:t xml:space="preserve"> </w:t>
      </w:r>
      <w:r>
        <w:rPr>
          <w:rFonts w:ascii="Nirmala UI" w:hAnsi="Nirmala UI" w:eastAsia="Nirmala UI" w:cs="Nirmala UI"/>
        </w:rPr>
        <w:t>ଗ୍ଲୋବାଲିଜ୍ମର</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ରାଜନୈତିକ</w:t>
      </w:r>
      <w:r>
        <w:rPr>
          <w:rFonts w:ascii="Times New Roman" w:hAnsi="Times New Roman" w:eastAsia="Times New Roman" w:cs="Times New Roman"/>
        </w:rPr>
        <w:t xml:space="preserve"> </w:t>
      </w:r>
      <w:r>
        <w:rPr>
          <w:rFonts w:ascii="Nirmala UI" w:hAnsi="Nirmala UI" w:eastAsia="Nirmala UI" w:cs="Nirmala UI"/>
        </w:rPr>
        <w:t>ଉପାଦାନମାନଙ୍କ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ସଂଘର୍ଷରେ</w:t>
      </w:r>
      <w:r>
        <w:rPr>
          <w:rFonts w:ascii="Times New Roman" w:hAnsi="Times New Roman" w:eastAsia="Times New Roman" w:cs="Times New Roman"/>
        </w:rPr>
        <w:t xml:space="preserve"> </w:t>
      </w:r>
      <w:r>
        <w:rPr>
          <w:rFonts w:ascii="Nirmala UI" w:hAnsi="Nirmala UI" w:eastAsia="Nirmala UI" w:cs="Nirmala UI"/>
        </w:rPr>
        <w:t>ପ୍ରବଳ</w:t>
      </w:r>
      <w:r>
        <w:rPr>
          <w:rFonts w:ascii="Times New Roman" w:hAnsi="Times New Roman" w:eastAsia="Times New Roman" w:cs="Times New Roman"/>
        </w:rPr>
        <w:t xml:space="preserve"> </w:t>
      </w:r>
      <w:r>
        <w:rPr>
          <w:rFonts w:ascii="Nirmala UI" w:hAnsi="Nirmala UI" w:eastAsia="Nirmala UI" w:cs="Nirmala UI"/>
        </w:rPr>
        <w:t>ହୋଇଉଠନ୍ତି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ଶିଙ୍ଗଟି</w:t>
      </w:r>
      <w:r>
        <w:rPr>
          <w:rFonts w:ascii="Times New Roman" w:hAnsi="Times New Roman" w:eastAsia="Times New Roman" w:cs="Times New Roman"/>
        </w:rPr>
        <w:t xml:space="preserve">, </w:t>
      </w:r>
      <w:r>
        <w:rPr>
          <w:rFonts w:ascii="Nirmala UI" w:hAnsi="Nirmala UI" w:eastAsia="Nirmala UI" w:cs="Nirmala UI"/>
        </w:rPr>
        <w:t>ଆସନ୍ତା</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ଭୂମିକମ୍ପ</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ଧ୍ୱଜରୂପେ</w:t>
      </w:r>
      <w:r>
        <w:rPr>
          <w:rFonts w:ascii="Times New Roman" w:hAnsi="Times New Roman" w:eastAsia="Times New Roman" w:cs="Times New Roman"/>
        </w:rPr>
        <w:t xml:space="preserve"> </w:t>
      </w:r>
      <w:r>
        <w:rPr>
          <w:rFonts w:ascii="Nirmala UI" w:hAnsi="Nirmala UI" w:eastAsia="Nirmala UI" w:cs="Nirmala UI"/>
        </w:rPr>
        <w:t>ଉତ୍ତୋଳିତ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କୁମାରୀମାନଙ୍କର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ଅବଶେଷମାନଙ୍କୁ</w:t>
      </w:r>
      <w:r>
        <w:rPr>
          <w:rFonts w:ascii="Times New Roman" w:hAnsi="Times New Roman" w:eastAsia="Times New Roman" w:cs="Times New Roman"/>
        </w:rPr>
        <w:t xml:space="preserve"> </w:t>
      </w:r>
      <w:r>
        <w:rPr>
          <w:rFonts w:ascii="Nirmala UI" w:hAnsi="Nirmala UI" w:eastAsia="Nirmala UI" w:cs="Nirmala UI"/>
        </w:rPr>
        <w:t>ଅପସାରଣ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ଶୁଦ୍ଧ</w:t>
      </w:r>
      <w:r>
        <w:rPr>
          <w:rFonts w:ascii="Times New Roman" w:hAnsi="Times New Roman" w:eastAsia="Times New Roman" w:cs="Times New Roman"/>
        </w:rPr>
        <w:t xml:space="preserve"> </w:t>
      </w:r>
      <w:r>
        <w:rPr>
          <w:rFonts w:ascii="Nirmala UI" w:hAnsi="Nirmala UI" w:eastAsia="Nirmala UI" w:cs="Nirmala UI"/>
        </w:rPr>
        <w:t>କରାଯାଉଛି।</w:t>
      </w:r>
    </w:p>
    <w:p>
      <w:pPr>
        <w:pStyle w:val="ArticleBody"/>
        <w:jc w:val="left"/>
      </w:pPr>
      <w:r>
        <w:rPr>
          <w:rFonts w:ascii="Nirmala UI" w:hAnsi="Nirmala UI" w:eastAsia="Nirmala UI" w:cs="Nirmala UI"/>
        </w:rPr>
        <w:t>मुद्दत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कुण्ड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रिपब्लिकनवाद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2015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भड़काना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Nirmala UI" w:hAnsi="Nirmala UI" w:eastAsia="Nirmala UI" w:cs="Nirmala UI"/>
        </w:rPr>
        <w:t>সত্যটি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স্বীকার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পথচিহ্নকে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পরীক্ষাস্বরূপ</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মসীহ</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প্রশ্নটি</w:t>
      </w:r>
      <w:r>
        <w:rPr>
          <w:rFonts w:ascii="Times New Roman" w:hAnsi="Times New Roman" w:eastAsia="Times New Roman" w:cs="Times New Roman"/>
        </w:rPr>
        <w:t xml:space="preserve"> </w:t>
      </w:r>
      <w:r>
        <w:rPr>
          <w:rFonts w:ascii="Nirmala UI" w:hAnsi="Nirmala UI" w:eastAsia="Nirmala UI" w:cs="Nirmala UI"/>
        </w:rPr>
        <w:t>নিশ্চিতরূপে</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পরীক্ষাস্বরূপ</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ঘোষণাটি</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সমগ্রতাকেই</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এইটুকুই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এও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মনুষ্যপুত্রও</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মানবত্বে</w:t>
      </w:r>
      <w:r>
        <w:rPr>
          <w:rFonts w:ascii="Times New Roman" w:hAnsi="Times New Roman" w:eastAsia="Times New Roman" w:cs="Times New Roman"/>
        </w:rPr>
        <w:t xml:space="preserve"> </w:t>
      </w:r>
      <w:r>
        <w:rPr>
          <w:rFonts w:ascii="Nirmala UI" w:hAnsi="Nirmala UI" w:eastAsia="Nirmala UI" w:cs="Nirmala UI"/>
        </w:rPr>
        <w:t>অবতারগ্রহণের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কার্যই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অবতারগ্রহণ</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সত্যটি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অন্তিমকালের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আদিতে</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22 Oktober 1844 menandai kedatangan malaikat ketiga. Apabila seorang malaikat datang, suatu kebenaran khusus yang disesuaikan dengan masa ketika kebenaran itu dimeteraibukakan dibukakan oleh Singa dari suku Yehuda, dan kebenaran itu kemudian menguji generasi di mana kebenaran tersebut dinyatakan. Pada 22 Oktober 1844, kebenaran-kebenaran yang berkaitan dengan pekerjaan Kristus, yang dengan tiba-tiba datang ke bait suci yang telah Ia bangun selama empat puluh enam tahun, dari 1798 hingga 1844, dinyatakan. Pekerjaan penghakiman Kristus, hukum Allah, peranan-Nya sebagai Imam Besar, persoalan tanda binatang itu, dan pemeteraian atas seratus empat puluh empat ribu semuanya dibukakan. Saudari White diperlihatkan bahwa dari antara kebenaran-kebenaran itu, ada satu kebenaran yang oleh Alfa dan Omega ditandai dalam suatu terang yang istimewa.</w:t>
      </w:r>
    </w:p>
    <w:p>
      <w:pPr>
        <w:pStyle w:val="ArticleScripture"/>
        <w:jc w:val="left"/>
      </w:pPr>
      <w:r>
        <w:rPr>
          <w:rFonts w:ascii="Times New Roman" w:hAnsi="Times New Roman" w:eastAsia="Times New Roman" w:cs="Times New Roman"/>
        </w:rPr>
        <w:t>„Bámultam úžasem, když jsem spatřila čtvrté přikázání přímo uprostřed deseti přikázání, obklopené jemnou září světla. Anděl řekl: ‚Je to jediné z deseti, které označuje živého Boha, jenž stvořil nebesa i zemi a všechno, co je v nich. Když byly kladeny základy země, tehdy byl položen i základ soboty.‘“ Testimonies, svazek 1, 75.</w:t>
      </w:r>
    </w:p>
    <w:p>
      <w:pPr>
        <w:pStyle w:val="ArticleBody"/>
        <w:jc w:val="left"/>
      </w:pPr>
      <w:r>
        <w:rPr>
          <w:rFonts w:ascii="Times New Roman" w:hAnsi="Times New Roman" w:eastAsia="Times New Roman" w:cs="Times New Roman"/>
        </w:rPr>
        <w:t>Lé temps d’ scellement des cent quarante-quatre mille était arrivé, mais il devait être retardé par la rébellion de 1863. Le 11 septembre 2001, le processus de scellement commença lorsque Christ, représenté comme l’ange puissant d’Apocalypse chapitre dix-huit, descendit avec en Sa main un livre caché que le peuple de Dieu des derniers jours devait manger. L’Alpha et l’Oméga illustre toujours la fin par le commencement; ainsi, dans les derniers jours, il y eut une autre vérité qui fut mise dans une lumière particulière, et elle était directement liée à la vérité du sabbat qui avait été mise en relief la première fois que Christ tenta de sceller les cent quarante-quatre mille.</w:t>
      </w:r>
    </w:p>
    <w:p>
      <w:pPr>
        <w:pStyle w:val="ArticleScripture"/>
        <w:jc w:val="left"/>
      </w:pPr>
      <w:r>
        <w:rPr>
          <w:rFonts w:ascii="Times New Roman" w:hAnsi="Times New Roman" w:eastAsia="Times New Roman" w:cs="Times New Roman"/>
        </w:rPr>
        <w:t>“Tempus venit ut Daniel stet in sorte sua. Tempus venit ut lux ei data ad mundum procedat sicut numquam antea. Si ii pro quibus Dominus tam multa fecit in luce ambulaverint, cognitio eorum de Christo et de prophetiis ad Ipsum pertinentibus valde augebitur, dum ad finem historiae huius terrae appropinquant.</w:t>
      </w:r>
    </w:p>
    <w:p>
      <w:pPr>
        <w:pStyle w:val="ArticleScripture"/>
        <w:jc w:val="left"/>
      </w:pPr>
      <w:r>
        <w:rPr>
          <w:rFonts w:ascii="Times New Roman" w:hAnsi="Times New Roman" w:eastAsia="Times New Roman" w:cs="Times New Roman"/>
        </w:rPr>
        <w:t>“Cei care au părtășie cu Dumnezeu umblă în lumina Soarelui Neprihănirii. Ei nu-L necinstesc pe Răscumpărătorul lor prin stricarea căii lor înaintea lui Dumnezeu. Lumina cerească strălucește asupra lor. Ei sunt de o valoare infinită în ochii lui Dumnezeu, căci sunt una cu Hristos. Pentru ei, Cuvântul lui Dumnezeu este de o frumusețe și o grație neîntrecute. Ei îi văd însemnătatea. Adevărul le este descoperit. Doctrina întrupării este învăluită într-o blândă strălucire. Ei văd că Scriptura este cheia care descuie toate tainele și dezleagă toate dificultățile. Cei care n-au fost dispuși să primească lumina și să umble în lumină nu vor putea înțelege taina evlaviei, dar cei care n-au șovăit să-și ia crucea și să-L urmeze pe Isus vor vedea lumină în lumina lui Dumnezeu.” Manuscript Releases, nr. 21, 406, 407.</w:t>
      </w:r>
    </w:p>
    <w:p>
      <w:pPr>
        <w:pStyle w:val="ArticleBody"/>
        <w:jc w:val="left"/>
      </w:pPr>
      <w:r>
        <w:rPr>
          <w:rFonts w:ascii="Times New Roman" w:hAnsi="Times New Roman" w:eastAsia="Times New Roman" w:cs="Times New Roman"/>
        </w:rPr>
        <w:t>L’enseignement de l’incarnation est cette vérité que la Divinité unie à l’humanité ne pèche pas, et le signe de ceux qui, dans les derniers jours, sont parvenus à cette expérience, c’est le sabbat.</w:t>
      </w:r>
    </w:p>
    <w:p>
      <w:pPr>
        <w:pStyle w:val="ArticleScripture"/>
        <w:jc w:val="left"/>
      </w:pPr>
      <w:r>
        <w:rPr>
          <w:rFonts w:ascii="Times New Roman" w:hAnsi="Times New Roman" w:eastAsia="Times New Roman" w:cs="Times New Roman"/>
        </w:rPr>
        <w:t>De plus, je leur donnai aussi mes sabbats, pour être un signe entre moi et eux, afin qu’ils sachent que je suis l’Éternel qui les sanctifie. Ézéchiel 20:12.</w:t>
      </w:r>
    </w:p>
    <w:p>
      <w:pPr>
        <w:pStyle w:val="ArticleBody"/>
        <w:jc w:val="left"/>
      </w:pPr>
      <w:r>
        <w:rPr>
          <w:rFonts w:ascii="Times New Roman" w:hAnsi="Times New Roman" w:eastAsia="Times New Roman" w:cs="Times New Roman"/>
        </w:rPr>
        <w:t>Ndị otu narị puku iri anọ na anọ ka a na-akara akara maka ebighị ebi, ma usoro nke ịkara akara ahụ na-egosi obere oge dị n’isi njedebe nke usoro ịkara akara ahụ, ozugbo tupu iwu ụbọchị Sọnde, mgbe a na-etinye akara ahụ. N’oge dị mkpirikpi ahụ, a na-ejikọta Chi na mmadụ ọnụ, ruo mgbe ebighị ebi.</w:t>
      </w:r>
    </w:p>
    <w:p>
      <w:pPr>
        <w:pStyle w:val="ArticleScripture"/>
        <w:jc w:val="left"/>
      </w:pPr>
      <w:r>
        <w:rPr>
          <w:rFonts w:ascii="Times New Roman" w:hAnsi="Times New Roman" w:eastAsia="Times New Roman" w:cs="Times New Roman"/>
        </w:rPr>
        <w:t>“Unatendeni nini, ndugu, katika kazi kuu ya matayarisho? Wale wanaojiunga na ulimwengu wanapokea chapa ya ulimwengu na kujiandaa kwa alama ya mnyama. Wale wasiojiamini nafsi zao, wanaojinyenyekeza mbele za Mungu na kuzitakasa nafsi zao kwa kuitii kweli, hao wanapokea chapa ya mbinguni na kujiandaa kwa muhuri wa Mungu katika vipaji vya nyuso zao. Wakati amri itakapotoka na chapa kuwekwa, tabia yao itabaki safi na bila waa milele.</w:t>
      </w:r>
    </w:p>
    <w:p>
      <w:pPr>
        <w:pStyle w:val="ArticleScripture"/>
        <w:jc w:val="left"/>
      </w:pPr>
      <w:r>
        <w:rPr>
          <w:rFonts w:ascii="Times New Roman" w:hAnsi="Times New Roman" w:eastAsia="Times New Roman" w:cs="Times New Roman"/>
        </w:rPr>
        <w:t>«الآن هو وقتُ الاستعداد. إن ختمَ الله لن يُوضَع قط على جبين رجلٍ أو امرأةٍ نجسين. ولن يُوضَع قط على جبين الرجل أو المرأة الطموحين المحبَّين للعالم. ولن يُوضَع قط على جبين رجالٍ أو نساءٍ ذوي ألسنةٍ كاذبة أو قلوبٍ ماكرة. جميع الذين ينالون الختم يجب أن يكونوا بلا دنسٍ أمام الله—مرشَّحين للسماء. امضوا قُدُمًا، يا إخوتي وأخواتي. لا أستطيع في هذا الوقت إلا أن أكتب بإيجازٍ عن هذه النقاط، مكتفيًا بمجرد لفت انتباهكم إلى ضرورة الاستعداد. فتِّشوا الكتبَ المقدسة بأنفسكم، لكي تدركوا الرهبة الجليلة للساعة الحاضرة». الشهادات، المجلد 5، 216.</w:t>
      </w:r>
    </w:p>
    <w:p>
      <w:pPr>
        <w:pStyle w:val="ArticleBody"/>
        <w:jc w:val="left"/>
      </w:pPr>
      <w:r>
        <w:rPr>
          <w:rFonts w:ascii="Microsoft YaHei" w:hAnsi="Microsoft YaHei" w:eastAsia="Microsoft YaHei" w:cs="Microsoft YaHei"/>
        </w:rPr>
        <w:t>该段前文或许会使人以为印记是在星期日法令颁布时盖上的</w:t>
      </w:r>
      <w:r>
        <w:rPr>
          <w:rFonts w:ascii="Times New Roman" w:hAnsi="Times New Roman" w:eastAsia="Times New Roman" w:cs="Times New Roman"/>
        </w:rPr>
        <w:t>,</w:t>
      </w:r>
      <w:r>
        <w:rPr>
          <w:rFonts w:ascii="Microsoft YaHei" w:hAnsi="Microsoft YaHei" w:eastAsia="Microsoft YaHei" w:cs="Microsoft YaHei"/>
        </w:rPr>
        <w:t>但事实并非如此</w:t>
      </w:r>
      <w:r>
        <w:rPr>
          <w:rFonts w:ascii="Times New Roman" w:hAnsi="Times New Roman" w:eastAsia="Times New Roman" w:cs="Times New Roman"/>
        </w:rPr>
        <w:t>.</w:t>
      </w:r>
      <w:r>
        <w:rPr>
          <w:rFonts w:ascii="Microsoft YaHei" w:hAnsi="Microsoft YaHei" w:eastAsia="Microsoft YaHei" w:cs="Microsoft YaHei"/>
        </w:rPr>
        <w:t>怀爱伦姊妹明确指出</w:t>
      </w:r>
      <w:r>
        <w:rPr>
          <w:rFonts w:ascii="Times New Roman" w:hAnsi="Times New Roman" w:eastAsia="Times New Roman" w:cs="Times New Roman"/>
        </w:rPr>
        <w:t>,</w:t>
      </w:r>
      <w:r>
        <w:rPr>
          <w:rFonts w:ascii="Microsoft YaHei" w:hAnsi="Microsoft YaHei" w:eastAsia="Microsoft YaHei" w:cs="Microsoft YaHei"/>
        </w:rPr>
        <w:t>星期日法令乃是一场重大的危机</w:t>
      </w:r>
      <w:r>
        <w:rPr>
          <w:rFonts w:ascii="Times New Roman" w:hAnsi="Times New Roman" w:eastAsia="Times New Roman" w:cs="Times New Roman"/>
        </w:rPr>
        <w:t>;</w:t>
      </w:r>
      <w:r>
        <w:rPr>
          <w:rFonts w:ascii="Microsoft YaHei" w:hAnsi="Microsoft YaHei" w:eastAsia="Microsoft YaHei" w:cs="Microsoft YaHei"/>
        </w:rPr>
        <w:t>她也同样清楚地教导说</w:t>
      </w:r>
      <w:r>
        <w:rPr>
          <w:rFonts w:ascii="Times New Roman" w:hAnsi="Times New Roman" w:eastAsia="Times New Roman" w:cs="Times New Roman"/>
        </w:rPr>
        <w:t>,</w:t>
      </w:r>
      <w:r>
        <w:rPr>
          <w:rFonts w:ascii="Microsoft YaHei" w:hAnsi="Microsoft YaHei" w:eastAsia="Microsoft YaHei" w:cs="Microsoft YaHei"/>
        </w:rPr>
        <w:t>品格是在危机中显明出来的</w:t>
      </w:r>
      <w:r>
        <w:rPr>
          <w:rFonts w:ascii="Times New Roman" w:hAnsi="Times New Roman" w:eastAsia="Times New Roman" w:cs="Times New Roman"/>
        </w:rPr>
        <w:t>,</w:t>
      </w:r>
      <w:r>
        <w:rPr>
          <w:rFonts w:ascii="Microsoft YaHei" w:hAnsi="Microsoft YaHei" w:eastAsia="Microsoft YaHei" w:cs="Microsoft YaHei"/>
        </w:rPr>
        <w:t>却绝不是在危机中形成出来的</w:t>
      </w:r>
      <w:r>
        <w:rPr>
          <w:rFonts w:ascii="Times New Roman" w:hAnsi="Times New Roman" w:eastAsia="Times New Roman" w:cs="Times New Roman"/>
        </w:rPr>
        <w:t>.</w:t>
      </w:r>
      <w:r>
        <w:rPr>
          <w:rFonts w:ascii="Microsoft YaHei" w:hAnsi="Microsoft YaHei" w:eastAsia="Microsoft YaHei" w:cs="Microsoft YaHei"/>
        </w:rPr>
        <w:t>所谓印记是在星期日法令之时盖上</w:t>
      </w:r>
      <w:r>
        <w:rPr>
          <w:rFonts w:ascii="Times New Roman" w:hAnsi="Times New Roman" w:eastAsia="Times New Roman" w:cs="Times New Roman"/>
        </w:rPr>
        <w:t>,</w:t>
      </w:r>
      <w:r>
        <w:rPr>
          <w:rFonts w:ascii="Microsoft YaHei" w:hAnsi="Microsoft YaHei" w:eastAsia="Microsoft YaHei" w:cs="Microsoft YaHei"/>
        </w:rPr>
        <w:t>乃是指那时印记变得可见</w:t>
      </w:r>
      <w:r>
        <w:rPr>
          <w:rFonts w:ascii="Times New Roman" w:hAnsi="Times New Roman" w:eastAsia="Times New Roman" w:cs="Times New Roman"/>
        </w:rPr>
        <w:t>,</w:t>
      </w:r>
      <w:r>
        <w:rPr>
          <w:rFonts w:ascii="Microsoft YaHei" w:hAnsi="Microsoft YaHei" w:eastAsia="Microsoft YaHei" w:cs="Microsoft YaHei"/>
        </w:rPr>
        <w:t>因为凡在那时已有这印记的人</w:t>
      </w:r>
      <w:r>
        <w:rPr>
          <w:rFonts w:ascii="Times New Roman" w:hAnsi="Times New Roman" w:eastAsia="Times New Roman" w:cs="Times New Roman"/>
        </w:rPr>
        <w:t>,</w:t>
      </w:r>
      <w:r>
        <w:rPr>
          <w:rFonts w:ascii="Microsoft YaHei" w:hAnsi="Microsoft YaHei" w:eastAsia="Microsoft YaHei" w:cs="Microsoft YaHei"/>
        </w:rPr>
        <w:t>都要被高举起来</w:t>
      </w:r>
      <w:r>
        <w:rPr>
          <w:rFonts w:ascii="Times New Roman" w:hAnsi="Times New Roman" w:eastAsia="Times New Roman" w:cs="Times New Roman"/>
        </w:rPr>
        <w:t>,</w:t>
      </w:r>
      <w:r>
        <w:rPr>
          <w:rFonts w:ascii="Microsoft YaHei" w:hAnsi="Microsoft YaHei" w:eastAsia="Microsoft YaHei" w:cs="Microsoft YaHei"/>
        </w:rPr>
        <w:t>作为旌旗</w:t>
      </w:r>
      <w:r>
        <w:rPr>
          <w:rFonts w:ascii="Times New Roman" w:hAnsi="Times New Roman" w:eastAsia="Times New Roman" w:cs="Times New Roman"/>
        </w:rPr>
        <w:t>.</w:t>
      </w:r>
      <w:r>
        <w:rPr>
          <w:rFonts w:ascii="Microsoft YaHei" w:hAnsi="Microsoft YaHei" w:eastAsia="Microsoft YaHei" w:cs="Microsoft YaHei"/>
        </w:rPr>
        <w:t>印记是在恩典时期结束之前不久的一段短暂时期内盖上的</w:t>
      </w:r>
      <w:r>
        <w:rPr>
          <w:rFonts w:ascii="Times New Roman" w:hAnsi="Times New Roman" w:eastAsia="Times New Roman" w:cs="Times New Roman"/>
        </w:rPr>
        <w:t>;</w:t>
      </w:r>
      <w:r>
        <w:rPr>
          <w:rFonts w:ascii="Microsoft YaHei" w:hAnsi="Microsoft YaHei" w:eastAsia="Microsoft YaHei" w:cs="Microsoft YaHei"/>
        </w:rPr>
        <w:t>对于守安息日的人而言</w:t>
      </w:r>
      <w:r>
        <w:rPr>
          <w:rFonts w:ascii="Times New Roman" w:hAnsi="Times New Roman" w:eastAsia="Times New Roman" w:cs="Times New Roman"/>
        </w:rPr>
        <w:t>,</w:t>
      </w:r>
      <w:r>
        <w:rPr>
          <w:rFonts w:ascii="Microsoft YaHei" w:hAnsi="Microsoft YaHei" w:eastAsia="Microsoft YaHei" w:cs="Microsoft YaHei"/>
        </w:rPr>
        <w:t>他们的恩典时期在星期日法令之时结束</w:t>
      </w:r>
      <w:r>
        <w:rPr>
          <w:rFonts w:ascii="Times New Roman" w:hAnsi="Times New Roman" w:eastAsia="Times New Roman" w:cs="Times New Roman"/>
        </w:rPr>
        <w:t>.</w:t>
      </w:r>
      <w:r>
        <w:rPr>
          <w:rFonts w:ascii="Microsoft YaHei" w:hAnsi="Microsoft YaHei" w:eastAsia="Microsoft YaHei" w:cs="Microsoft YaHei"/>
        </w:rPr>
        <w:t>盖印的工作始于</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而当时并没有人领受上帝的印记</w:t>
      </w:r>
      <w:r>
        <w:rPr>
          <w:rFonts w:ascii="Times New Roman" w:hAnsi="Times New Roman" w:eastAsia="Times New Roman" w:cs="Times New Roman"/>
        </w:rPr>
        <w:t>;</w:t>
      </w:r>
      <w:r>
        <w:rPr>
          <w:rFonts w:ascii="Microsoft YaHei" w:hAnsi="Microsoft YaHei" w:eastAsia="Microsoft YaHei" w:cs="Microsoft YaHei"/>
        </w:rPr>
        <w:t>因为正如</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日之后那段时期所表明的那样</w:t>
      </w:r>
      <w:r>
        <w:rPr>
          <w:rFonts w:ascii="Times New Roman" w:hAnsi="Times New Roman" w:eastAsia="Times New Roman" w:cs="Times New Roman"/>
        </w:rPr>
        <w:t>,</w:t>
      </w:r>
      <w:r>
        <w:rPr>
          <w:rFonts w:ascii="Microsoft YaHei" w:hAnsi="Microsoft YaHei" w:eastAsia="Microsoft YaHei" w:cs="Microsoft YaHei"/>
        </w:rPr>
        <w:t>首先必须有一个试验的过程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در هر جنبش اصلاحی، هنگامی که نماد الهی فرود می‌آید تا پیامی را که در زمان آخر گشوده شده بود توان بخشد، فرایندی از آزمون آغاز می‌شود. هنگامی که میکائیل فرود آمد تا کورش را برای پیش رفتن با فرمان نخست تقویت کند، یهودیان آنگاه آزموده شدند که آیا خانه‌ای را که در هفتاد سال گذشته در آن زیسته بودند ترک خواهند کرد و به شهری ویران بازخواهند گشت و آن را از نو بنا خواهند نمود. هنگامی که روح‌القدس در تعمید مسیح فرود آمد، یهودیان در موضوع مسیحا آزموده شدند. هنگامی که فرشتهٔ نیرومندِ مکاشفه ده در 11 اوت 1840 فرود آمد، آن نسل آزموده شد که آیا کتاب کوچک را خواهند خورد، و هر آنچه را که کتاب کوچک نمایندگی می‌کرد.</w:t>
      </w:r>
    </w:p>
    <w:p>
      <w:pPr>
        <w:pStyle w:val="ArticleBody"/>
        <w:jc w:val="left"/>
      </w:pPr>
      <w:r>
        <w:rPr>
          <w:rFonts w:ascii="Times New Roman" w:hAnsi="Times New Roman" w:eastAsia="Times New Roman" w:cs="Times New Roman"/>
        </w:rPr>
        <w:t>Ein Prüfungsprozess begann am 11. August 1840 und brachte zwei Klassen von Anbetern hervor; und die Klasse, die dem Lamm in das Allerheiligste folgte, waren Anwärter darauf, unter den Hundertvierundvierzigtausend zu sein. Die abschließende Prüfung für jene Generation, die den Prüfungsprozess nicht bestand, begann mit dem Eintreffen vermehrten Lichts über die „sieben Zeiten“ aus Levitikus sechsundzwanzig. Von 1856 bis 1863 kennzeichnete die laodizeische Botschaft einen letzten Zeitabschnitt innerhalb des Zeitraums, der mit dem Kommen des dritten Engels am 22. Oktober 1844 begonnen hatte. Jener Zeitraum wird durch die Verse dreizehn bis fünfzehn des elften Kapitels Daniels dargestellt.</w:t>
      </w:r>
    </w:p>
    <w:p>
      <w:pPr>
        <w:pStyle w:val="ArticleBody"/>
        <w:jc w:val="left"/>
      </w:pPr>
      <w:r>
        <w:rPr>
          <w:rFonts w:ascii="Times New Roman" w:hAnsi="Times New Roman" w:eastAsia="Times New Roman" w:cs="Times New Roman"/>
        </w:rPr>
        <w:t>A nnɔnhyɛsɛm yi mu adesua yi, yɛbɛtoa so wɔ asɛm no a edi hɔ no mu.</w:t>
      </w:r>
    </w:p>
    <w:p>
      <w:pPr>
        <w:pStyle w:val="ArticleScripture"/>
        <w:jc w:val="left"/>
      </w:pPr>
      <w:r>
        <w:rPr>
          <w:rFonts w:ascii="Times New Roman" w:hAnsi="Times New Roman" w:eastAsia="Times New Roman" w:cs="Times New Roman"/>
        </w:rPr>
        <w:t>«Au commencement était la Parole, et la Parole était avec Dieu, et la Parole était Dieu. Elle était au commencement avec Dieu. Toutes choses ont été faites par elle, et rien de ce qui a été fait n’a été fait sans elle. En elle était la vie, et la vie était la lumière des hommes. Et la lumière luit dans les ténèbres, et les ténèbres ne l’ont point comprise.» «Et la Parole a été faite chair, et elle a habité parmi nous, (et nous avons contemplé sa gloire, une gloire comme celle du Fils unique venu du Père,) pleine de grâce et de vérité» (Jean 1:1–5, 14).</w:t>
      </w:r>
    </w:p>
    <w:p>
      <w:pPr>
        <w:pStyle w:val="ArticleScripture"/>
        <w:jc w:val="left"/>
      </w:pPr>
      <w:r>
        <w:rPr>
          <w:rFonts w:ascii="Times New Roman" w:hAnsi="Times New Roman" w:eastAsia="Times New Roman" w:cs="Times New Roman"/>
        </w:rPr>
        <w:t>« Ce chapitre expose le caractère et l’importance de l’œuvre du Christ. Comme quelqu’un qui comprend son sujet, Jean attribue toute puissance au Christ et parle de sa grandeur et de sa majesté. Il fait jaillir de divins rayons de précieuse vérité, comme la lumière émane du soleil. Il présente le Christ comme le seul Médiateur entre Dieu et l’humanité. »</w:t>
      </w:r>
    </w:p>
    <w:p>
      <w:pPr>
        <w:pStyle w:val="ArticleScripture"/>
        <w:jc w:val="left"/>
      </w:pPr>
      <w:r>
        <w:rPr>
          <w:rFonts w:ascii="Times New Roman" w:hAnsi="Times New Roman" w:eastAsia="Times New Roman" w:cs="Times New Roman"/>
        </w:rPr>
        <w:t>“The doctrine of the incarnation of Christ in human flesh is a mystery, ‘even the mystery which hath been hid from ages and from generations’ (Colossians 1:26). It is the great and profound mystery of godliness. ‘The Word was made flesh, and dwelt among us’ (John 1:14). Christ took upon Himself human nature, a nature inferior to His heavenly nature. Nothing so shows the wonderful condescension of God as this. He ‘so loved the world, that he gave his only begotten Son’ (John 3:16). John presents this wonderful subject with such simplicity that all may grasp the ideas set forth, and be enlightened.</w:t>
      </w:r>
    </w:p>
    <w:p>
      <w:pPr>
        <w:pStyle w:val="ArticleScripture"/>
        <w:jc w:val="left"/>
      </w:pPr>
      <w:r>
        <w:rPr>
          <w:rFonts w:ascii="Times New Roman" w:hAnsi="Times New Roman" w:eastAsia="Times New Roman" w:cs="Times New Roman"/>
        </w:rPr>
        <w:t>«Քրիստոսը ձևացնելով չընդունեց մարդկային բնությունը. Նա իսկապես ընդունեց այն։ Նա իրապես ուներ մարդկային բնություն։ «Քանի որ որդիները մարմնի և արյան մասնակից են, Նա ևս նույնպես մասնակից եղավ նույնին» (Եբրայեցիս 2:14)։ Նա Մարիամի Որդին էր. մարդկային ծագմամբ Նա Դավթի սերնդից էր։ Նա հռչակվում է մարդ, այն էլ՝ Մարդ Քրիստոս Հիսուս։ «Այս մարդը,— գրում է Պողոսը,— Մովսեսից ավելի փառքի արժանի համարվեց, որովհետև տունը շինողը ավելի պատիվ ունի, քան տունը» (Եբրայեցիս 3:3)։»</w:t>
      </w:r>
    </w:p>
    <w:p>
      <w:pPr>
        <w:pStyle w:val="ArticleScripture"/>
        <w:jc w:val="left"/>
      </w:pPr>
      <w:r>
        <w:rPr>
          <w:rFonts w:ascii="Times New Roman" w:hAnsi="Times New Roman" w:eastAsia="Times New Roman" w:cs="Times New Roman"/>
        </w:rPr>
        <w:t>“Lekin ingawa Neno la Mungu linasema kuhusu ubinadamu wa Kristo alipokuwa hapa duniani, pia linasema kwa uthabiti kuhusu kuwepo kwake tangu kabla. Neno alikuwapo kama nafsi ya Kiungu, yaani kama Mwana wa Mungu wa milele, katika umoja na uhalisi mmoja na Baba yake. Tangu milele alikuwa Mpatanishi wa agano, yeye ambaye ndani yake mataifa yote ya dunia, Wayahudi na Mataifa pia, kama wangemkubali, yangepata kubarikiwa. ‘Hapo mwanzo kulikuwako Neno, naye Neno alikuwako kwa Mungu, naye Neno alikuwa Mungu’ (John 1:1). Kabla wanadamu au malaika hawajaumbwa, Neno alikuwako kwa Mungu, naye alikuwa Mungu.”</w:t>
      </w:r>
    </w:p>
    <w:p>
      <w:pPr>
        <w:pStyle w:val="ArticleScripture"/>
        <w:jc w:val="left"/>
      </w:pPr>
      <w:r>
        <w:rPr>
          <w:rFonts w:ascii="Times New Roman" w:hAnsi="Times New Roman" w:eastAsia="Times New Roman" w:cs="Times New Roman"/>
        </w:rPr>
        <w:t>‘Dunia dibuat oleh-Nya, “dan tanpa Dia tidak ada sesuatu pun yang telah jadi dari segala yang telah dijadikan” (Yohanes 1:3). Jika Kristus menjadikan segala sesuatu, maka Ia telah ada sebelum segala sesuatu. Perkataan yang diucapkan mengenai hal ini begitu tegas sehingga tidak seorang pun perlu dibiarkan dalam keraguan. Kristus pada hakikat-Nya adalah Allah, dan dalam arti yang setinggi-tingginya. Ia bersama-sama dengan Allah sejak kekekalan, Allah atas semuanya, terpuji selama-lamanya.</w:t>
      </w:r>
    </w:p>
    <w:p>
      <w:pPr>
        <w:pStyle w:val="ArticleScripture"/>
        <w:jc w:val="left"/>
      </w:pPr>
      <w:r>
        <w:rPr>
          <w:rFonts w:ascii="Times New Roman" w:hAnsi="Times New Roman" w:eastAsia="Times New Roman" w:cs="Times New Roman"/>
        </w:rPr>
        <w:t>“</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ঐশ্বরিক</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অনন্তকাল</w:t>
      </w:r>
      <w:r>
        <w:rPr>
          <w:rFonts w:ascii="Times New Roman" w:hAnsi="Times New Roman" w:eastAsia="Times New Roman" w:cs="Times New Roman"/>
        </w:rPr>
        <w:t xml:space="preserve"> </w:t>
      </w:r>
      <w:r>
        <w:rPr>
          <w:rFonts w:ascii="Nirmala UI" w:hAnsi="Nirmala UI" w:eastAsia="Nirmala UI" w:cs="Nirmala UI"/>
        </w:rPr>
        <w:t>হতেই</w:t>
      </w:r>
      <w:r>
        <w:rPr>
          <w:rFonts w:ascii="Times New Roman" w:hAnsi="Times New Roman" w:eastAsia="Times New Roman" w:cs="Times New Roman"/>
        </w:rPr>
        <w:t xml:space="preserve"> </w:t>
      </w:r>
      <w:r>
        <w:rPr>
          <w:rFonts w:ascii="Nirmala UI" w:hAnsi="Nirmala UI" w:eastAsia="Nirmala UI" w:cs="Nirmala UI"/>
        </w:rPr>
        <w:t>অস্তিত্বশীল</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স্বতন্ত্র</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অতুলনীয়</w:t>
      </w:r>
      <w:r>
        <w:rPr>
          <w:rFonts w:ascii="Times New Roman" w:hAnsi="Times New Roman" w:eastAsia="Times New Roman" w:cs="Times New Roman"/>
        </w:rPr>
        <w:t xml:space="preserve"> </w:t>
      </w:r>
      <w:r>
        <w:rPr>
          <w:rFonts w:ascii="Nirmala UI" w:hAnsi="Nirmala UI" w:eastAsia="Nirmala UI" w:cs="Nirmala UI"/>
        </w:rPr>
        <w:t>মহিমা।</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বুদ্ধিমত্তাসম্পন্ন</w:t>
      </w:r>
      <w:r>
        <w:rPr>
          <w:rFonts w:ascii="Times New Roman" w:hAnsi="Times New Roman" w:eastAsia="Times New Roman" w:cs="Times New Roman"/>
        </w:rPr>
        <w:t xml:space="preserve"> </w:t>
      </w:r>
      <w:r>
        <w:rPr>
          <w:rFonts w:ascii="Nirmala UI" w:hAnsi="Nirmala UI" w:eastAsia="Nirmala UI" w:cs="Nirmala UI"/>
        </w:rPr>
        <w:t>সত্তাগণের</w:t>
      </w:r>
      <w:r>
        <w:rPr>
          <w:rFonts w:ascii="Times New Roman" w:hAnsi="Times New Roman" w:eastAsia="Times New Roman" w:cs="Times New Roman"/>
        </w:rPr>
        <w:t xml:space="preserve"> </w:t>
      </w:r>
      <w:r>
        <w:rPr>
          <w:rFonts w:ascii="Nirmala UI" w:hAnsi="Nirmala UI" w:eastAsia="Nirmala UI" w:cs="Nirmala UI"/>
        </w:rPr>
        <w:t>অধিনায়ক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স্বর্গদূতদের</w:t>
      </w:r>
      <w:r>
        <w:rPr>
          <w:rFonts w:ascii="Times New Roman" w:hAnsi="Times New Roman" w:eastAsia="Times New Roman" w:cs="Times New Roman"/>
        </w:rPr>
        <w:t xml:space="preserve"> </w:t>
      </w:r>
      <w:r>
        <w:rPr>
          <w:rFonts w:ascii="Nirmala UI" w:hAnsi="Nirmala UI" w:eastAsia="Nirmala UI" w:cs="Nirmala UI"/>
        </w:rPr>
        <w:t>উপাসনাময়</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ন্যায্য</w:t>
      </w:r>
      <w:r>
        <w:rPr>
          <w:rFonts w:ascii="Times New Roman" w:hAnsi="Times New Roman" w:eastAsia="Times New Roman" w:cs="Times New Roman"/>
        </w:rPr>
        <w:t xml:space="preserve"> </w:t>
      </w:r>
      <w:r>
        <w:rPr>
          <w:rFonts w:ascii="Nirmala UI" w:hAnsi="Nirmala UI" w:eastAsia="Nirmala UI" w:cs="Nirmala UI"/>
        </w:rPr>
        <w:t>অধিকারেরূপে</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হরণ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পথের</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প্রাচীনকালের</w:t>
      </w:r>
      <w:r>
        <w:rPr>
          <w:rFonts w:ascii="Times New Roman" w:hAnsi="Times New Roman" w:eastAsia="Times New Roman" w:cs="Times New Roman"/>
        </w:rPr>
        <w:t xml:space="preserve"> </w:t>
      </w:r>
      <w:r>
        <w:rPr>
          <w:rFonts w:ascii="Nirmala UI" w:hAnsi="Nirmala UI" w:eastAsia="Nirmala UI" w:cs="Nirmala UI"/>
        </w:rPr>
        <w:t>কর্মসমূহের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অনাদিকাল</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আদিকাল</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সৃষ্টিরও</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অতলসমূহ</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হইয়াছিলাম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জলপূর্ণ</w:t>
      </w:r>
      <w:r>
        <w:rPr>
          <w:rFonts w:ascii="Times New Roman" w:hAnsi="Times New Roman" w:eastAsia="Times New Roman" w:cs="Times New Roman"/>
        </w:rPr>
        <w:t xml:space="preserve"> </w:t>
      </w:r>
      <w:r>
        <w:rPr>
          <w:rFonts w:ascii="Nirmala UI" w:hAnsi="Nirmala UI" w:eastAsia="Nirmala UI" w:cs="Nirmala UI"/>
        </w:rPr>
        <w:t>উচ্ছ্বসিত</w:t>
      </w:r>
      <w:r>
        <w:rPr>
          <w:rFonts w:ascii="Times New Roman" w:hAnsi="Times New Roman" w:eastAsia="Times New Roman" w:cs="Times New Roman"/>
        </w:rPr>
        <w:t xml:space="preserve"> </w:t>
      </w:r>
      <w:r>
        <w:rPr>
          <w:rFonts w:ascii="Nirmala UI" w:hAnsi="Nirmala UI" w:eastAsia="Nirmala UI" w:cs="Nirmala UI"/>
        </w:rPr>
        <w:t>প্রস্রবণসমূহ</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পর্বতমালা</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পর্বতশ্রেণীসমূহেরও</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হইয়াছিলাম</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ক্ষেত্রসমূহ</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ধূলির</w:t>
      </w:r>
      <w:r>
        <w:rPr>
          <w:rFonts w:ascii="Times New Roman" w:hAnsi="Times New Roman" w:eastAsia="Times New Roman" w:cs="Times New Roman"/>
        </w:rPr>
        <w:t xml:space="preserve"> </w:t>
      </w:r>
      <w:r>
        <w:rPr>
          <w:rFonts w:ascii="Nirmala UI" w:hAnsi="Nirmala UI" w:eastAsia="Nirmala UI" w:cs="Nirmala UI"/>
        </w:rPr>
        <w:t>শ্রেষ্ঠ</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আকাশমণ্ডল</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করিতেছিলেন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ছিলাম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গভীরের</w:t>
      </w:r>
      <w:r>
        <w:rPr>
          <w:rFonts w:ascii="Times New Roman" w:hAnsi="Times New Roman" w:eastAsia="Times New Roman" w:cs="Times New Roman"/>
        </w:rPr>
        <w:t xml:space="preserve"> </w:t>
      </w:r>
      <w:r>
        <w:rPr>
          <w:rFonts w:ascii="Nirmala UI" w:hAnsi="Nirmala UI" w:eastAsia="Nirmala UI" w:cs="Nirmala UI"/>
        </w:rPr>
        <w:t>পৃষ্ঠে</w:t>
      </w:r>
      <w:r>
        <w:rPr>
          <w:rFonts w:ascii="Times New Roman" w:hAnsi="Times New Roman" w:eastAsia="Times New Roman" w:cs="Times New Roman"/>
        </w:rPr>
        <w:t xml:space="preserve"> </w:t>
      </w:r>
      <w:r>
        <w:rPr>
          <w:rFonts w:ascii="Nirmala UI" w:hAnsi="Nirmala UI" w:eastAsia="Nirmala UI" w:cs="Nirmala UI"/>
        </w:rPr>
        <w:t>বৃত্তরেখা</w:t>
      </w:r>
      <w:r>
        <w:rPr>
          <w:rFonts w:ascii="Times New Roman" w:hAnsi="Times New Roman" w:eastAsia="Times New Roman" w:cs="Times New Roman"/>
        </w:rPr>
        <w:t xml:space="preserve"> </w:t>
      </w:r>
      <w:r>
        <w:rPr>
          <w:rFonts w:ascii="Nirmala UI" w:hAnsi="Nirmala UI" w:eastAsia="Nirmala UI" w:cs="Nirmala UI"/>
        </w:rPr>
        <w:t>অঙ্কন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w:t>
      </w:r>
      <w:r>
        <w:rPr>
          <w:rFonts w:ascii="Nirmala UI" w:hAnsi="Nirmala UI" w:eastAsia="Nirmala UI" w:cs="Nirmala UI"/>
        </w:rPr>
        <w:t>হিতোপদেশ</w:t>
      </w:r>
      <w:r>
        <w:rPr>
          <w:rFonts w:ascii="Times New Roman" w:hAnsi="Times New Roman" w:eastAsia="Times New Roman" w:cs="Times New Roman"/>
        </w:rPr>
        <w:t xml:space="preserve"> 8:22–27)</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katika ukweli kwamba Kristo alikuwa mmoja na Baba kabla ya kuwekwa misingi ya ulimwengu, mna nuru na utukufu. Hii ndiyo nuru ing’aayo mahali penye giza, ikipafanya kung’aa kwa utukufu wa kimungu wa asili. Ukweli huu, ambao ndani yake wenyewe ni fumbo lisilo na kikomo, hufafanua kweli nyingine za fumbo ambazo vinginevyo haziwezi kuelezwa, huku wenyewe umehifadhiwa ndani ya nuru isiyoweza kukaribiwa wala kueleweka.”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quatre-vingt-trois</dc:title>
  <dc:subject>Die ewige Grundlage: Christus in der prophetischen Geschichte und im Glauben des Gläubigen</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