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quatre-vingt-quatre</w:t>
      </w:r>
    </w:p>
    <w:p>
      <w:pPr>
        <w:pStyle w:val="ArticleSubtitle"/>
        <w:jc w:val="left"/>
      </w:pPr>
      <w:r>
        <w:rPr>
          <w:rFonts w:ascii="Arial" w:hAnsi="Arial" w:eastAsia="Arial" w:cs="Arial"/>
        </w:rPr>
        <w:t>El Sabbat y la Encarnación: Piedras angulares del proceso de sellamiento millerita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Nirmala UI" w:hAnsi="Nirmala UI" w:eastAsia="Nirmala UI" w:cs="Nirmala UI"/>
        </w:rPr>
        <w:t>પરીક્ષણ</w:t>
      </w:r>
      <w:r>
        <w:rPr>
          <w:rFonts w:ascii="Times New Roman" w:hAnsi="Times New Roman" w:eastAsia="Times New Roman" w:cs="Times New Roman"/>
        </w:rPr>
        <w:t xml:space="preserve"> </w:t>
      </w:r>
      <w:r>
        <w:rPr>
          <w:rFonts w:ascii="Nirmala UI" w:hAnsi="Nirmala UI" w:eastAsia="Nirmala UI" w:cs="Nirmala UI"/>
        </w:rPr>
        <w:t>પ્રક્રિયામાં</w:t>
      </w:r>
      <w:r>
        <w:rPr>
          <w:rFonts w:ascii="Times New Roman" w:hAnsi="Times New Roman" w:eastAsia="Times New Roman" w:cs="Times New Roman"/>
        </w:rPr>
        <w:t xml:space="preserve"> </w:t>
      </w:r>
      <w:r>
        <w:rPr>
          <w:rFonts w:ascii="Nirmala UI" w:hAnsi="Nirmala UI" w:eastAsia="Nirmala UI" w:cs="Nirmala UI"/>
        </w:rPr>
        <w:t>નિષ્ફળ</w:t>
      </w:r>
      <w:r>
        <w:rPr>
          <w:rFonts w:ascii="Times New Roman" w:hAnsi="Times New Roman" w:eastAsia="Times New Roman" w:cs="Times New Roman"/>
        </w:rPr>
        <w:t xml:space="preserve"> </w:t>
      </w:r>
      <w:r>
        <w:rPr>
          <w:rFonts w:ascii="Nirmala UI" w:hAnsi="Nirmala UI" w:eastAsia="Nirmala UI" w:cs="Nirmala UI"/>
        </w:rPr>
        <w:t>ગયેલી</w:t>
      </w:r>
      <w:r>
        <w:rPr>
          <w:rFonts w:ascii="Times New Roman" w:hAnsi="Times New Roman" w:eastAsia="Times New Roman" w:cs="Times New Roman"/>
        </w:rPr>
        <w:t xml:space="preserve"> </w:t>
      </w:r>
      <w:r>
        <w:rPr>
          <w:rFonts w:ascii="Nirmala UI" w:hAnsi="Nirmala UI" w:eastAsia="Nirmala UI" w:cs="Nirmala UI"/>
        </w:rPr>
        <w:t>મિલરાઇટ</w:t>
      </w:r>
      <w:r>
        <w:rPr>
          <w:rFonts w:ascii="Times New Roman" w:hAnsi="Times New Roman" w:eastAsia="Times New Roman" w:cs="Times New Roman"/>
        </w:rPr>
        <w:t xml:space="preserve"> </w:t>
      </w:r>
      <w:r>
        <w:rPr>
          <w:rFonts w:ascii="Nirmala UI" w:hAnsi="Nirmala UI" w:eastAsia="Nirmala UI" w:cs="Nirmala UI"/>
        </w:rPr>
        <w:t>પેઢી</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લેવિટિકસ</w:t>
      </w:r>
      <w:r>
        <w:rPr>
          <w:rFonts w:ascii="Times New Roman" w:hAnsi="Times New Roman" w:eastAsia="Times New Roman" w:cs="Times New Roman"/>
        </w:rPr>
        <w:t xml:space="preserve"> </w:t>
      </w:r>
      <w:r>
        <w:rPr>
          <w:rFonts w:ascii="Nirmala UI" w:hAnsi="Nirmala UI" w:eastAsia="Nirmala UI" w:cs="Nirmala UI"/>
        </w:rPr>
        <w:t>છવીસના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વધારેલા</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આગમન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1856</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1856</w:t>
      </w:r>
      <w:r>
        <w:rPr>
          <w:rFonts w:ascii="Nirmala UI" w:hAnsi="Nirmala UI" w:eastAsia="Nirmala UI" w:cs="Nirmala UI"/>
        </w:rPr>
        <w:t>થી</w:t>
      </w:r>
      <w:r>
        <w:rPr>
          <w:rFonts w:ascii="Times New Roman" w:hAnsi="Times New Roman" w:eastAsia="Times New Roman" w:cs="Times New Roman"/>
        </w:rPr>
        <w:t xml:space="preserve"> 1863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લાઓદિકિયાનો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સમયગાળામાં</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અવધિ</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ચિહ્નિત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22 </w:t>
      </w:r>
      <w:r>
        <w:rPr>
          <w:rFonts w:ascii="Nirmala UI" w:hAnsi="Nirmala UI" w:eastAsia="Nirmala UI" w:cs="Nirmala UI"/>
        </w:rPr>
        <w:t>ઑક્ટોબર</w:t>
      </w:r>
      <w:r>
        <w:rPr>
          <w:rFonts w:ascii="Times New Roman" w:hAnsi="Times New Roman" w:eastAsia="Times New Roman" w:cs="Times New Roman"/>
        </w:rPr>
        <w:t>, 1844</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આગમનથી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સમયની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અવધિ</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અગિયારના</w:t>
      </w:r>
      <w:r>
        <w:rPr>
          <w:rFonts w:ascii="Times New Roman" w:hAnsi="Times New Roman" w:eastAsia="Times New Roman" w:cs="Times New Roman"/>
        </w:rPr>
        <w:t xml:space="preserve"> </w:t>
      </w:r>
      <w:r>
        <w:rPr>
          <w:rFonts w:ascii="Nirmala UI" w:hAnsi="Nirmala UI" w:eastAsia="Nirmala UI" w:cs="Nirmala UI"/>
        </w:rPr>
        <w:t>તેરથી</w:t>
      </w:r>
      <w:r>
        <w:rPr>
          <w:rFonts w:ascii="Times New Roman" w:hAnsi="Times New Roman" w:eastAsia="Times New Roman" w:cs="Times New Roman"/>
        </w:rPr>
        <w:t xml:space="preserve"> </w:t>
      </w:r>
      <w:r>
        <w:rPr>
          <w:rFonts w:ascii="Nirmala UI" w:hAnsi="Nirmala UI" w:eastAsia="Nirmala UI" w:cs="Nirmala UI"/>
        </w:rPr>
        <w:t>પંદરમો</w:t>
      </w:r>
      <w:r>
        <w:rPr>
          <w:rFonts w:ascii="Times New Roman" w:hAnsi="Times New Roman" w:eastAsia="Times New Roman" w:cs="Times New Roman"/>
        </w:rPr>
        <w:t xml:space="preserve"> </w:t>
      </w:r>
      <w:r>
        <w:rPr>
          <w:rFonts w:ascii="Nirmala UI" w:hAnsi="Nirmala UI" w:eastAsia="Nirmala UI" w:cs="Nirmala UI"/>
        </w:rPr>
        <w:t>શ્લોક</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구절들에</w:t>
      </w:r>
      <w:r>
        <w:rPr>
          <w:rFonts w:ascii="Times New Roman" w:hAnsi="Times New Roman" w:eastAsia="Times New Roman" w:cs="Times New Roman"/>
        </w:rPr>
        <w:t xml:space="preserve"> </w:t>
      </w:r>
      <w:r>
        <w:rPr>
          <w:rFonts w:ascii="Malgun Gothic" w:hAnsi="Malgun Gothic" w:eastAsia="Malgun Gothic" w:cs="Malgun Gothic"/>
        </w:rPr>
        <w:t>의해서만이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구절들을</w:t>
      </w:r>
      <w:r>
        <w:rPr>
          <w:rFonts w:ascii="Times New Roman" w:hAnsi="Times New Roman" w:eastAsia="Times New Roman" w:cs="Times New Roman"/>
        </w:rPr>
        <w:t xml:space="preserve"> </w:t>
      </w:r>
      <w:r>
        <w:rPr>
          <w:rFonts w:ascii="Malgun Gothic" w:hAnsi="Malgun Gothic" w:eastAsia="Malgun Gothic" w:cs="Malgun Gothic"/>
        </w:rPr>
        <w:t>성취한</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의해서도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파니움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가이사랴</w:t>
      </w:r>
      <w:r>
        <w:rPr>
          <w:rFonts w:ascii="Times New Roman" w:hAnsi="Times New Roman" w:eastAsia="Times New Roman" w:cs="Times New Roman"/>
        </w:rPr>
        <w:t xml:space="preserve"> </w:t>
      </w:r>
      <w:r>
        <w:rPr>
          <w:rFonts w:ascii="Malgun Gothic" w:hAnsi="Malgun Gothic" w:eastAsia="Malgun Gothic" w:cs="Malgun Gothic"/>
        </w:rPr>
        <w:t>빌립보의</w:t>
      </w:r>
      <w:r>
        <w:rPr>
          <w:rFonts w:ascii="Times New Roman" w:hAnsi="Times New Roman" w:eastAsia="Times New Roman" w:cs="Times New Roman"/>
        </w:rPr>
        <w:t xml:space="preserve"> </w:t>
      </w:r>
      <w:r>
        <w:rPr>
          <w:rFonts w:ascii="Malgun Gothic" w:hAnsi="Malgun Gothic" w:eastAsia="Malgun Gothic" w:cs="Malgun Gothic"/>
        </w:rPr>
        <w:t>지리적</w:t>
      </w:r>
      <w:r>
        <w:rPr>
          <w:rFonts w:ascii="Times New Roman" w:hAnsi="Times New Roman" w:eastAsia="Times New Roman" w:cs="Times New Roman"/>
        </w:rPr>
        <w:t xml:space="preserve"> </w:t>
      </w:r>
      <w:r>
        <w:rPr>
          <w:rFonts w:ascii="Malgun Gothic" w:hAnsi="Malgun Gothic" w:eastAsia="Malgun Gothic" w:cs="Malgun Gothic"/>
        </w:rPr>
        <w:t>증언에</w:t>
      </w:r>
      <w:r>
        <w:rPr>
          <w:rFonts w:ascii="Times New Roman" w:hAnsi="Times New Roman" w:eastAsia="Times New Roman" w:cs="Times New Roman"/>
        </w:rPr>
        <w:t xml:space="preserve"> </w:t>
      </w:r>
      <w:r>
        <w:rPr>
          <w:rFonts w:ascii="Malgun Gothic" w:hAnsi="Malgun Gothic" w:eastAsia="Malgun Gothic" w:cs="Malgun Gothic"/>
        </w:rPr>
        <w:t>의해서도</w:t>
      </w:r>
      <w:r>
        <w:rPr>
          <w:rFonts w:ascii="Times New Roman" w:hAnsi="Times New Roman" w:eastAsia="Times New Roman" w:cs="Times New Roman"/>
        </w:rPr>
        <w:t xml:space="preserve"> </w:t>
      </w:r>
      <w:r>
        <w:rPr>
          <w:rFonts w:ascii="Malgun Gothic" w:hAnsi="Malgun Gothic" w:eastAsia="Malgun Gothic" w:cs="Malgun Gothic"/>
        </w:rPr>
        <w:t>예증된다</w:t>
      </w:r>
      <w:r>
        <w:rPr>
          <w:rFonts w:ascii="Times New Roman" w:hAnsi="Times New Roman" w:eastAsia="Times New Roman" w:cs="Times New Roman"/>
        </w:rPr>
        <w:t xml:space="preserve">. </w:t>
      </w:r>
      <w:r>
        <w:rPr>
          <w:rFonts w:ascii="Malgun Gothic" w:hAnsi="Malgun Gothic" w:eastAsia="Malgun Gothic" w:cs="Malgun Gothic"/>
        </w:rPr>
        <w:t>가이사랴</w:t>
      </w:r>
      <w:r>
        <w:rPr>
          <w:rFonts w:ascii="Times New Roman" w:hAnsi="Times New Roman" w:eastAsia="Times New Roman" w:cs="Times New Roman"/>
        </w:rPr>
        <w:t xml:space="preserve"> </w:t>
      </w:r>
      <w:r>
        <w:rPr>
          <w:rFonts w:ascii="Malgun Gothic" w:hAnsi="Malgun Gothic" w:eastAsia="Malgun Gothic" w:cs="Malgun Gothic"/>
        </w:rPr>
        <w:t>빌립보는</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십자가</w:t>
      </w:r>
      <w:r>
        <w:rPr>
          <w:rFonts w:ascii="Times New Roman" w:hAnsi="Times New Roman" w:eastAsia="Times New Roman" w:cs="Times New Roman"/>
        </w:rPr>
        <w:t xml:space="preserve"> </w:t>
      </w:r>
      <w:r>
        <w:rPr>
          <w:rFonts w:ascii="Malgun Gothic" w:hAnsi="Malgun Gothic" w:eastAsia="Malgun Gothic" w:cs="Malgun Gothic"/>
        </w:rPr>
        <w:t>직전에</w:t>
      </w:r>
      <w:r>
        <w:rPr>
          <w:rFonts w:ascii="Times New Roman" w:hAnsi="Times New Roman" w:eastAsia="Times New Roman" w:cs="Times New Roman"/>
        </w:rPr>
        <w:t xml:space="preserve"> </w:t>
      </w:r>
      <w:r>
        <w:rPr>
          <w:rFonts w:ascii="Malgun Gothic" w:hAnsi="Malgun Gothic" w:eastAsia="Malgun Gothic" w:cs="Malgun Gothic"/>
        </w:rPr>
        <w:t>의도적으로</w:t>
      </w:r>
      <w:r>
        <w:rPr>
          <w:rFonts w:ascii="Times New Roman" w:hAnsi="Times New Roman" w:eastAsia="Times New Roman" w:cs="Times New Roman"/>
        </w:rPr>
        <w:t xml:space="preserve"> </w:t>
      </w:r>
      <w:r>
        <w:rPr>
          <w:rFonts w:ascii="Malgun Gothic" w:hAnsi="Malgun Gothic" w:eastAsia="Malgun Gothic" w:cs="Malgun Gothic"/>
        </w:rPr>
        <w:t>방문하신</w:t>
      </w:r>
      <w:r>
        <w:rPr>
          <w:rFonts w:ascii="Times New Roman" w:hAnsi="Times New Roman" w:eastAsia="Times New Roman" w:cs="Times New Roman"/>
        </w:rPr>
        <w:t xml:space="preserve"> </w:t>
      </w:r>
      <w:r>
        <w:rPr>
          <w:rFonts w:ascii="Malgun Gothic" w:hAnsi="Malgun Gothic" w:eastAsia="Malgun Gothic" w:cs="Malgun Gothic"/>
        </w:rPr>
        <w:t>곳이었으며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십자가는</w:t>
      </w:r>
      <w:r>
        <w:rPr>
          <w:rFonts w:ascii="Times New Roman" w:hAnsi="Times New Roman" w:eastAsia="Times New Roman" w:cs="Times New Roman"/>
        </w:rPr>
        <w:t xml:space="preserve"> </w:t>
      </w:r>
      <w:r>
        <w:rPr>
          <w:rFonts w:ascii="Malgun Gothic" w:hAnsi="Malgun Gothic" w:eastAsia="Malgun Gothic" w:cs="Malgun Gothic"/>
        </w:rPr>
        <w:t>주일법을</w:t>
      </w:r>
      <w:r>
        <w:rPr>
          <w:rFonts w:ascii="Times New Roman" w:hAnsi="Times New Roman" w:eastAsia="Times New Roman" w:cs="Times New Roman"/>
        </w:rPr>
        <w:t xml:space="preserve"> </w:t>
      </w:r>
      <w:r>
        <w:rPr>
          <w:rFonts w:ascii="Malgun Gothic" w:hAnsi="Malgun Gothic" w:eastAsia="Malgun Gothic" w:cs="Malgun Gothic"/>
        </w:rPr>
        <w:t>표상하는데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16</w:t>
      </w:r>
      <w:r>
        <w:rPr>
          <w:rFonts w:ascii="Malgun Gothic" w:hAnsi="Malgun Gothic" w:eastAsia="Malgun Gothic" w:cs="Malgun Gothic"/>
        </w:rPr>
        <w:t>절로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지파의</w:t>
      </w:r>
      <w:r>
        <w:rPr>
          <w:rFonts w:ascii="Times New Roman" w:hAnsi="Times New Roman" w:eastAsia="Times New Roman" w:cs="Times New Roman"/>
        </w:rPr>
        <w:t xml:space="preserve"> </w:t>
      </w:r>
      <w:r>
        <w:rPr>
          <w:rFonts w:ascii="Malgun Gothic" w:hAnsi="Malgun Gothic" w:eastAsia="Malgun Gothic" w:cs="Malgun Gothic"/>
        </w:rPr>
        <w:t>사자는</w:t>
      </w:r>
      <w:r>
        <w:rPr>
          <w:rFonts w:ascii="Times New Roman" w:hAnsi="Times New Roman" w:eastAsia="Times New Roman" w:cs="Times New Roman"/>
        </w:rPr>
        <w:t xml:space="preserve"> </w:t>
      </w:r>
      <w:r>
        <w:rPr>
          <w:rFonts w:ascii="Malgun Gothic" w:hAnsi="Malgun Gothic" w:eastAsia="Malgun Gothic" w:cs="Malgun Gothic"/>
        </w:rPr>
        <w:t>안식일의</w:t>
      </w:r>
      <w:r>
        <w:rPr>
          <w:rFonts w:ascii="Times New Roman" w:hAnsi="Times New Roman" w:eastAsia="Times New Roman" w:cs="Times New Roman"/>
        </w:rPr>
        <w:t xml:space="preserve"> </w:t>
      </w:r>
      <w:r>
        <w:rPr>
          <w:rFonts w:ascii="Malgun Gothic" w:hAnsi="Malgun Gothic" w:eastAsia="Malgun Gothic" w:cs="Malgun Gothic"/>
        </w:rPr>
        <w:t>교리를</w:t>
      </w:r>
      <w:r>
        <w:rPr>
          <w:rFonts w:ascii="Times New Roman" w:hAnsi="Times New Roman" w:eastAsia="Times New Roman" w:cs="Times New Roman"/>
        </w:rPr>
        <w:t xml:space="preserve"> </w:t>
      </w:r>
      <w:r>
        <w:rPr>
          <w:rFonts w:ascii="Malgun Gothic" w:hAnsi="Malgun Gothic" w:eastAsia="Malgun Gothic" w:cs="Malgun Gothic"/>
        </w:rPr>
        <w:t>특별한</w:t>
      </w:r>
      <w:r>
        <w:rPr>
          <w:rFonts w:ascii="Times New Roman" w:hAnsi="Times New Roman" w:eastAsia="Times New Roman" w:cs="Times New Roman"/>
        </w:rPr>
        <w:t xml:space="preserve"> </w:t>
      </w:r>
      <w:r>
        <w:rPr>
          <w:rFonts w:ascii="Malgun Gothic" w:hAnsi="Malgun Gothic" w:eastAsia="Malgun Gothic" w:cs="Malgun Gothic"/>
        </w:rPr>
        <w:t>빛</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밝히</w:t>
      </w:r>
      <w:r>
        <w:rPr>
          <w:rFonts w:ascii="Times New Roman" w:hAnsi="Times New Roman" w:eastAsia="Times New Roman" w:cs="Times New Roman"/>
        </w:rPr>
        <w:t xml:space="preserve"> </w:t>
      </w:r>
      <w:r>
        <w:rPr>
          <w:rFonts w:ascii="Malgun Gothic" w:hAnsi="Malgun Gothic" w:eastAsia="Malgun Gothic" w:cs="Malgun Gothic"/>
        </w:rPr>
        <w:t>드러내셨다</w:t>
      </w:r>
      <w:r>
        <w:rPr>
          <w:rFonts w:ascii="Times New Roman" w:hAnsi="Times New Roman" w:eastAsia="Times New Roman" w:cs="Times New Roman"/>
        </w:rPr>
        <w:t xml:space="preserve">. </w:t>
      </w:r>
      <w:r>
        <w:rPr>
          <w:rFonts w:ascii="Malgun Gothic" w:hAnsi="Malgun Gothic" w:eastAsia="Malgun Gothic" w:cs="Malgun Gothic"/>
        </w:rPr>
        <w:t>그런</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과정의</w:t>
      </w:r>
      <w:r>
        <w:rPr>
          <w:rFonts w:ascii="Times New Roman" w:hAnsi="Times New Roman" w:eastAsia="Times New Roman" w:cs="Times New Roman"/>
        </w:rPr>
        <w:t xml:space="preserve"> </w:t>
      </w:r>
      <w:r>
        <w:rPr>
          <w:rFonts w:ascii="Malgun Gothic" w:hAnsi="Malgun Gothic" w:eastAsia="Malgun Gothic" w:cs="Malgun Gothic"/>
        </w:rPr>
        <w:t>끝에서</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증가를</w:t>
      </w:r>
      <w:r>
        <w:rPr>
          <w:rFonts w:ascii="Times New Roman" w:hAnsi="Times New Roman" w:eastAsia="Times New Roman" w:cs="Times New Roman"/>
        </w:rPr>
        <w:t xml:space="preserve"> </w:t>
      </w:r>
      <w:r>
        <w:rPr>
          <w:rFonts w:ascii="Malgun Gothic" w:hAnsi="Malgun Gothic" w:eastAsia="Malgun Gothic" w:cs="Malgun Gothic"/>
        </w:rPr>
        <w:t>제시하셨으며</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안식일의</w:t>
      </w:r>
      <w:r>
        <w:rPr>
          <w:rFonts w:ascii="Times New Roman" w:hAnsi="Times New Roman" w:eastAsia="Times New Roman" w:cs="Times New Roman"/>
        </w:rPr>
        <w:t xml:space="preserve"> </w:t>
      </w:r>
      <w:r>
        <w:rPr>
          <w:rFonts w:ascii="Malgun Gothic" w:hAnsi="Malgun Gothic" w:eastAsia="Malgun Gothic" w:cs="Malgun Gothic"/>
        </w:rPr>
        <w:t>교리이다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쉼을</w:t>
      </w:r>
      <w:r>
        <w:rPr>
          <w:rFonts w:ascii="Times New Roman" w:hAnsi="Times New Roman" w:eastAsia="Times New Roman" w:cs="Times New Roman"/>
        </w:rPr>
        <w:t xml:space="preserve"> </w:t>
      </w:r>
      <w:r>
        <w:rPr>
          <w:rFonts w:ascii="Malgun Gothic" w:hAnsi="Malgun Gothic" w:eastAsia="Malgun Gothic" w:cs="Malgun Gothic"/>
        </w:rPr>
        <w:t>누리는</w:t>
      </w:r>
      <w:r>
        <w:rPr>
          <w:rFonts w:ascii="Times New Roman" w:hAnsi="Times New Roman" w:eastAsia="Times New Roman" w:cs="Times New Roman"/>
        </w:rPr>
        <w:t xml:space="preserve"> </w:t>
      </w:r>
      <w:r>
        <w:rPr>
          <w:rFonts w:ascii="Malgun Gothic" w:hAnsi="Malgun Gothic" w:eastAsia="Malgun Gothic" w:cs="Malgun Gothic"/>
        </w:rPr>
        <w:t>안식일</w:t>
      </w:r>
      <w:r>
        <w:rPr>
          <w:rFonts w:ascii="Times New Roman" w:hAnsi="Times New Roman" w:eastAsia="Times New Roman" w:cs="Times New Roman"/>
        </w:rPr>
        <w:t xml:space="preserve"> </w:t>
      </w:r>
      <w:r>
        <w:rPr>
          <w:rFonts w:ascii="Malgun Gothic" w:hAnsi="Malgun Gothic" w:eastAsia="Malgun Gothic" w:cs="Malgun Gothic"/>
        </w:rPr>
        <w:t>계명과</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병행하는</w:t>
      </w:r>
      <w:r>
        <w:rPr>
          <w:rFonts w:ascii="Times New Roman" w:hAnsi="Times New Roman" w:eastAsia="Times New Roman" w:cs="Times New Roman"/>
        </w:rPr>
        <w:t xml:space="preserve">, </w:t>
      </w:r>
      <w:r>
        <w:rPr>
          <w:rFonts w:ascii="Malgun Gothic" w:hAnsi="Malgun Gothic" w:eastAsia="Malgun Gothic" w:cs="Malgun Gothic"/>
        </w:rPr>
        <w:t>땅이</w:t>
      </w:r>
      <w:r>
        <w:rPr>
          <w:rFonts w:ascii="Times New Roman" w:hAnsi="Times New Roman" w:eastAsia="Times New Roman" w:cs="Times New Roman"/>
        </w:rPr>
        <w:t xml:space="preserve"> </w:t>
      </w:r>
      <w:r>
        <w:rPr>
          <w:rFonts w:ascii="Malgun Gothic" w:hAnsi="Malgun Gothic" w:eastAsia="Malgun Gothic" w:cs="Malgun Gothic"/>
        </w:rPr>
        <w:t>안식하는</w:t>
      </w:r>
      <w:r>
        <w:rPr>
          <w:rFonts w:ascii="Times New Roman" w:hAnsi="Times New Roman" w:eastAsia="Times New Roman" w:cs="Times New Roman"/>
        </w:rPr>
        <w:t xml:space="preserve"> </w:t>
      </w:r>
      <w:r>
        <w:rPr>
          <w:rFonts w:ascii="Malgun Gothic" w:hAnsi="Malgun Gothic" w:eastAsia="Malgun Gothic" w:cs="Malgun Gothic"/>
        </w:rPr>
        <w:t>안식일</w:t>
      </w:r>
      <w:r>
        <w:rPr>
          <w:rFonts w:ascii="Times New Roman" w:hAnsi="Times New Roman" w:eastAsia="Times New Roman" w:cs="Times New Roman"/>
        </w:rPr>
        <w:t xml:space="preserve"> </w:t>
      </w:r>
      <w:r>
        <w:rPr>
          <w:rFonts w:ascii="Malgun Gothic" w:hAnsi="Malgun Gothic" w:eastAsia="Malgun Gothic" w:cs="Malgun Gothic"/>
        </w:rPr>
        <w:t>계명이다</w:t>
      </w:r>
      <w:r>
        <w:rPr>
          <w:rFonts w:ascii="Times New Roman" w:hAnsi="Times New Roman" w:eastAsia="Times New Roman" w:cs="Times New Roman"/>
        </w:rPr>
        <w:t>. 2,520</w:t>
      </w:r>
      <w:r>
        <w:rPr>
          <w:rFonts w:ascii="Malgun Gothic" w:hAnsi="Malgun Gothic" w:eastAsia="Malgun Gothic" w:cs="Malgun Gothic"/>
        </w:rPr>
        <w:t>년과</w:t>
      </w:r>
      <w:r>
        <w:rPr>
          <w:rFonts w:ascii="Times New Roman" w:hAnsi="Times New Roman" w:eastAsia="Times New Roman" w:cs="Times New Roman"/>
        </w:rPr>
        <w:t xml:space="preserve"> 2,300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끝났다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Yaw addunka gu bees yi ci xel gi, bu tàmbalee ci 1856 ba 1863, mooyoon njàngat bu gën a yaatu ci bésu Noflaay bi, mi woon a joxee ci leer gu xéy ci njàlbéenu yëngu gi ci sellu ak seetlu gi. Taarix bi ñu mel ci matug ay aaya yu fukk ak benn, fukk ak ñaar, ak fukk ak juroom ci Daniel fukk ak benn, mooy melal jamono jéemante bi fa sellu Yàlla di tàmbalee ci ba fàww ci kaw ñaar-fukk ak ñeent junni nit ñi. Ci taarix boobu, ñaari yëf yi ci Ezekiel dañuy booloo. Booleb ñaari yëf yooyu dafay tegtal booloo Yàllaay ak nitay, te njàngale mi feeñ ci leer gu xéy ci taarix boobu mooy njàngalem nekkinu Kirist ci yaram.</w:t>
      </w:r>
    </w:p>
    <w:p>
      <w:pPr>
        <w:pStyle w:val="ArticleBody"/>
        <w:jc w:val="left"/>
      </w:pPr>
      <w:r>
        <w:rPr>
          <w:rFonts w:ascii="Times New Roman" w:hAnsi="Times New Roman" w:eastAsia="Times New Roman" w:cs="Times New Roman"/>
        </w:rPr>
        <w:t>لهٰذا، جب پطرس نے قیصریہ فلپی میں مسیح کو خدا کا بیٹا قرار دیا، تو وہ اس حقیقت کا اقرار کر رہا تھا کہ مسیح، خدا کے بیٹے کی حیثیت سے، اپنی دوہری فطرت کی نمائندگی کرتا ہے: یعنی وہ خدا کا الٰہی بیٹا ہے، جس نے اپنے اوپر انسانی جسم اختیار کیا، اور یوں ابنِ آدم بن گیا۔</w:t>
      </w:r>
    </w:p>
    <w:p>
      <w:pPr>
        <w:pStyle w:val="ArticleScripture"/>
        <w:jc w:val="left"/>
      </w:pP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शिष्यों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ईश्वरत्व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सहभागिता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पूर्वकथन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पढ़ते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धुंधली</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देहधारण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द्विविध</w:t>
      </w:r>
      <w:r>
        <w:rPr>
          <w:rFonts w:ascii="Times New Roman" w:hAnsi="Times New Roman" w:eastAsia="Times New Roman" w:cs="Times New Roman"/>
        </w:rPr>
        <w:t xml:space="preserve"> </w:t>
      </w:r>
      <w:r>
        <w:rPr>
          <w:rFonts w:ascii="Nirmala UI" w:hAnsi="Nirmala UI" w:eastAsia="Nirmala UI" w:cs="Nirmala UI"/>
        </w:rPr>
        <w:t>प्रकृति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देवत्व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प्रकाशमान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लालसा</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The Desire of Ages, 507.</w:t>
      </w:r>
    </w:p>
    <w:p>
      <w:pPr>
        <w:pStyle w:val="ArticleBody"/>
        <w:jc w:val="left"/>
      </w:pPr>
      <w:r>
        <w:rPr>
          <w:rFonts w:ascii="Times New Roman" w:hAnsi="Times New Roman" w:eastAsia="Times New Roman" w:cs="Times New Roman"/>
        </w:rPr>
        <w:t>له ۲۲ اکتوبر، ۱۸۴۴ څخه تر ۱۸۶۳ پورې موده د يو سل او څلورڅلوېښت زرو د مُهر لګېدلو وخت استازيتوب کوي. دغه موده هغه مهال پيل شوه چې د مُهر لګېدلو د دورې په ترڅ کې د هغو ډېرو حقايقو ترمنځ چې پرانيستل کېږي، د سبت ورځ د ځانګړي حقيقت په توګه روښانه وښودل شوه. دې دورې د اووم ترومپې د غږېدو پيل وښود، کوم چې دا څرګندوي چې د خدای راز به کله پای ته رسېده.</w:t>
      </w:r>
    </w:p>
    <w:p>
      <w:pPr>
        <w:pStyle w:val="ArticleScripture"/>
        <w:jc w:val="left"/>
      </w:pPr>
      <w:r>
        <w:rPr>
          <w:rFonts w:ascii="Times New Roman" w:hAnsi="Times New Roman" w:eastAsia="Times New Roman" w:cs="Times New Roman"/>
        </w:rPr>
        <w:t>Ali en la tagoj de la voĉo de la sepa anĝelo, kiam li komencos sonigi, la mistero de Dio estos plenumita, kiel Li proklamis al Siaj servantoj, la profetoj. Revelation 10:7.</w:t>
      </w:r>
    </w:p>
    <w:p>
      <w:pPr>
        <w:pStyle w:val="ArticleBody"/>
        <w:jc w:val="left"/>
      </w:pPr>
      <w:r>
        <w:rPr>
          <w:rFonts w:ascii="Times New Roman" w:hAnsi="Times New Roman" w:eastAsia="Times New Roman" w:cs="Times New Roman"/>
        </w:rPr>
        <w:t>Дарьæз сæвæн агъдауы æмæ уыцыдæр æртæн уæззау у, уымæн æмæ мæрццæуæн куыст цæуы уыцы историйы, кæд исламæйы æрвæзт хъуыддаг архайы. Мыллеритон адвентизм куыд уыд æнæзæрдæ, 1844 азы 22 октябры фæстæ уыд нæуæгъ бæрæггæнæн рæстæгмæ, уæд 1840 азы 11 августы æнцонгонд ислам ныссагъта уыд.</w:t>
      </w:r>
    </w:p>
    <w:p>
      <w:pPr>
        <w:pStyle w:val="ArticleScripture"/>
        <w:jc w:val="left"/>
      </w:pPr>
      <w:r>
        <w:rPr>
          <w:rFonts w:ascii="Times New Roman" w:hAnsi="Times New Roman" w:eastAsia="Times New Roman" w:cs="Times New Roman"/>
        </w:rPr>
        <w:t>“</w:t>
      </w:r>
      <w:r>
        <w:rPr>
          <w:rFonts w:ascii="Ebrima" w:hAnsi="Ebrima" w:eastAsia="Ebrima" w:cs="Ebrima"/>
        </w:rPr>
        <w:t>አድቬንቲስቶች</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1844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በእምነታቸው</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ቢቆዩ</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እየተከፈተ</w:t>
      </w:r>
      <w:r>
        <w:rPr>
          <w:rFonts w:ascii="Times New Roman" w:hAnsi="Times New Roman" w:eastAsia="Times New Roman" w:cs="Times New Roman"/>
        </w:rPr>
        <w:t xml:space="preserve"> </w:t>
      </w:r>
      <w:r>
        <w:rPr>
          <w:rFonts w:ascii="Ebrima" w:hAnsi="Ebrima" w:eastAsia="Ebrima" w:cs="Ebrima"/>
        </w:rPr>
        <w:t>በሄደው</w:t>
      </w:r>
      <w:r>
        <w:rPr>
          <w:rFonts w:ascii="Times New Roman" w:hAnsi="Times New Roman" w:eastAsia="Times New Roman" w:cs="Times New Roman"/>
        </w:rPr>
        <w:t xml:space="preserve"> </w:t>
      </w:r>
      <w:r>
        <w:rPr>
          <w:rFonts w:ascii="Ebrima" w:hAnsi="Ebrima" w:eastAsia="Ebrima" w:cs="Ebrima"/>
        </w:rPr>
        <w:t>አመራር</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ቢቀጥሉ፣</w:t>
      </w:r>
      <w:r>
        <w:rPr>
          <w:rFonts w:ascii="Times New Roman" w:hAnsi="Times New Roman" w:eastAsia="Times New Roman" w:cs="Times New Roman"/>
        </w:rPr>
        <w:t xml:space="preserve"> </w:t>
      </w:r>
      <w:r>
        <w:rPr>
          <w:rFonts w:ascii="Ebrima" w:hAnsi="Ebrima" w:eastAsia="Ebrima" w:cs="Ebrima"/>
        </w:rPr>
        <w:t>የሦስተኛውን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ተቀብለው</w:t>
      </w:r>
      <w:r>
        <w:rPr>
          <w:rFonts w:ascii="Times New Roman" w:hAnsi="Times New Roman" w:eastAsia="Times New Roman" w:cs="Times New Roman"/>
        </w:rPr>
        <w:t xml:space="preserve"> </w:t>
      </w:r>
      <w:r>
        <w:rPr>
          <w:rFonts w:ascii="Ebrima" w:hAnsi="Ebrima" w:eastAsia="Ebrima" w:cs="Ebrima"/>
        </w:rPr>
        <w:t>በመንፈስ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ቢያውጁት፣</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ማዳን</w:t>
      </w:r>
      <w:r>
        <w:rPr>
          <w:rFonts w:ascii="Times New Roman" w:hAnsi="Times New Roman" w:eastAsia="Times New Roman" w:cs="Times New Roman"/>
        </w:rPr>
        <w:t xml:space="preserve"> </w:t>
      </w:r>
      <w:r>
        <w:rPr>
          <w:rFonts w:ascii="Ebrima" w:hAnsi="Ebrima" w:eastAsia="Ebrima" w:cs="Ebrima"/>
        </w:rPr>
        <w:t>ባዩ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ከጥረታቸው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በብርቱ</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በሠራ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ሥራውም</w:t>
      </w:r>
      <w:r>
        <w:rPr>
          <w:rFonts w:ascii="Times New Roman" w:hAnsi="Times New Roman" w:eastAsia="Times New Roman" w:cs="Times New Roman"/>
        </w:rPr>
        <w:t xml:space="preserve"> </w:t>
      </w:r>
      <w:r>
        <w:rPr>
          <w:rFonts w:ascii="Ebrima" w:hAnsi="Ebrima" w:eastAsia="Ebrima" w:cs="Ebrima"/>
        </w:rPr>
        <w:t>በተጠናቀቀ</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ክርስቶስም</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ዋጋቸው</w:t>
      </w:r>
      <w:r>
        <w:rPr>
          <w:rFonts w:ascii="Times New Roman" w:hAnsi="Times New Roman" w:eastAsia="Times New Roman" w:cs="Times New Roman"/>
        </w:rPr>
        <w:t xml:space="preserve"> </w:t>
      </w:r>
      <w:r>
        <w:rPr>
          <w:rFonts w:ascii="Ebrima" w:hAnsi="Ebrima" w:eastAsia="Ebrima" w:cs="Ebrima"/>
        </w:rPr>
        <w:t>ለመቀበል</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በመጣ</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መቁረጡን</w:t>
      </w:r>
      <w:r>
        <w:rPr>
          <w:rFonts w:ascii="Times New Roman" w:hAnsi="Times New Roman" w:eastAsia="Times New Roman" w:cs="Times New Roman"/>
        </w:rPr>
        <w:t xml:space="preserve"> </w:t>
      </w:r>
      <w:r>
        <w:rPr>
          <w:rFonts w:ascii="Ebrima" w:hAnsi="Ebrima" w:eastAsia="Ebrima" w:cs="Ebrima"/>
        </w:rPr>
        <w:t>ተከትሎ</w:t>
      </w:r>
      <w:r>
        <w:rPr>
          <w:rFonts w:ascii="Times New Roman" w:hAnsi="Times New Roman" w:eastAsia="Times New Roman" w:cs="Times New Roman"/>
        </w:rPr>
        <w:t xml:space="preserve"> </w:t>
      </w:r>
      <w:r>
        <w:rPr>
          <w:rFonts w:ascii="Ebrima" w:hAnsi="Ebrima" w:eastAsia="Ebrima" w:cs="Ebrima"/>
        </w:rPr>
        <w:t>በመጣው</w:t>
      </w:r>
      <w:r>
        <w:rPr>
          <w:rFonts w:ascii="Times New Roman" w:hAnsi="Times New Roman" w:eastAsia="Times New Roman" w:cs="Times New Roman"/>
        </w:rPr>
        <w:t xml:space="preserve"> </w:t>
      </w:r>
      <w:r>
        <w:rPr>
          <w:rFonts w:ascii="Ebrima" w:hAnsi="Ebrima" w:eastAsia="Ebrima" w:cs="Ebrima"/>
        </w:rPr>
        <w:t>የጥርጣሬና</w:t>
      </w:r>
      <w:r>
        <w:rPr>
          <w:rFonts w:ascii="Times New Roman" w:hAnsi="Times New Roman" w:eastAsia="Times New Roman" w:cs="Times New Roman"/>
        </w:rPr>
        <w:t xml:space="preserve"> </w:t>
      </w:r>
      <w:r>
        <w:rPr>
          <w:rFonts w:ascii="Ebrima" w:hAnsi="Ebrima" w:eastAsia="Ebrima" w:cs="Ebrima"/>
        </w:rPr>
        <w:t>የእርግጠኝነት</w:t>
      </w:r>
      <w:r>
        <w:rPr>
          <w:rFonts w:ascii="Times New Roman" w:hAnsi="Times New Roman" w:eastAsia="Times New Roman" w:cs="Times New Roman"/>
        </w:rPr>
        <w:t xml:space="preserve"> </w:t>
      </w:r>
      <w:r>
        <w:rPr>
          <w:rFonts w:ascii="Ebrima" w:hAnsi="Ebrima" w:eastAsia="Ebrima" w:cs="Ebrima"/>
        </w:rPr>
        <w:t>ማጣት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ከአድቬንት</w:t>
      </w:r>
      <w:r>
        <w:rPr>
          <w:rFonts w:ascii="Times New Roman" w:hAnsi="Times New Roman" w:eastAsia="Times New Roman" w:cs="Times New Roman"/>
        </w:rPr>
        <w:t xml:space="preserve"> </w:t>
      </w:r>
      <w:r>
        <w:rPr>
          <w:rFonts w:ascii="Ebrima" w:hAnsi="Ebrima" w:eastAsia="Ebrima" w:cs="Ebrima"/>
        </w:rPr>
        <w:t>አማኞች</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እምነታቸውን</w:t>
      </w:r>
      <w:r>
        <w:rPr>
          <w:rFonts w:ascii="Times New Roman" w:hAnsi="Times New Roman" w:eastAsia="Times New Roman" w:cs="Times New Roman"/>
        </w:rPr>
        <w:t xml:space="preserve"> </w:t>
      </w:r>
      <w:r>
        <w:rPr>
          <w:rFonts w:ascii="Ebrima" w:hAnsi="Ebrima" w:eastAsia="Ebrima" w:cs="Ebrima"/>
        </w:rPr>
        <w:t>ተዉ</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ሥራው</w:t>
      </w:r>
      <w:r>
        <w:rPr>
          <w:rFonts w:ascii="Times New Roman" w:hAnsi="Times New Roman" w:eastAsia="Times New Roman" w:cs="Times New Roman"/>
        </w:rPr>
        <w:t xml:space="preserve"> </w:t>
      </w:r>
      <w:r>
        <w:rPr>
          <w:rFonts w:ascii="Ebrima" w:hAnsi="Ebrima" w:eastAsia="Ebrima" w:cs="Ebrima"/>
        </w:rPr>
        <w:t>ተሰናከለ፣</w:t>
      </w:r>
      <w:r>
        <w:rPr>
          <w:rFonts w:ascii="Times New Roman" w:hAnsi="Times New Roman" w:eastAsia="Times New Roman" w:cs="Times New Roman"/>
        </w:rPr>
        <w:t xml:space="preserve"> </w:t>
      </w:r>
      <w:r>
        <w:rPr>
          <w:rFonts w:ascii="Ebrima" w:hAnsi="Ebrima" w:eastAsia="Ebrima" w:cs="Ebrima"/>
        </w:rPr>
        <w:t>ዓለሙም</w:t>
      </w:r>
      <w:r>
        <w:rPr>
          <w:rFonts w:ascii="Times New Roman" w:hAnsi="Times New Roman" w:eastAsia="Times New Roman" w:cs="Times New Roman"/>
        </w:rPr>
        <w:t xml:space="preserve"> </w:t>
      </w:r>
      <w:r>
        <w:rPr>
          <w:rFonts w:ascii="Ebrima" w:hAnsi="Ebrima" w:eastAsia="Ebrima" w:cs="Ebrima"/>
        </w:rPr>
        <w:t>በጨለማ</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ተተወ።</w:t>
      </w:r>
      <w:r>
        <w:rPr>
          <w:rFonts w:ascii="Times New Roman" w:hAnsi="Times New Roman" w:eastAsia="Times New Roman" w:cs="Times New Roman"/>
        </w:rPr>
        <w:t xml:space="preserve"> </w:t>
      </w:r>
      <w:r>
        <w:rPr>
          <w:rFonts w:ascii="Ebrima" w:hAnsi="Ebrima" w:eastAsia="Ebrima" w:cs="Ebrima"/>
        </w:rPr>
        <w:t>መላው</w:t>
      </w:r>
      <w:r>
        <w:rPr>
          <w:rFonts w:ascii="Times New Roman" w:hAnsi="Times New Roman" w:eastAsia="Times New Roman" w:cs="Times New Roman"/>
        </w:rPr>
        <w:t xml:space="preserve"> </w:t>
      </w:r>
      <w:r>
        <w:rPr>
          <w:rFonts w:ascii="Ebrima" w:hAnsi="Ebrima" w:eastAsia="Ebrima" w:cs="Ebrima"/>
        </w:rPr>
        <w:t>የአድቬንቲስት</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ትእዛዛትና</w:t>
      </w:r>
      <w:r>
        <w:rPr>
          <w:rFonts w:ascii="Times New Roman" w:hAnsi="Times New Roman" w:eastAsia="Times New Roman" w:cs="Times New Roman"/>
        </w:rPr>
        <w:t xml:space="preserve"> </w:t>
      </w:r>
      <w:r>
        <w:rPr>
          <w:rFonts w:ascii="Ebrima" w:hAnsi="Ebrima" w:eastAsia="Ebrima" w:cs="Ebrima"/>
        </w:rPr>
        <w:t>በኢየሱስ</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ተባብሮ</w:t>
      </w:r>
      <w:r>
        <w:rPr>
          <w:rFonts w:ascii="Times New Roman" w:hAnsi="Times New Roman" w:eastAsia="Times New Roman" w:cs="Times New Roman"/>
        </w:rPr>
        <w:t xml:space="preserve"> </w:t>
      </w:r>
      <w:r>
        <w:rPr>
          <w:rFonts w:ascii="Ebrima" w:hAnsi="Ebrima" w:eastAsia="Ebrima" w:cs="Ebrima"/>
        </w:rPr>
        <w:t>ቢቆም</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ታሪካችን</w:t>
      </w:r>
      <w:r>
        <w:rPr>
          <w:rFonts w:ascii="Times New Roman" w:hAnsi="Times New Roman" w:eastAsia="Times New Roman" w:cs="Times New Roman"/>
        </w:rPr>
        <w:t xml:space="preserve"> </w:t>
      </w:r>
      <w:r>
        <w:rPr>
          <w:rFonts w:ascii="Ebrima" w:hAnsi="Ebrima" w:eastAsia="Ebrima" w:cs="Ebrima"/>
        </w:rPr>
        <w:t>ምንኛ</w:t>
      </w:r>
      <w:r>
        <w:rPr>
          <w:rFonts w:ascii="Times New Roman" w:hAnsi="Times New Roman" w:eastAsia="Times New Roman" w:cs="Times New Roman"/>
        </w:rPr>
        <w:t xml:space="preserve"> </w:t>
      </w:r>
      <w:r>
        <w:rPr>
          <w:rFonts w:ascii="Ebrima" w:hAnsi="Ebrima" w:eastAsia="Ebrima" w:cs="Ebrima"/>
        </w:rPr>
        <w:t>የተለየ</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Evangelism, 695.</w:t>
      </w:r>
    </w:p>
    <w:p>
      <w:pPr>
        <w:pStyle w:val="ArticleBody"/>
        <w:jc w:val="left"/>
      </w:pPr>
      <w:r>
        <w:rPr>
          <w:rFonts w:ascii="Times New Roman" w:hAnsi="Times New Roman" w:eastAsia="Times New Roman" w:cs="Times New Roman"/>
        </w:rPr>
        <w:t>Le 22 octobre 1844, la septième trompette commença à retentir, et la trompette du Jubilé commença également à retentir.</w:t>
      </w:r>
    </w:p>
    <w:p>
      <w:pPr>
        <w:pStyle w:val="ArticleScripture"/>
        <w:jc w:val="left"/>
      </w:pPr>
      <w:r>
        <w:rPr>
          <w:rFonts w:ascii="Times New Roman" w:hAnsi="Times New Roman" w:eastAsia="Times New Roman" w:cs="Times New Roman"/>
        </w:rPr>
        <w:t>Ug u nan shalt aaŋkawan yasiiɗe jowiɗi ɗe duuɓi wonande maa, jowiɗi nde jowiɗi; e nder yimɓe yasiiɗe jowiɗi ɗe duuɓi ɗin ɗon maa wonan duuɓi capanɗe nayo e joweeteeɗi. Kanko maa a waɗan buccol jubilii ɗin hollaade e nyalaande sappo nde lewru jowiiɗo, e nyalaande kaffaarol onon ngollinan buccol ɗin hollaade nder leydi mooɗon fof. E onon cenndinan hitaande njoyndam nde, e ceerndon rimɗe nder leydi ndin fof wonande yimɓe mum fof: ɗum wonan onon jubilii; e kala gooto maa so''itan to ndonu mum, e kala gooto maa so''itan to ɓeen mum. Lewitikusa 25:8–10.</w:t>
      </w:r>
    </w:p>
    <w:p>
      <w:pPr>
        <w:pStyle w:val="ArticleBody"/>
        <w:jc w:val="left"/>
      </w:pPr>
      <w:r>
        <w:rPr>
          <w:rFonts w:ascii="Times New Roman" w:hAnsi="Times New Roman" w:eastAsia="Times New Roman" w:cs="Times New Roman"/>
        </w:rPr>
        <w:t>Lorsque commence le temps du scellement des cent quarante-quatre mille, il y a une trompette qui identifie que la guerre menée à son terme par l’islam est arrivée, et une trompette qui proclame la liberté pour ceux qui ont été esclaves du péché. L’une des trompettes identifie l’histoire extérieure, et l’autre représente l’expérience intérieure de ce peuple de l’alliance des derniers jours. Leur esclavage prend fin lorsque leur humanité est unie à Sa Divinité pour l’éternité. Ligne sur ligne, ces deux trompettes ne sont qu’une seule Trompette, car la trompette du Jubilé n’est sonnée qu’au Jour des Expiations, et le Jour des Expiations commence lorsque la septième trompette du troisième malheur retentit. La doctrine qui représentait les deux trompettes dans le mouvement millérite était la lumière du sabbat. La lumière qui représente les deux Trompettes en ces derniers jours est la doctrine de l’incarnation. Ligne sur ligne, le sabbat et la doctrine de l’incarnation sont une seule et même doctrine.</w:t>
      </w:r>
    </w:p>
    <w:p>
      <w:pPr>
        <w:pStyle w:val="ArticleBody"/>
        <w:jc w:val="left"/>
      </w:pPr>
      <w:r>
        <w:rPr>
          <w:rFonts w:ascii="Times New Roman" w:hAnsi="Times New Roman" w:eastAsia="Times New Roman" w:cs="Times New Roman"/>
        </w:rPr>
        <w:t>La confession de Pierre a identifié le Messie, et aussi le Fils de Dieu. Le Messie est le Fils de Dieu. Le Messie est le Créateur représenté par le sabbat.</w:t>
      </w:r>
    </w:p>
    <w:p>
      <w:pPr>
        <w:pStyle w:val="ArticleScripture"/>
        <w:jc w:val="left"/>
      </w:pPr>
      <w:r>
        <w:rPr>
          <w:rFonts w:ascii="Times New Roman" w:hAnsi="Times New Roman" w:eastAsia="Times New Roman" w:cs="Times New Roman"/>
        </w:rPr>
        <w:t>«پولُس هرگز مسیح را در زمانی که بر زمین ساکن بود ندیده بود. هرچند دربارهٔ او و اعمالش شنیده بود، اما نمی‌توانست باور کند که مسیحای موعود، آفرینندۀ همۀ عالَم‌ها، بخشندۀ همۀ برکات، به‌صورت انسانی صرف بر زمین ظاهر شود.» Sketches from the Life of Paul, 256.</w:t>
      </w:r>
    </w:p>
    <w:p>
      <w:pPr>
        <w:pStyle w:val="ArticleBody"/>
        <w:jc w:val="left"/>
      </w:pPr>
      <w:r>
        <w:rPr>
          <w:rFonts w:ascii="Times New Roman" w:hAnsi="Times New Roman" w:eastAsia="Times New Roman" w:cs="Times New Roman"/>
        </w:rPr>
        <w:t>Le sabbat identifie le Créateur, et le Créateur était le Christ que Pierre a identifié. Le Fils de Dieu, que Pierre a identifié, est Celui qui s’est uni à la chair humaine pour devenir le Fils de l’homme. Le Fils de Dieu représente l’incarnation.</w:t>
      </w:r>
    </w:p>
    <w:p>
      <w:pPr>
        <w:pStyle w:val="ArticleScripture"/>
        <w:jc w:val="left"/>
      </w:pPr>
      <w:r>
        <w:rPr>
          <w:rFonts w:ascii="Times New Roman" w:hAnsi="Times New Roman" w:eastAsia="Times New Roman" w:cs="Times New Roman"/>
        </w:rPr>
        <w:t>“Kristus gav män och kvinnor kraft att segra. Han kom till denna värld i mänsklig gestalt för att leva som människa bland människor. Han tog på sig den mänskliga naturens ansvar och begränsningar för att prövas och sättas på prov. I sin mänsklighet var Han delaktig av den gudomliga naturen. Genom sin inkarnation erhöll Han i en ny bemärkelse titeln Guds Son. Ängeln sade till Maria: ‘Den Högstes kraft skall överskygga dig; därför skall också det heliga som blir fött av dig kallas Guds Son’ (Luk. 1:35). Samtidigt som Han var en människas son, blev Han i en ny bemärkelse Guds Son. Så stod Han i vår värld—Guds Son, och dock genom födelsen förbunden med människosläktet.” Selected Messages, bok 1, 226.</w:t>
      </w:r>
    </w:p>
    <w:p>
      <w:pPr>
        <w:pStyle w:val="ArticleBody"/>
        <w:jc w:val="left"/>
      </w:pPr>
      <w:r>
        <w:rPr>
          <w:rFonts w:ascii="Leelawadee UI" w:hAnsi="Leelawadee UI" w:eastAsia="Leelawadee UI" w:cs="Leelawadee UI"/>
        </w:rPr>
        <w:t>ទីក្រុងកេសារីយ៉ា</w:t>
      </w:r>
      <w:r>
        <w:rPr>
          <w:rFonts w:ascii="Times New Roman" w:hAnsi="Times New Roman" w:eastAsia="Times New Roman" w:cs="Times New Roman"/>
        </w:rPr>
        <w:t xml:space="preserve"> </w:t>
      </w:r>
      <w:r>
        <w:rPr>
          <w:rFonts w:ascii="Leelawadee UI" w:hAnsi="Leelawadee UI" w:eastAsia="Leelawadee UI" w:cs="Leelawadee UI"/>
        </w:rPr>
        <w:t>ភីលីព</w:t>
      </w:r>
      <w:r>
        <w:rPr>
          <w:rFonts w:ascii="Times New Roman" w:hAnsi="Times New Roman" w:eastAsia="Times New Roman" w:cs="Times New Roman"/>
        </w:rPr>
        <w:t xml:space="preserve"> </w:t>
      </w:r>
      <w:r>
        <w:rPr>
          <w:rFonts w:ascii="Leelawadee UI" w:hAnsi="Leelawadee UI" w:eastAsia="Leelawadee UI" w:cs="Leelawadee UI"/>
        </w:rPr>
        <w:t>ពាក្យសារភាពពីរផ្នែករបស់ពេត្រុស</w:t>
      </w:r>
      <w:r>
        <w:rPr>
          <w:rFonts w:ascii="Times New Roman" w:hAnsi="Times New Roman" w:eastAsia="Times New Roman" w:cs="Times New Roman"/>
        </w:rPr>
        <w:t xml:space="preserve"> </w:t>
      </w:r>
      <w:r>
        <w:rPr>
          <w:rFonts w:ascii="Leelawadee UI" w:hAnsi="Leelawadee UI" w:eastAsia="Leelawadee UI" w:cs="Leelawadee UI"/>
        </w:rPr>
        <w:t>បានតំណាងឲ្យមនុស្សមួយសែនសែសិបបួនពាន់</w:t>
      </w:r>
      <w:r>
        <w:rPr>
          <w:rFonts w:ascii="Times New Roman" w:hAnsi="Times New Roman" w:eastAsia="Times New Roman" w:cs="Times New Roman"/>
        </w:rPr>
        <w:t xml:space="preserve"> </w:t>
      </w:r>
      <w:r>
        <w:rPr>
          <w:rFonts w:ascii="Leelawadee UI" w:hAnsi="Leelawadee UI" w:eastAsia="Leelawadee UI" w:cs="Leelawadee UI"/>
        </w:rPr>
        <w:t>ដែលយល់ថា</w:t>
      </w:r>
      <w:r>
        <w:rPr>
          <w:rFonts w:ascii="Times New Roman" w:hAnsi="Times New Roman" w:eastAsia="Times New Roman" w:cs="Times New Roman"/>
        </w:rPr>
        <w:t xml:space="preserve"> </w:t>
      </w:r>
      <w:r>
        <w:rPr>
          <w:rFonts w:ascii="Leelawadee UI" w:hAnsi="Leelawadee UI" w:eastAsia="Leelawadee UI" w:cs="Leelawadee UI"/>
        </w:rPr>
        <w:t>ព្រះយេស៊ូវគឺជាព្រះគ្រីស្ទ</w:t>
      </w:r>
      <w:r>
        <w:rPr>
          <w:rFonts w:ascii="Times New Roman" w:hAnsi="Times New Roman" w:eastAsia="Times New Roman" w:cs="Times New Roman"/>
        </w:rPr>
        <w:t xml:space="preserve"> </w:t>
      </w:r>
      <w:r>
        <w:rPr>
          <w:rFonts w:ascii="Leelawadee UI" w:hAnsi="Leelawadee UI" w:eastAsia="Leelawadee UI" w:cs="Leelawadee UI"/>
        </w:rPr>
        <w:t>ជាព្រះរាជបុត្រានៃព្រះ</w:t>
      </w:r>
      <w:r>
        <w:rPr>
          <w:rFonts w:ascii="Times New Roman" w:hAnsi="Times New Roman" w:eastAsia="Times New Roman" w:cs="Times New Roman"/>
        </w:rPr>
        <w:t xml:space="preserve"> </w:t>
      </w:r>
      <w:r>
        <w:rPr>
          <w:rFonts w:ascii="Leelawadee UI" w:hAnsi="Leelawadee UI" w:eastAsia="Leelawadee UI" w:cs="Leelawadee UI"/>
        </w:rPr>
        <w:t>និងទទួលស្គាល់លទ្ធិសាស្ត្រអំពីថ្ងៃសប្ប័ទ</w:t>
      </w:r>
      <w:r>
        <w:rPr>
          <w:rFonts w:ascii="Times New Roman" w:hAnsi="Times New Roman" w:eastAsia="Times New Roman" w:cs="Times New Roman"/>
        </w:rPr>
        <w:t xml:space="preserve"> </w:t>
      </w:r>
      <w:r>
        <w:rPr>
          <w:rFonts w:ascii="Leelawadee UI" w:hAnsi="Leelawadee UI" w:eastAsia="Leelawadee UI" w:cs="Leelawadee UI"/>
        </w:rPr>
        <w:t>ដែលត្រូវបានបំភ្លឺក្នុងឆ្នាំ</w:t>
      </w:r>
      <w:r>
        <w:rPr>
          <w:rFonts w:ascii="Times New Roman" w:hAnsi="Times New Roman" w:eastAsia="Times New Roman" w:cs="Times New Roman"/>
        </w:rPr>
        <w:t xml:space="preserve"> 1844 </w:t>
      </w:r>
      <w:r>
        <w:rPr>
          <w:rFonts w:ascii="Leelawadee UI" w:hAnsi="Leelawadee UI" w:eastAsia="Leelawadee UI" w:cs="Leelawadee UI"/>
        </w:rPr>
        <w:t>ព្រមទាំងលទ្ធិសាស្ត្រអំពីការចាប់កំណើតជាមនុស្សរបស់ព្រះ</w:t>
      </w:r>
      <w:r>
        <w:rPr>
          <w:rFonts w:ascii="Times New Roman" w:hAnsi="Times New Roman" w:eastAsia="Times New Roman" w:cs="Times New Roman"/>
        </w:rPr>
        <w:t xml:space="preserve"> </w:t>
      </w:r>
      <w:r>
        <w:rPr>
          <w:rFonts w:ascii="Leelawadee UI" w:hAnsi="Leelawadee UI" w:eastAsia="Leelawadee UI" w:cs="Leelawadee UI"/>
        </w:rPr>
        <w:t>ដែលត្រូវបានស្គាល់នៅថ្ងៃចុងក្រោយ។</w:t>
      </w:r>
      <w:r>
        <w:rPr>
          <w:rFonts w:ascii="Times New Roman" w:hAnsi="Times New Roman" w:eastAsia="Times New Roman" w:cs="Times New Roman"/>
        </w:rPr>
        <w:t xml:space="preserve"> </w:t>
      </w:r>
      <w:r>
        <w:rPr>
          <w:rFonts w:ascii="Leelawadee UI" w:hAnsi="Leelawadee UI" w:eastAsia="Leelawadee UI" w:cs="Leelawadee UI"/>
        </w:rPr>
        <w:t>ពន្លឺនៃសេចក្ដីពិតពីរផ្នែកនេះ</w:t>
      </w:r>
      <w:r>
        <w:rPr>
          <w:rFonts w:ascii="Times New Roman" w:hAnsi="Times New Roman" w:eastAsia="Times New Roman" w:cs="Times New Roman"/>
        </w:rPr>
        <w:t xml:space="preserve"> </w:t>
      </w:r>
      <w:r>
        <w:rPr>
          <w:rFonts w:ascii="Leelawadee UI" w:hAnsi="Leelawadee UI" w:eastAsia="Leelawadee UI" w:cs="Leelawadee UI"/>
        </w:rPr>
        <w:t>ត្រូវបានបើកបង្ហាញឡើងនៅដើម</w:t>
      </w:r>
      <w:r>
        <w:rPr>
          <w:rFonts w:ascii="Times New Roman" w:hAnsi="Times New Roman" w:eastAsia="Times New Roman" w:cs="Times New Roman"/>
        </w:rPr>
        <w:t xml:space="preserve"> </w:t>
      </w:r>
      <w:r>
        <w:rPr>
          <w:rFonts w:ascii="Leelawadee UI" w:hAnsi="Leelawadee UI" w:eastAsia="Leelawadee UI" w:cs="Leelawadee UI"/>
        </w:rPr>
        <w:t>និងនៅចុងបញ្ចប់នៃរយៈពេលនៃការបោះត្រា</w:t>
      </w:r>
      <w:r>
        <w:rPr>
          <w:rFonts w:ascii="Times New Roman" w:hAnsi="Times New Roman" w:eastAsia="Times New Roman" w:cs="Times New Roman"/>
        </w:rPr>
        <w:t xml:space="preserve"> </w:t>
      </w:r>
      <w:r>
        <w:rPr>
          <w:rFonts w:ascii="Leelawadee UI" w:hAnsi="Leelawadee UI" w:eastAsia="Leelawadee UI" w:cs="Leelawadee UI"/>
        </w:rPr>
        <w:t>ដូចដែលត្រូវបានធ្វើជាសាក្សីដោយប្រវត្តិនៃការបោះត្រា</w:t>
      </w:r>
      <w:r>
        <w:rPr>
          <w:rFonts w:ascii="Times New Roman" w:hAnsi="Times New Roman" w:eastAsia="Times New Roman" w:cs="Times New Roman"/>
        </w:rPr>
        <w:t xml:space="preserve"> </w:t>
      </w:r>
      <w:r>
        <w:rPr>
          <w:rFonts w:ascii="Leelawadee UI" w:hAnsi="Leelawadee UI" w:eastAsia="Leelawadee UI" w:cs="Leelawadee UI"/>
        </w:rPr>
        <w:t>ចាប់ពីថ្ងៃទី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ដល់ឆ្នាំ</w:t>
      </w:r>
      <w:r>
        <w:rPr>
          <w:rFonts w:ascii="Times New Roman" w:hAnsi="Times New Roman" w:eastAsia="Times New Roman" w:cs="Times New Roman"/>
        </w:rPr>
        <w:t xml:space="preserve"> 1863 </w:t>
      </w:r>
      <w:r>
        <w:rPr>
          <w:rFonts w:ascii="Leelawadee UI" w:hAnsi="Leelawadee UI" w:eastAsia="Leelawadee UI" w:cs="Leelawadee UI"/>
        </w:rPr>
        <w:t>និងប្រវត្តិនៃសំឡេងពីរនៅក្នុងវិវរណៈ</w:t>
      </w:r>
      <w:r>
        <w:rPr>
          <w:rFonts w:ascii="Times New Roman" w:hAnsi="Times New Roman" w:eastAsia="Times New Roman" w:cs="Times New Roman"/>
        </w:rPr>
        <w:t xml:space="preserve"> </w:t>
      </w:r>
      <w:r>
        <w:rPr>
          <w:rFonts w:ascii="Leelawadee UI" w:hAnsi="Leelawadee UI" w:eastAsia="Leelawadee UI" w:cs="Leelawadee UI"/>
        </w:rPr>
        <w:t>ជំពូកដប់ប្រាំបី។</w:t>
      </w:r>
    </w:p>
    <w:p>
      <w:pPr>
        <w:pStyle w:val="ArticleBody"/>
        <w:jc w:val="left"/>
      </w:pPr>
      <w:r>
        <w:rPr>
          <w:rFonts w:ascii="Times New Roman" w:hAnsi="Times New Roman" w:eastAsia="Times New Roman" w:cs="Times New Roman"/>
        </w:rPr>
        <w:t>Mu buryo bwombi, haba mu murongo wa ba Millerite w’ikorwa ryo gushyirwaho ikimenyetso, no mu murongo wa gihanuzi w’ugushyirwaho ikimenyetso muri Ibyahishuwe cumi n’umunani, hari ikigeragezo ku mpera cyane z’igihe, aho itsinda rimwe rigaragazwa ko ari abageni b’abapfu, nk’uko byagenze kuva mu 1856 kugeza mu 1863, kandi hakagaragazwa itsinda ko ari abageni b’abanyabwenge kuva muri Nyakanga 2023 kugeza ku itegeko ryo ku Cyumweru rigiye kuza vuba. Icyo gihe cya nyuma cyo kugeragezwa gisubiramo intangiriro y’icyo gihe. Wa mumarayika umwe wamanutse ku wa 11 Nzeri 2001 yaje ari Mikayeli kugira ngo ahamagare abapfuye basubire mu bugingo mu 2023, bamwe bajye mu bugingo bw’iteka, abandi bajye mu rupfu rw’iteka. Igihe yageraga, yayoboye ubwoko bwe gusubira ku rufatiro. Bamwe banga kugendera mu nzira za kera, abandi bagendera mu nzira za kera. Bamwe bumvira ijwi ry’impanda, abandi banga kuryumva.</w:t>
      </w:r>
    </w:p>
    <w:p>
      <w:pPr>
        <w:pStyle w:val="ArticleScripture"/>
        <w:jc w:val="left"/>
      </w:pPr>
      <w:r>
        <w:rPr>
          <w:rFonts w:ascii="Times New Roman" w:hAnsi="Times New Roman" w:eastAsia="Times New Roman" w:cs="Times New Roman"/>
        </w:rPr>
        <w:t>Ko kɛɖe, Yehowa gblɔ be, Mitsi tsitre le mɔwo dzi, eye miakpɔ, miabia le mɔ xoxowo ŋu, afisi mɔ nyui la le, eye miatsɔ afɔ ɖo edzi, eye miakpɔ dzidzɔ na miaƒe luʋowo. Gake wo gblɔ be, Míele afɔ ɖo ge edzi o. Gawu la, metsɔ ŋutifafalawo ɖo mia dzi, megbɔ be, Misee kpawoƒe gbe la. Gake wo gblɔ be, Míasee o. Yeremia 6:16, 17.</w:t>
      </w:r>
    </w:p>
    <w:p>
      <w:pPr>
        <w:pStyle w:val="ArticleBody"/>
        <w:jc w:val="left"/>
      </w:pPr>
      <w:r>
        <w:rPr>
          <w:rFonts w:ascii="Times New Roman" w:hAnsi="Times New Roman" w:eastAsia="Times New Roman" w:cs="Times New Roman"/>
        </w:rPr>
        <w:t>Ang mensaheng inirerepresenta ng trumpeta na hinihipan ng mga bantay ay may dalawang bahagi. Ito ang ikapitong trumpeta ng Islam at ang trumpeta ng Jubileo ng kaligtasan. Ito ang mensahe ng pagsasanib ng Pagka-Diyos sa pagkatao, na naisasakatuparan sa pamamagitan ng hiwaga ng pagkakatawang-tao, at nagbubunga ng isang karakter na inihanda para sa tatak ng Diyos, na siyang Sabbath. Ang mensahe, ang gawain, at ang mga kalagayang kaugnay ng huling yugto ng pagtatatak na iyon na nagsimula noong Hulyo 2023, dalawampu’t dalawang taon pagkatapos ng 2001, ay inirerepresenta ng talata labintatlo hanggang labinlima ng Daniel kabanata labing-isa, at ng pagdalaw ni Cristo sa Cesarea Filipos sa Mateo kabanata labing-anim.</w:t>
      </w:r>
    </w:p>
    <w:p>
      <w:pPr>
        <w:pStyle w:val="ArticleBody"/>
        <w:jc w:val="left"/>
      </w:pPr>
      <w:r>
        <w:rPr>
          <w:rFonts w:ascii="Times New Roman" w:hAnsi="Times New Roman" w:eastAsia="Times New Roman" w:cs="Times New Roman"/>
        </w:rPr>
        <w:t>Dans la parabole des dix vierges, toutes les vierges s’endormirent pendant le temps du retard. Jésus dit à Ses disciples que Lazare dort.</w:t>
      </w:r>
    </w:p>
    <w:p>
      <w:pPr>
        <w:pStyle w:val="ArticleScripture"/>
        <w:jc w:val="left"/>
      </w:pPr>
      <w:r>
        <w:rPr>
          <w:rFonts w:ascii="Microsoft YaHei" w:hAnsi="Microsoft YaHei" w:eastAsia="Microsoft YaHei" w:cs="Microsoft YaHei"/>
        </w:rPr>
        <w:t>他说了这话</w:t>
      </w:r>
      <w:r>
        <w:rPr>
          <w:rFonts w:ascii="Times New Roman" w:hAnsi="Times New Roman" w:eastAsia="Times New Roman" w:cs="Times New Roman"/>
        </w:rPr>
        <w:t>,</w:t>
      </w:r>
      <w:r>
        <w:rPr>
          <w:rFonts w:ascii="Microsoft YaHei" w:hAnsi="Microsoft YaHei" w:eastAsia="Microsoft YaHei" w:cs="Microsoft YaHei"/>
        </w:rPr>
        <w:t>随后又对他们说</w:t>
      </w:r>
      <w:r>
        <w:rPr>
          <w:rFonts w:ascii="Times New Roman" w:hAnsi="Times New Roman" w:eastAsia="Times New Roman" w:cs="Times New Roman"/>
        </w:rPr>
        <w:t>,</w:t>
      </w:r>
      <w:r>
        <w:rPr>
          <w:rFonts w:ascii="Microsoft YaHei" w:hAnsi="Microsoft YaHei" w:eastAsia="Microsoft YaHei" w:cs="Microsoft YaHei"/>
        </w:rPr>
        <w:t>我们的朋友拉撒路睡了</w:t>
      </w:r>
      <w:r>
        <w:rPr>
          <w:rFonts w:ascii="Times New Roman" w:hAnsi="Times New Roman" w:eastAsia="Times New Roman" w:cs="Times New Roman"/>
        </w:rPr>
        <w:t>;</w:t>
      </w:r>
      <w:r>
        <w:rPr>
          <w:rFonts w:ascii="Microsoft YaHei" w:hAnsi="Microsoft YaHei" w:eastAsia="Microsoft YaHei" w:cs="Microsoft YaHei"/>
        </w:rPr>
        <w:t>但我去</w:t>
      </w:r>
      <w:r>
        <w:rPr>
          <w:rFonts w:ascii="Times New Roman" w:hAnsi="Times New Roman" w:eastAsia="Times New Roman" w:cs="Times New Roman"/>
        </w:rPr>
        <w:t>,</w:t>
      </w:r>
      <w:r>
        <w:rPr>
          <w:rFonts w:ascii="Microsoft YaHei" w:hAnsi="Microsoft YaHei" w:eastAsia="Microsoft YaHei" w:cs="Microsoft YaHei"/>
        </w:rPr>
        <w:t>是要叫他从睡中醒过来</w:t>
      </w:r>
      <w:r>
        <w:rPr>
          <w:rFonts w:ascii="Times New Roman" w:hAnsi="Times New Roman" w:eastAsia="Times New Roman" w:cs="Times New Roman"/>
        </w:rPr>
        <w:t>.</w:t>
      </w:r>
      <w:r>
        <w:rPr>
          <w:rFonts w:ascii="Microsoft YaHei" w:hAnsi="Microsoft YaHei" w:eastAsia="Microsoft YaHei" w:cs="Microsoft YaHei"/>
        </w:rPr>
        <w:t>门徒就说</w:t>
      </w:r>
      <w:r>
        <w:rPr>
          <w:rFonts w:ascii="Times New Roman" w:hAnsi="Times New Roman" w:eastAsia="Times New Roman" w:cs="Times New Roman"/>
        </w:rPr>
        <w:t>,</w:t>
      </w:r>
      <w:r>
        <w:rPr>
          <w:rFonts w:ascii="Microsoft YaHei" w:hAnsi="Microsoft YaHei" w:eastAsia="Microsoft YaHei" w:cs="Microsoft YaHei"/>
        </w:rPr>
        <w:t>主啊</w:t>
      </w:r>
      <w:r>
        <w:rPr>
          <w:rFonts w:ascii="Times New Roman" w:hAnsi="Times New Roman" w:eastAsia="Times New Roman" w:cs="Times New Roman"/>
        </w:rPr>
        <w:t>,</w:t>
      </w:r>
      <w:r>
        <w:rPr>
          <w:rFonts w:ascii="Microsoft YaHei" w:hAnsi="Microsoft YaHei" w:eastAsia="Microsoft YaHei" w:cs="Microsoft YaHei"/>
        </w:rPr>
        <w:t>他若睡了</w:t>
      </w:r>
      <w:r>
        <w:rPr>
          <w:rFonts w:ascii="Times New Roman" w:hAnsi="Times New Roman" w:eastAsia="Times New Roman" w:cs="Times New Roman"/>
        </w:rPr>
        <w:t>,</w:t>
      </w:r>
      <w:r>
        <w:rPr>
          <w:rFonts w:ascii="Microsoft YaHei" w:hAnsi="Microsoft YaHei" w:eastAsia="Microsoft YaHei" w:cs="Microsoft YaHei"/>
        </w:rPr>
        <w:t>就必好了</w:t>
      </w:r>
      <w:r>
        <w:rPr>
          <w:rFonts w:ascii="Times New Roman" w:hAnsi="Times New Roman" w:eastAsia="Times New Roman" w:cs="Times New Roman"/>
        </w:rPr>
        <w:t>.</w:t>
      </w:r>
      <w:r>
        <w:rPr>
          <w:rFonts w:ascii="Microsoft YaHei" w:hAnsi="Microsoft YaHei" w:eastAsia="Microsoft YaHei" w:cs="Microsoft YaHei"/>
        </w:rPr>
        <w:t>耶稣这话原是指着他的死说的</w:t>
      </w:r>
      <w:r>
        <w:rPr>
          <w:rFonts w:ascii="Times New Roman" w:hAnsi="Times New Roman" w:eastAsia="Times New Roman" w:cs="Times New Roman"/>
        </w:rPr>
        <w:t>;</w:t>
      </w:r>
      <w:r>
        <w:rPr>
          <w:rFonts w:ascii="Microsoft YaHei" w:hAnsi="Microsoft YaHei" w:eastAsia="Microsoft YaHei" w:cs="Microsoft YaHei"/>
        </w:rPr>
        <w:t>他们却以为他说的是睡眠中的安歇</w:t>
      </w:r>
      <w:r>
        <w:rPr>
          <w:rFonts w:ascii="Times New Roman" w:hAnsi="Times New Roman" w:eastAsia="Times New Roman" w:cs="Times New Roman"/>
        </w:rPr>
        <w:t>.</w:t>
      </w:r>
      <w:r>
        <w:rPr>
          <w:rFonts w:ascii="Microsoft YaHei" w:hAnsi="Microsoft YaHei" w:eastAsia="Microsoft YaHei" w:cs="Microsoft YaHei"/>
        </w:rPr>
        <w:t>于是耶稣就明明地告诉他们</w:t>
      </w:r>
      <w:r>
        <w:rPr>
          <w:rFonts w:ascii="Times New Roman" w:hAnsi="Times New Roman" w:eastAsia="Times New Roman" w:cs="Times New Roman"/>
        </w:rPr>
        <w:t>,</w:t>
      </w:r>
      <w:r>
        <w:rPr>
          <w:rFonts w:ascii="Microsoft YaHei" w:hAnsi="Microsoft YaHei" w:eastAsia="Microsoft YaHei" w:cs="Microsoft YaHei"/>
        </w:rPr>
        <w:t>拉撒路死了</w:t>
      </w:r>
      <w:r>
        <w:rPr>
          <w:rFonts w:ascii="Times New Roman" w:hAnsi="Times New Roman" w:eastAsia="Times New Roman" w:cs="Times New Roman"/>
        </w:rPr>
        <w:t>.</w:t>
      </w:r>
      <w:r>
        <w:rPr>
          <w:rFonts w:ascii="Microsoft YaHei" w:hAnsi="Microsoft YaHei" w:eastAsia="Microsoft YaHei" w:cs="Microsoft YaHei"/>
        </w:rPr>
        <w:t>约翰福音</w:t>
      </w:r>
      <w:r>
        <w:rPr>
          <w:rFonts w:ascii="Times New Roman" w:hAnsi="Times New Roman" w:eastAsia="Times New Roman" w:cs="Times New Roman"/>
        </w:rPr>
        <w:t xml:space="preserve"> 11:10–14.</w:t>
      </w:r>
    </w:p>
    <w:p>
      <w:pPr>
        <w:pStyle w:val="ArticleBody"/>
        <w:jc w:val="left"/>
      </w:pPr>
      <w:r>
        <w:rPr>
          <w:rFonts w:ascii="Times New Roman" w:hAnsi="Times New Roman" w:eastAsia="Times New Roman" w:cs="Times New Roman"/>
        </w:rPr>
        <w:t>No fim de vinte e um dias, Daniel viu a visão, e ele estava em sono profundo.</w:t>
      </w:r>
    </w:p>
    <w:p>
      <w:pPr>
        <w:pStyle w:val="ArticleScripture"/>
        <w:jc w:val="left"/>
      </w:pPr>
      <w:r>
        <w:rPr>
          <w:rFonts w:ascii="Times New Roman" w:hAnsi="Times New Roman" w:eastAsia="Times New Roman" w:cs="Times New Roman"/>
        </w:rPr>
        <w:t>At ako, si Daniel lamang, ang nakakita ng pangitain: sapagkat ang mga lalaking kasama ko ay hindi nakita ang pangitain; ngunit isang malaking panginginig ang sumapit sa kanila, anupat sila’y nagsitakas upang magkubli. Kaya’t ako’y naiwang nag-iisa, at nakita ko ang dakilang pangitaing ito, at walang lakas na nanatili sa akin: sapagkat ang aking kariktan ay napalitan sa akin ng kabulukan, at wala akong natirang lakas. Gayon ma’y narinig ko ang tinig ng kaniyang mga salita: at nang marinig ko ang tinig ng kaniyang mga salita, saka ako napasa malalim na pagkakahimbing na nakayukod ang aking mukha, at ang aking mukha ay nasa lupa. Daniel 10:7–9.</w:t>
      </w:r>
    </w:p>
    <w:p>
      <w:pPr>
        <w:pStyle w:val="ArticleBody"/>
        <w:jc w:val="left"/>
      </w:pPr>
      <w:r>
        <w:rPr>
          <w:rFonts w:ascii="Times New Roman" w:hAnsi="Times New Roman" w:eastAsia="Times New Roman" w:cs="Times New Roman"/>
        </w:rPr>
        <w:t>Na Rua, as duas testemunhas de Apocalipse capítulo onze estiveram mortas por três dias e meio, e os ossos mortos de Ezequiel estavam no vale. Em 18 de julho de 2020, o tempo de demora de morte espiritual e de sono foi trazido sobre as virgens do movimento do terceiro anjo. Três anos mais tarde, começou o processo de despertar e preparar o povo de Deus dos últimos dias como o Seu estandarte e poderoso exército. O anjo que desceu em 18 de julho de 2020 desselou uma verdade, como os anjos sempre fazem quando descem.</w:t>
      </w:r>
    </w:p>
    <w:p>
      <w:pPr>
        <w:pStyle w:val="ArticleBody"/>
        <w:jc w:val="left"/>
      </w:pPr>
      <w:r>
        <w:rPr>
          <w:rFonts w:ascii="Times New Roman" w:hAnsi="Times New Roman" w:eastAsia="Times New Roman" w:cs="Times New Roman"/>
        </w:rPr>
        <w:t>هغه حقیقت چې هغه مُهر يې پرانيست، د تم کېدو د وخت او د لومړۍ ناهيلۍ تجربه وه. د خدای د وروستيو ورځو قوم هغه مهال خواره واره شوي وو، او کله چې په تاريخ کې د هغوی د راويښولو بهير راورسېده، له هغوی څخه به غوښتل کېدل چې وپېژني او ومني چې دوی خواره واره شوي وو او دا چې دوی د تم کېدو په وخت کې وو. بيا ډېرې فرښتې، يا ډېر پيغامونه، ولېږل شول څو د تم کېدو د وخت پيغام پياوړی کړي.</w:t>
      </w:r>
    </w:p>
    <w:p>
      <w:pPr>
        <w:pStyle w:val="ArticleScripture"/>
        <w:jc w:val="left"/>
      </w:pPr>
      <w:r>
        <w:rPr>
          <w:rFonts w:ascii="Times New Roman" w:hAnsi="Times New Roman" w:eastAsia="Times New Roman" w:cs="Times New Roman"/>
        </w:rPr>
        <w:t>«Щом наближаваше краят на вестта на втория ангел, видях голяма светлина от небето, която сияеше върху Божия народ. Лъчите на тази светлина изглеждаха ярки като слънцето. И чух гласовете на ангели да викат: „Ето, Младоженецът иде; излезте да Го посрещнете!“»</w:t>
      </w:r>
    </w:p>
    <w:p>
      <w:pPr>
        <w:pStyle w:val="ArticleScripture"/>
        <w:jc w:val="left"/>
      </w:pPr>
      <w:r>
        <w:rPr>
          <w:rFonts w:ascii="Times New Roman" w:hAnsi="Times New Roman" w:eastAsia="Times New Roman" w:cs="Times New Roman"/>
        </w:rPr>
        <w:t>“Bọ́gbọ́n ẹ̀yí ni igbe ọ̀gànjọ́, èyí tí yóò fi agbára fún ìránṣẹ́ áńgẹ́lì kejì. A rán àwọn áńgẹ́lì láti ọ̀run wá láti jí àwọn mímọ́ tí wọ́n ti rẹ̀wẹ̀sì sókè, kí wọ́n sì pèsè wọn sílẹ̀ fún iṣẹ́ ńlá tí ń bẹ níwájú wọn. Kì í ṣe àwọn ọkùnrin tí ó ní ẹ̀bùn jùlọ ni wọ́n kọ́kọ́ gba ìránṣẹ́ yìí. A rán àwọn áńgẹ́lì sí àwọn onírẹ̀lẹ̀, àwọn ẹni ìfọkànsìn, wọ́n sì mú wọn dide láti gbé igbe náà sókè pé, ‘Wò ó, Ọkọ Ìyàwó ń bọ̀; ẹ jáde lọ pàdé Rẹ̀!’ Àwọn tí a fi igbe náà lé lọ́wọ́ yára, wọ́n sì, nínú agbára Ẹ̀mí Mímọ́, kéde ìránṣẹ́ náà, wọ́n sì jí àwọn ará wọn tí wọ́n ti rẹ̀wẹ̀sì sókè. Iṣẹ́ yìí kò dúró lórí ọgbọ́n àti ẹ̀kọ́ àwọn ènìyàn, bí kò ṣe lórí agbára Ọlọ́run; àwọn mímọ́ Rẹ̀ tí wọ́n gbọ́ igbe náà kò sì lè kọ̀ ọ́. Àwọn tí ó jẹ́ ti ẹ̀mí jùlọ ni wọ́n kọ́kọ́ gba ìránṣẹ́ yìí, àwọn tí wọ́n sì ti ṣáájú rí nínú iṣẹ́ náà ni wọ́n gbẹ̀yìn jùlọ láti gba a àti láti ran igbe náà lọ́wọ́ pé, ‘Wò ó, Ọkọ Ìyàwó ń bọ̀; ẹ jáde lọ pàdé Rẹ̀!’”</w:t>
      </w:r>
    </w:p>
    <w:p>
      <w:pPr>
        <w:pStyle w:val="ArticleScripture"/>
        <w:jc w:val="left"/>
      </w:pPr>
      <w:r>
        <w:rPr>
          <w:rFonts w:ascii="Times New Roman" w:hAnsi="Times New Roman" w:eastAsia="Times New Roman" w:cs="Times New Roman"/>
        </w:rPr>
        <w:t>«У ҳар бир юрт қисмида иккинчи фариштанинг хабари ҳақида нур берилди, ва бу нидо минглаб одамларнинг қалбларини эритди. У шаҳардан шаҳарга, қишлоқдан қишлоққа тарқалди, то Худонинг интизорликда турган халқи тўлақонли равишда уйғотилгунча. Кўп жамоатларда бу хабарни етказишга йўл қўйилмади, ва тирик гувоҳликка эга бўлган катта бир жамоа бу қулаган жамоатларни тарк этди. Тун ярмидаги нидо орқали қудратли бир иш амалга оширилди. Бу хабар қалбни синовдан ўтказувчи эди, мўминларни ўзлари учун тирик тажриба излашга етаклар эди. Улар бир-бирларига таяна олмасликларини билардилар». Early Writings, 238.</w:t>
      </w:r>
    </w:p>
    <w:p>
      <w:pPr>
        <w:pStyle w:val="ArticleBody"/>
        <w:jc w:val="left"/>
      </w:pPr>
      <w:r>
        <w:rPr>
          <w:rFonts w:ascii="Times New Roman" w:hAnsi="Times New Roman" w:eastAsia="Times New Roman" w:cs="Times New Roman"/>
        </w:rPr>
        <w:t>Ubufikire bw’ubutumwa bw’Induru yo mu Gicuku muri wa mugani bugaragaza igihe ibyiciro byombi by’abakobwa b’inkumi byerekana ku mugaragaro niba bifite amavuta. Abanyabwenge bafite amavuta, naho abapfu batayafite. Uwo mugani wasohorejwe n’umurimo wa Samuel Snow mu mateka y’Abamilerite, kandi muri uwo murimo ubutumwa Snow yagejejeho bwarushijeho gutunganywa nk’uko bigaragarira mu nyandiko ze zasohowe mu bitabo by’Abamilerite byo muri icyo gihe. Hanyuma, ubwo yageraga mu nama y’amahema ya Exeter, yabaye kuva ku wa 12 kugeza ku wa 17 Kanama 1844, hagereranywa kandi igihe cyaje kurangira abatabiriye iyo nama bayivuyemo maze batangaza ubwo butumwa.</w:t>
      </w:r>
    </w:p>
    <w:p>
      <w:pPr>
        <w:pStyle w:val="ArticleBody"/>
        <w:jc w:val="left"/>
      </w:pPr>
      <w:r>
        <w:rPr>
          <w:rFonts w:ascii="Nirmala UI" w:hAnsi="Nirmala UI" w:eastAsia="Nirmala UI" w:cs="Nirmala UI"/>
        </w:rPr>
        <w:t>अइ</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कुमारिहरू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सऽ</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होयबा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पहिलेएँ</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प्रसारित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एक्सेटरक</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तत्पश्चात्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पिघला</w:t>
      </w:r>
      <w:r>
        <w:rPr>
          <w:rFonts w:ascii="Times New Roman" w:hAnsi="Times New Roman" w:eastAsia="Times New Roman" w:cs="Times New Roman"/>
        </w:rPr>
        <w:t xml:space="preserve"> </w:t>
      </w:r>
      <w:r>
        <w:rPr>
          <w:rFonts w:ascii="Nirmala UI" w:hAnsi="Nirmala UI" w:eastAsia="Nirmala UI" w:cs="Nirmala UI"/>
        </w:rPr>
        <w:t>देलक।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गाम</w:t>
      </w:r>
      <w:r>
        <w:rPr>
          <w:rFonts w:ascii="Times New Roman" w:hAnsi="Times New Roman" w:eastAsia="Times New Roman" w:cs="Times New Roman"/>
        </w:rPr>
        <w:t xml:space="preserve"> </w:t>
      </w:r>
      <w:r>
        <w:rPr>
          <w:rFonts w:ascii="Nirmala UI" w:hAnsi="Nirmala UI" w:eastAsia="Nirmala UI" w:cs="Nirmala UI"/>
        </w:rPr>
        <w:t>पहुँचल</w:t>
      </w:r>
      <w:r>
        <w:rPr>
          <w:rFonts w:ascii="Times New Roman" w:hAnsi="Times New Roman" w:eastAsia="Times New Roman" w:cs="Times New Roman"/>
        </w:rPr>
        <w:t xml:space="preserve">, </w:t>
      </w:r>
      <w:r>
        <w:rPr>
          <w:rFonts w:ascii="Nirmala UI" w:hAnsi="Nirmala UI" w:eastAsia="Nirmala UI" w:cs="Nirmala UI"/>
        </w:rPr>
        <w:t>जाबत</w:t>
      </w:r>
      <w:r>
        <w:rPr>
          <w:rFonts w:ascii="Times New Roman" w:hAnsi="Times New Roman" w:eastAsia="Times New Roman" w:cs="Times New Roman"/>
        </w:rPr>
        <w:t xml:space="preserve"> </w:t>
      </w:r>
      <w:r>
        <w:rPr>
          <w:rFonts w:ascii="Nirmala UI" w:hAnsi="Nirmala UI" w:eastAsia="Nirmala UI" w:cs="Nirmala UI"/>
        </w:rPr>
        <w:t>प्रतीक्षारत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notre histoire présente, le message qui a commencé à être publié en juillet 2023 se trouve désormais dans cent vingt pays à travers le monde, et les articles qui représentent le développement du message du Cri de Minuit sont disponibles dans plus de soixante langues, et ces articles peuvent être soit lus, soit écoutés.</w:t>
      </w:r>
    </w:p>
    <w:p>
      <w:pPr>
        <w:pStyle w:val="ArticleScripture"/>
        <w:jc w:val="left"/>
      </w:pPr>
      <w:r>
        <w:rPr>
          <w:rFonts w:ascii="Times New Roman" w:hAnsi="Times New Roman" w:eastAsia="Times New Roman" w:cs="Times New Roman"/>
        </w:rPr>
        <w:t>La Révélation de Jésus-Christ, que Dieu lui a donnée pour montrer à ses serviteurs les choses qui doivent arriver bientôt; et il l’a fait connaître, en l’envoyant par son ange à son serviteur Jean, lequel a rendu témoignage à la parole de Dieu, au témoignage de Jésus-Christ, et à tout ce qu’il a vu. Heureux celui qui lit, et ceux qui entendent les paroles de cette prophétie, et qui gardent les choses qui y sont écrites; car le temps est proche. Apocalypse 1:1–3.</w:t>
      </w:r>
    </w:p>
    <w:p>
      <w:pPr>
        <w:pStyle w:val="ArticleBody"/>
        <w:jc w:val="left"/>
      </w:pPr>
      <w:r>
        <w:rPr>
          <w:rFonts w:ascii="Times New Roman" w:hAnsi="Times New Roman" w:eastAsia="Times New Roman" w:cs="Times New Roman"/>
        </w:rPr>
        <w:t>Nuru ya ujumbe huu, kama ilivyowakilishwa na makala hizo, imekamilishwa kwa takriban miezi sita na watu wawili.</w:t>
      </w:r>
    </w:p>
    <w:p>
      <w:pPr>
        <w:pStyle w:val="ArticleScripture"/>
        <w:jc w:val="left"/>
      </w:pPr>
      <w:r>
        <w:rPr>
          <w:rFonts w:ascii="Times New Roman" w:hAnsi="Times New Roman" w:eastAsia="Times New Roman" w:cs="Times New Roman"/>
        </w:rPr>
        <w:t>«Na yikokaki te ete baoyo bakoki kosunga na — balamukisama mpo báyeba mokumba na bango, bakozala te na makoki ya koyeba mosala ya Nzambe tango koganga makasi ya anzelu ya misato ekoyokana. Tango pole ekobima mpo na kongengisela mabele, na esika ya koya kosunga Yehova, bakolinga kokanga mosala na Ye mpo ekokana na makanisi na bango ya moke. Natámbwisa bino ete Nkolo akosala kati na mosala oyo ya suka na lolenge moko oyo ekobima mosika na molongo ya momesano ya makambo, mpe na nzela oyo ekotelema kotelemela mwango nyonso ya bomoto. Kati na biso bakozala baoyo bakolinga ntango nyonso kokontrɔla mosala ya Nzambe, kopesa mpe mitindo mpo na koningana nini esengeli kosalema tango mosala ezali kokende liboso na bokambami ya anzelu oyo asangani na anzelu ya misato na nsango oyo esengeli kopesama epai ya mokili. Nzambe akosalela banzela mpe bibongiseli oyo na nzela na yango ekomonana polele ete Azali kozwa singa ya bokonzi na maboko na Ye moko. Basali bakokamwa na banzela ya pete oyo Akosalela mpo na kobimisa mpe kokokisa mosala na Ye ya boyengebene.» Testimonies to Ministers, 300.</w:t>
      </w:r>
    </w:p>
    <w:p>
      <w:pPr>
        <w:pStyle w:val="ArticleBody"/>
        <w:jc w:val="left"/>
      </w:pPr>
      <w:r>
        <w:rPr>
          <w:rFonts w:ascii="Times New Roman" w:hAnsi="Times New Roman" w:eastAsia="Times New Roman" w:cs="Times New Roman"/>
        </w:rPr>
        <w:t>Emandalo ya ekika kya Yuda kaakano areese abantu Be ab’ennaku ez’oluvannyuma ku nnyiriri kkumi na ssatu okutuuka ku kkumi na ttaano eza Danyeri kkumi n’emu, ng’aggulawo ebyafaayo ebikiikirirwa ebyafaayo eby’oku mwaka 200 BC okutuuka ku 63 BC, era ne Matayo essuula kkumi na mukaaga, n’ebyafaayo eby’okukyalira kwa Kristo e Kayisaliya Firipo. Byombi, obunnabbi n’ebyafaayo eby’okutuukirira kwabwo, bikwatagana n’ekitundu ky’ekitabo kya Danyeri ekyasibiddwa okutuusa mu nnaku ez’oluvannyuma. Ebitabo bya Danyeri n’Okubikkulirwa kitabo kimu, kale mu nnaku ez’oluvannyuma, nga okusaasirwa tekunnaggwaako, Okubikkulirwa kwa Yesu Kristo kubikkulwa, era Okubikkulirwa okwo kubirimu ekitundu kya Danyeri ekikwata ku nnaku ez’oluvannyuma. Obudde butuuse olw’okumaliriza olukuŋŋaana olw’eweema olw’e Exeter.</w:t>
      </w:r>
    </w:p>
    <w:p>
      <w:pPr>
        <w:pStyle w:val="ArticleScripture"/>
        <w:jc w:val="left"/>
      </w:pPr>
      <w:r>
        <w:rPr>
          <w:rFonts w:ascii="Times New Roman" w:hAnsi="Times New Roman" w:eastAsia="Times New Roman" w:cs="Times New Roman"/>
        </w:rPr>
        <w:t>Na ɔka kyerɛɛ me sɛ: Nsɔw saa nhoma yi nkɔmhyɛ nsɛm no ano, na bere no abɛn. Nea ɔnteɛ no, ma ɔnyɛ bɔne bio; na nea ɔho agu fi no, ma ɔnkɔ so ngu ne ho fi; na nea ɔteɛ no, ma ɔnkɔ so nyɛ nea ɛteɛ; na nea ɔyɛ kronkron no, ma ɔnkɔ so nyɛ kronkron. Adiyisɛm 22:10, 11.</w:t>
      </w:r>
    </w:p>
    <w:p>
      <w:pPr>
        <w:pStyle w:val="ArticleBody"/>
        <w:jc w:val="left"/>
      </w:pPr>
      <w:r>
        <w:rPr>
          <w:rFonts w:ascii="Times New Roman" w:hAnsi="Times New Roman" w:eastAsia="Times New Roman" w:cs="Times New Roman"/>
        </w:rPr>
        <w:t>ہم اس مطالعہ کو اگلے مضمون میں جاری رکھیں گے۔</w:t>
      </w:r>
    </w:p>
    <w:p>
      <w:pPr>
        <w:pStyle w:val="ArticleScripture"/>
        <w:jc w:val="left"/>
      </w:pPr>
      <w:r>
        <w:rPr>
          <w:rFonts w:ascii="Times New Roman" w:hAnsi="Times New Roman" w:eastAsia="Times New Roman" w:cs="Times New Roman"/>
        </w:rPr>
        <w:t>Voyez, les jours viennent, dit le Seigneur, l’Éternel, où j’enverrai une famine dans le pays, non une famine de pain, ni une soif d’eau, mais la faim d’entendre les paroles de l’Éternel. Ils erreront d’une mer à l’autre, et du nord jusqu’à l’orient; ils iront çà et là pour chercher la parole de l’Éternel, et ils ne la trouveront pas. En ce jour, les belles vierges et les jeunes hommes défailliront de soif. Ceux qui jurent par le péché de Samarie, et qui disent: Ton dieu, ô Dan, est vivant! et: La voie de Beer-Schéba est vivante! ceux-là tomberont, et ne se relèveront jamais.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quatre-vingt-quatre</dc:title>
  <dc:subject>El Sabbat y la Encarnación: Piedras angulares del proceso de sellamiento millerita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