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quatre-vingt-huit</w:t>
      </w:r>
    </w:p>
    <w:p>
      <w:pPr>
        <w:pStyle w:val="ArticleSubtitle"/>
        <w:jc w:val="left"/>
      </w:pPr>
      <w:r>
        <w:rPr>
          <w:rFonts w:ascii="Segoe UI" w:hAnsi="Segoe UI" w:eastAsia="Segoe UI" w:cs="Segoe UI"/>
        </w:rPr>
        <w:t>له</w:t>
      </w:r>
      <w:r>
        <w:rPr>
          <w:rFonts w:ascii="Arial" w:hAnsi="Arial" w:eastAsia="Arial" w:cs="Arial"/>
        </w:rPr>
        <w:t xml:space="preserve"> </w:t>
      </w:r>
      <w:r>
        <w:rPr>
          <w:rFonts w:ascii="Segoe UI" w:hAnsi="Segoe UI" w:eastAsia="Segoe UI" w:cs="Segoe UI"/>
        </w:rPr>
        <w:t>رفحيا</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بانيوم</w:t>
      </w:r>
      <w:r>
        <w:rPr>
          <w:rFonts w:ascii="Arial" w:hAnsi="Arial" w:eastAsia="Arial" w:cs="Arial"/>
        </w:rPr>
        <w:t xml:space="preserve">: </w:t>
      </w:r>
      <w:r>
        <w:rPr>
          <w:rFonts w:ascii="Segoe UI" w:hAnsi="Segoe UI" w:eastAsia="Segoe UI" w:cs="Segoe UI"/>
        </w:rPr>
        <w:t>كشف</w:t>
      </w:r>
      <w:r>
        <w:rPr>
          <w:rFonts w:ascii="Arial" w:hAnsi="Arial" w:eastAsia="Arial" w:cs="Arial"/>
        </w:rPr>
        <w:t xml:space="preserve"> </w:t>
      </w:r>
      <w:r>
        <w:rPr>
          <w:rFonts w:ascii="Segoe UI" w:hAnsi="Segoe UI" w:eastAsia="Segoe UI" w:cs="Segoe UI"/>
        </w:rPr>
        <w:t>الدلالة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للمعارك</w:t>
      </w:r>
      <w:r>
        <w:rPr>
          <w:rFonts w:ascii="Arial" w:hAnsi="Arial" w:eastAsia="Arial" w:cs="Arial"/>
        </w:rPr>
        <w:t xml:space="preserve"> </w:t>
      </w:r>
      <w:r>
        <w:rPr>
          <w:rFonts w:ascii="Segoe UI" w:hAnsi="Segoe UI" w:eastAsia="Segoe UI" w:cs="Segoe UI"/>
        </w:rPr>
        <w:t>القديمة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Nirmala UI" w:hAnsi="Nirmala UI" w:eastAsia="Nirmala UI" w:cs="Nirmala UI"/>
        </w:rPr>
        <w:t>ਰਾਫੀਆ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ਇਤਿਹਾਸਕ</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ਮਹੱਤਵ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217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200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ਸੇਲਿਊਸਿਡ</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ਟੋਲੇਮੀ</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ਲੜਾਈਆਂ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ਲੜਾਈਆਂ</w:t>
      </w:r>
      <w:r>
        <w:rPr>
          <w:rFonts w:ascii="Times New Roman" w:hAnsi="Times New Roman" w:eastAsia="Times New Roman" w:cs="Times New Roman"/>
        </w:rPr>
        <w:t xml:space="preserve"> 167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ਮੱਕਾਬੀ</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Pertempuran Panium memperoleh namanya daripada ciri geografi berdekatan, iaitu Gunung Panium, tempat berlakunya konflik tersebut. Nama Panium berasal daripada dewa Yunani, Pan, yang kepadanya sebuah kuil telah didedikasikan di situ. Tempat itu dikenali sebagai Panium kerana kaitannya dengan penyembahan Pan. Kompleks kuil itu sering disebut sebagai Tempat Suci Pan, yang menegaskan peranannya sebagai tempat pengabdian keagamaan dan penyembahan yang dikhususkan kepada dewa Pan. Istilah “Nymphaeum” merujuk kepada monumen atau tempat suci yang didedikasikan kepada nimfa air dalam agama Yunani dan Rom purba. Kompleks kuil di Panium itu merangkumi sebuah gua dan mata air semula jadi, yang dipercayai didiami oleh para nimfa, dan oleh itu kadangkala disebut sebagai Nymphaeum Panium.</w:t>
      </w:r>
    </w:p>
    <w:p>
      <w:pPr>
        <w:pStyle w:val="ArticleBody"/>
        <w:jc w:val="left"/>
      </w:pPr>
      <w:r>
        <w:rPr>
          <w:rFonts w:ascii="Times New Roman" w:hAnsi="Times New Roman" w:eastAsia="Times New Roman" w:cs="Times New Roman"/>
        </w:rPr>
        <w:t>Miinaanichaa fi babal’ifamee booda magaalaan kun Heeroodees Fiiliphoos, ilma Heeroodees Guddichaatiin, ulfina Mootii Roomaa Qeesaar Awugusxoosii fi Heeroodees Fiiliphoos ofii isaatiif Qeesaariyaa Fiiliphii jedhamuun beekamte. Waldaan mana qulqullummaa kunis magaalaa kana keessatti giddugala amantii barbaachisaa ture.</w:t>
      </w:r>
    </w:p>
    <w:p>
      <w:pPr>
        <w:pStyle w:val="ArticleBody"/>
        <w:jc w:val="left"/>
      </w:pPr>
      <w:r>
        <w:rPr>
          <w:rFonts w:ascii="Times New Roman" w:hAnsi="Times New Roman" w:eastAsia="Times New Roman" w:cs="Times New Roman"/>
        </w:rPr>
        <w:t>Sous le règne de l’empereur Auguste, le temple fut redédicacé ou rebaptisé en l’honneur d’Auguste, reflétant le culte impérial et l’intégration des pratiques religieuses romaines dans le paysage religieux local. La région proche de l’ancienne ville de Césarée de Philippe, où se trouvait le temple de Pan, était parfois désignée comme les « portes de l’Enfer » ou les « portes de l’Hadès ».</w:t>
      </w:r>
    </w:p>
    <w:p>
      <w:pPr>
        <w:pStyle w:val="ArticleBody"/>
        <w:jc w:val="left"/>
      </w:pPr>
      <w:r>
        <w:rPr>
          <w:rFonts w:ascii="Times New Roman" w:hAnsi="Times New Roman" w:eastAsia="Times New Roman" w:cs="Times New Roman"/>
        </w:rPr>
        <w:t>در آیات شانزدهم تا نوزدهمِ باب یازدهمِ دانیال، آن سه ناحیهٔ جغرافیاییِ فتح که رومِ بت‌پرست می‌بایست بر آنها غلبه می‌کرد تا به‌عنوان چهارمین پادشاهیِ نبوتِ کتاب‌مقدس و پادشاه شمال در این باب استقرار یابد، به تصویر کشیده شده‌اند. در آیهٔ شانزدهم، سردار رومی پومپی به‌عنوان فاتحِ سوریه در سال ۶۵ پیش از میلاد، و سپس اورشلیم در سال ۶۳ پیش از میلاد، معرفی می‌شود. آیات هفدهم تا نوزدهم، فتح مصر به‌دست ژولیوس سزار، یعنی سومینِ آن سه مانع، را مشخص می‌سازند. نبرد آکتیوم در سال ۳۱ پیش از میلاد، آغازِ سیصد و شصت سالی را رقم می‌زند که طی آن رومِ بت‌پرست، در تحققِ آیهٔ بیست‌وچهارِ باب یازدهمِ دانیال، به‌طور برترینه فرمان خواهد راند.</w:t>
      </w:r>
    </w:p>
    <w:p>
      <w:pPr>
        <w:pStyle w:val="ArticleBody"/>
        <w:jc w:val="left"/>
      </w:pPr>
      <w:r>
        <w:rPr>
          <w:rFonts w:ascii="Nirmala UI" w:hAnsi="Nirmala UI" w:eastAsia="Nirmala UI" w:cs="Nirmala UI"/>
        </w:rPr>
        <w:t>අවිස්සාවිශි</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පදයේදී</w:t>
      </w:r>
      <w:r>
        <w:rPr>
          <w:rFonts w:ascii="Times New Roman" w:hAnsi="Times New Roman" w:eastAsia="Times New Roman" w:cs="Times New Roman"/>
        </w:rPr>
        <w:t xml:space="preserve"> </w:t>
      </w:r>
      <w:r>
        <w:rPr>
          <w:rFonts w:ascii="Nirmala UI" w:hAnsi="Nirmala UI" w:eastAsia="Nirmala UI" w:cs="Nirmala UI"/>
        </w:rPr>
        <w:t>අවුගුස්තුස්</w:t>
      </w:r>
      <w:r>
        <w:rPr>
          <w:rFonts w:ascii="Times New Roman" w:hAnsi="Times New Roman" w:eastAsia="Times New Roman" w:cs="Times New Roman"/>
        </w:rPr>
        <w:t xml:space="preserve"> </w:t>
      </w:r>
      <w:r>
        <w:rPr>
          <w:rFonts w:ascii="Nirmala UI" w:hAnsi="Nirmala UI" w:eastAsia="Nirmala UI" w:cs="Nirmala UI"/>
        </w:rPr>
        <w:t>සීසර්ගේ</w:t>
      </w:r>
      <w:r>
        <w:rPr>
          <w:rFonts w:ascii="Times New Roman" w:hAnsi="Times New Roman" w:eastAsia="Times New Roman" w:cs="Times New Roman"/>
        </w:rPr>
        <w:t xml:space="preserve"> </w:t>
      </w:r>
      <w:r>
        <w:rPr>
          <w:rFonts w:ascii="Nirmala UI" w:hAnsi="Nirmala UI" w:eastAsia="Nirmala UI" w:cs="Nirmala UI"/>
        </w:rPr>
        <w:t>පාලන</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උපත</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පදවල</w:t>
      </w:r>
      <w:r>
        <w:rPr>
          <w:rFonts w:ascii="Times New Roman" w:hAnsi="Times New Roman" w:eastAsia="Times New Roman" w:cs="Times New Roman"/>
        </w:rPr>
        <w:t xml:space="preserve"> </w:t>
      </w:r>
      <w:r>
        <w:rPr>
          <w:rFonts w:ascii="Nirmala UI" w:hAnsi="Nirmala UI" w:eastAsia="Nirmala UI" w:cs="Nirmala UI"/>
        </w:rPr>
        <w:t>දුෂ්ට</w:t>
      </w:r>
      <w:r>
        <w:rPr>
          <w:rFonts w:ascii="Times New Roman" w:hAnsi="Times New Roman" w:eastAsia="Times New Roman" w:cs="Times New Roman"/>
        </w:rPr>
        <w:t xml:space="preserve"> </w:t>
      </w:r>
      <w:r>
        <w:rPr>
          <w:rFonts w:ascii="Nirmala UI" w:hAnsi="Nirmala UI" w:eastAsia="Nirmala UI" w:cs="Nirmala UI"/>
        </w:rPr>
        <w:t>ටිබේරියස්</w:t>
      </w:r>
      <w:r>
        <w:rPr>
          <w:rFonts w:ascii="Times New Roman" w:hAnsi="Times New Roman" w:eastAsia="Times New Roman" w:cs="Times New Roman"/>
        </w:rPr>
        <w:t xml:space="preserve"> </w:t>
      </w:r>
      <w:r>
        <w:rPr>
          <w:rFonts w:ascii="Nirmala UI" w:hAnsi="Nirmala UI" w:eastAsia="Nirmala UI" w:cs="Nirmala UI"/>
        </w:rPr>
        <w:t>සීසර්ගේ</w:t>
      </w:r>
      <w:r>
        <w:rPr>
          <w:rFonts w:ascii="Times New Roman" w:hAnsi="Times New Roman" w:eastAsia="Times New Roman" w:cs="Times New Roman"/>
        </w:rPr>
        <w:t xml:space="preserve"> </w:t>
      </w:r>
      <w:r>
        <w:rPr>
          <w:rFonts w:ascii="Nirmala UI" w:hAnsi="Nirmala UI" w:eastAsia="Nirmala UI" w:cs="Nirmala UI"/>
        </w:rPr>
        <w:t>පාලන</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දක්වනු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එමගින්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ශුලබේධනය</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පදයේදී</w:t>
      </w:r>
      <w:r>
        <w:rPr>
          <w:rFonts w:ascii="Times New Roman" w:hAnsi="Times New Roman" w:eastAsia="Times New Roman" w:cs="Times New Roman"/>
        </w:rPr>
        <w:t xml:space="preserve"> </w:t>
      </w:r>
      <w:r>
        <w:rPr>
          <w:rFonts w:ascii="Nirmala UI" w:hAnsi="Nirmala UI" w:eastAsia="Nirmala UI" w:cs="Nirmala UI"/>
        </w:rPr>
        <w:t>මක්කාබියානු</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අනාගාරික</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සන්ධානය</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එකොළොස්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රවාහය</w:t>
      </w:r>
      <w:r>
        <w:rPr>
          <w:rFonts w:ascii="Times New Roman" w:hAnsi="Times New Roman" w:eastAsia="Times New Roman" w:cs="Times New Roman"/>
        </w:rPr>
        <w:t xml:space="preserve"> </w:t>
      </w:r>
      <w:r>
        <w:rPr>
          <w:rFonts w:ascii="Nirmala UI" w:hAnsi="Nirmala UI" w:eastAsia="Nirmala UI" w:cs="Nirmala UI"/>
        </w:rPr>
        <w:t>නවතනු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කථනය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161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158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කාලයට</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වැටෙයි</w:t>
      </w:r>
      <w:r>
        <w:rPr>
          <w:rFonts w:ascii="Times New Roman" w:hAnsi="Times New Roman" w:eastAsia="Times New Roman" w:cs="Times New Roman"/>
        </w:rPr>
        <w:t>.</w:t>
      </w:r>
    </w:p>
    <w:p>
      <w:pPr>
        <w:pStyle w:val="ArticleBody"/>
        <w:jc w:val="left"/>
      </w:pPr>
      <w:r>
        <w:rPr>
          <w:rFonts w:ascii="Nirmala UI" w:hAnsi="Nirmala UI" w:eastAsia="Nirmala UI" w:cs="Nirmala UI"/>
        </w:rPr>
        <w:t>వచనము</w:t>
      </w:r>
      <w:r>
        <w:rPr>
          <w:rFonts w:ascii="Times New Roman" w:hAnsi="Times New Roman" w:eastAsia="Times New Roman" w:cs="Times New Roman"/>
        </w:rPr>
        <w:t xml:space="preserve"> </w:t>
      </w:r>
      <w:r>
        <w:rPr>
          <w:rFonts w:ascii="Nirmala UI" w:hAnsi="Nirmala UI" w:eastAsia="Nirmala UI" w:cs="Nirmala UI"/>
        </w:rPr>
        <w:t>ఇరవైమూడు</w:t>
      </w:r>
      <w:r>
        <w:rPr>
          <w:rFonts w:ascii="Times New Roman" w:hAnsi="Times New Roman" w:eastAsia="Times New Roman" w:cs="Times New Roman"/>
        </w:rPr>
        <w:t xml:space="preserve"> </w:t>
      </w:r>
      <w:r>
        <w:rPr>
          <w:rFonts w:ascii="Nirmala UI" w:hAnsi="Nirmala UI" w:eastAsia="Nirmala UI" w:cs="Nirmala UI"/>
        </w:rPr>
        <w:t>మక్కబీయుల</w:t>
      </w:r>
      <w:r>
        <w:rPr>
          <w:rFonts w:ascii="Times New Roman" w:hAnsi="Times New Roman" w:eastAsia="Times New Roman" w:cs="Times New Roman"/>
        </w:rPr>
        <w:t xml:space="preserve"> </w:t>
      </w:r>
      <w:r>
        <w:rPr>
          <w:rFonts w:ascii="Nirmala UI" w:hAnsi="Nirmala UI" w:eastAsia="Nirmala UI" w:cs="Nirmala UI"/>
        </w:rPr>
        <w:t>వంశరేఖను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వంశరేఖకు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వివరాలను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అందించకపోయినను</w:t>
      </w:r>
      <w:r>
        <w:rPr>
          <w:rFonts w:ascii="Times New Roman" w:hAnsi="Times New Roman" w:eastAsia="Times New Roman" w:cs="Times New Roman"/>
        </w:rPr>
        <w:t xml:space="preserve">, </w:t>
      </w:r>
      <w:r>
        <w:rPr>
          <w:rFonts w:ascii="Nirmala UI" w:hAnsi="Nirmala UI" w:eastAsia="Nirmala UI" w:cs="Nirmala UI"/>
        </w:rPr>
        <w:t>చరిత్రలోని</w:t>
      </w:r>
      <w:r>
        <w:rPr>
          <w:rFonts w:ascii="Times New Roman" w:hAnsi="Times New Roman" w:eastAsia="Times New Roman" w:cs="Times New Roman"/>
        </w:rPr>
        <w:t xml:space="preserve"> </w:t>
      </w:r>
      <w:r>
        <w:rPr>
          <w:rFonts w:ascii="Nirmala UI" w:hAnsi="Nirmala UI" w:eastAsia="Nirmala UI" w:cs="Nirmala UI"/>
        </w:rPr>
        <w:t>లిఖితవివరము</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అందించుచున్నది</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217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రాఫియా</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జరిగింది</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అనంతరమున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బాలరాజు</w:t>
      </w:r>
      <w:r>
        <w:rPr>
          <w:rFonts w:ascii="Times New Roman" w:hAnsi="Times New Roman" w:eastAsia="Times New Roman" w:cs="Times New Roman"/>
        </w:rPr>
        <w:t xml:space="preserve"> </w:t>
      </w:r>
      <w:r>
        <w:rPr>
          <w:rFonts w:ascii="Nirmala UI" w:hAnsi="Nirmala UI" w:eastAsia="Nirmala UI" w:cs="Nirmala UI"/>
        </w:rPr>
        <w:t>ఐగుప్తును</w:t>
      </w:r>
      <w:r>
        <w:rPr>
          <w:rFonts w:ascii="Times New Roman" w:hAnsi="Times New Roman" w:eastAsia="Times New Roman" w:cs="Times New Roman"/>
        </w:rPr>
        <w:t xml:space="preserve"> </w:t>
      </w:r>
      <w:r>
        <w:rPr>
          <w:rFonts w:ascii="Nirmala UI" w:hAnsi="Nirmala UI" w:eastAsia="Nirmala UI" w:cs="Nirmala UI"/>
        </w:rPr>
        <w:t>బలహీనస్థితికి</w:t>
      </w:r>
      <w:r>
        <w:rPr>
          <w:rFonts w:ascii="Times New Roman" w:hAnsi="Times New Roman" w:eastAsia="Times New Roman" w:cs="Times New Roman"/>
        </w:rPr>
        <w:t xml:space="preserve"> </w:t>
      </w:r>
      <w:r>
        <w:rPr>
          <w:rFonts w:ascii="Nirmala UI" w:hAnsi="Nirmala UI" w:eastAsia="Nirmala UI" w:cs="Nirmala UI"/>
        </w:rPr>
        <w:t>లోనుచేసెను</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200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సెల్యూసిదు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గ్రీకు</w:t>
      </w:r>
      <w:r>
        <w:rPr>
          <w:rFonts w:ascii="Times New Roman" w:hAnsi="Times New Roman" w:eastAsia="Times New Roman" w:cs="Times New Roman"/>
        </w:rPr>
        <w:t xml:space="preserve"> </w:t>
      </w:r>
      <w:r>
        <w:rPr>
          <w:rFonts w:ascii="Nirmala UI" w:hAnsi="Nirmala UI" w:eastAsia="Nirmala UI" w:cs="Nirmala UI"/>
        </w:rPr>
        <w:t>రాజులు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బాలరాజుతో</w:t>
      </w:r>
      <w:r>
        <w:rPr>
          <w:rFonts w:ascii="Times New Roman" w:hAnsi="Times New Roman" w:eastAsia="Times New Roman" w:cs="Times New Roman"/>
        </w:rPr>
        <w:t xml:space="preserve"> </w:t>
      </w:r>
      <w:r>
        <w:rPr>
          <w:rFonts w:ascii="Nirmala UI" w:hAnsi="Nirmala UI" w:eastAsia="Nirmala UI" w:cs="Nirmala UI"/>
        </w:rPr>
        <w:t>వ్యవహరించుటకు</w:t>
      </w:r>
      <w:r>
        <w:rPr>
          <w:rFonts w:ascii="Times New Roman" w:hAnsi="Times New Roman" w:eastAsia="Times New Roman" w:cs="Times New Roman"/>
        </w:rPr>
        <w:t xml:space="preserve"> </w:t>
      </w:r>
      <w:r>
        <w:rPr>
          <w:rFonts w:ascii="Nirmala UI" w:hAnsi="Nirmala UI" w:eastAsia="Nirmala UI" w:cs="Nirmala UI"/>
        </w:rPr>
        <w:t>యోచనలు</w:t>
      </w:r>
      <w:r>
        <w:rPr>
          <w:rFonts w:ascii="Times New Roman" w:hAnsi="Times New Roman" w:eastAsia="Times New Roman" w:cs="Times New Roman"/>
        </w:rPr>
        <w:t xml:space="preserve"> </w:t>
      </w:r>
      <w:r>
        <w:rPr>
          <w:rFonts w:ascii="Nirmala UI" w:hAnsi="Nirmala UI" w:eastAsia="Nirmala UI" w:cs="Nirmala UI"/>
        </w:rPr>
        <w:t>చేయుచుండగా</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తన్ను</w:t>
      </w:r>
      <w:r>
        <w:rPr>
          <w:rFonts w:ascii="Times New Roman" w:hAnsi="Times New Roman" w:eastAsia="Times New Roman" w:cs="Times New Roman"/>
        </w:rPr>
        <w:t xml:space="preserve"> </w:t>
      </w:r>
      <w:r>
        <w:rPr>
          <w:rFonts w:ascii="Nirmala UI" w:hAnsi="Nirmala UI" w:eastAsia="Nirmala UI" w:cs="Nirmala UI"/>
        </w:rPr>
        <w:t>ప్రవేశపెట్టి</w:t>
      </w:r>
      <w:r>
        <w:rPr>
          <w:rFonts w:ascii="Times New Roman" w:hAnsi="Times New Roman" w:eastAsia="Times New Roman" w:cs="Times New Roman"/>
        </w:rPr>
        <w:t xml:space="preserve">, </w:t>
      </w:r>
      <w:r>
        <w:rPr>
          <w:rFonts w:ascii="Nirmala UI" w:hAnsi="Nirmala UI" w:eastAsia="Nirmala UI" w:cs="Nirmala UI"/>
        </w:rPr>
        <w:t>ఐగుప్తీయ</w:t>
      </w:r>
      <w:r>
        <w:rPr>
          <w:rFonts w:ascii="Times New Roman" w:hAnsi="Times New Roman" w:eastAsia="Times New Roman" w:cs="Times New Roman"/>
        </w:rPr>
        <w:t xml:space="preserve"> </w:t>
      </w:r>
      <w:r>
        <w:rPr>
          <w:rFonts w:ascii="Nirmala UI" w:hAnsi="Nirmala UI" w:eastAsia="Nirmala UI" w:cs="Nirmala UI"/>
        </w:rPr>
        <w:t>బాలరాజుకు</w:t>
      </w:r>
      <w:r>
        <w:rPr>
          <w:rFonts w:ascii="Times New Roman" w:hAnsi="Times New Roman" w:eastAsia="Times New Roman" w:cs="Times New Roman"/>
        </w:rPr>
        <w:t xml:space="preserve"> </w:t>
      </w:r>
      <w:r>
        <w:rPr>
          <w:rFonts w:ascii="Nirmala UI" w:hAnsi="Nirmala UI" w:eastAsia="Nirmala UI" w:cs="Nirmala UI"/>
        </w:rPr>
        <w:t>రక్షకురాలై</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జరిగింది</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167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మక్కబీయుల</w:t>
      </w:r>
      <w:r>
        <w:rPr>
          <w:rFonts w:ascii="Times New Roman" w:hAnsi="Times New Roman" w:eastAsia="Times New Roman" w:cs="Times New Roman"/>
        </w:rPr>
        <w:t xml:space="preserve"> </w:t>
      </w:r>
      <w:r>
        <w:rPr>
          <w:rFonts w:ascii="Nirmala UI" w:hAnsi="Nirmala UI" w:eastAsia="Nirmala UI" w:cs="Nirmala UI"/>
        </w:rPr>
        <w:t>గెరిల్లా</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ఆరంభమైంది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Селевкілер империясына ғана қарсы күресіп қоймай, Селевкілермен одақтас деп таныған яһудилерге де қарсы күресуден тұрған Маккавей көтерілісі б.з.д. 167 жылы Модеинде басталды. Бұл көтеріліс діни себептерден туындады және ішкі де, сыртқы да жауға қарсы жүргізілді. Б.з.д. 164 жылы Маккавейлер ғибадатхананы қайта бағыштады, және бұл оқиға еврейлердің Ханука мейрамымен еске алынады. Сол жылы атышулы Антиох Эпифан қайтыс болды. Содан кейін б.з.д. 161 жылдан 158 жылға дейін жиырма үшінші аяттағы «одақ» Риммен жасалды.</w:t>
      </w:r>
    </w:p>
    <w:p>
      <w:pPr>
        <w:pStyle w:val="ArticleBody"/>
        <w:jc w:val="left"/>
      </w:pPr>
      <w:r>
        <w:rPr>
          <w:rFonts w:ascii="Times New Roman" w:hAnsi="Times New Roman" w:eastAsia="Times New Roman" w:cs="Times New Roman"/>
        </w:rPr>
        <w:t>A única referência direta aos Macabeus, à sua revolta e à sua aliança com Roma encontra-se no versículo vinte e três; contudo, a história da dinastia, chamada Dinastia Hasmoneia, começou em Modein, em 167 a.C., e continuou até o tempo da cruz. Os representantes finais da Dinastia Hasmoneia foram os fariseus do período de Cristo. Portanto, há uma linha profética da história do judaísmo apóstata, representado pelos Macabeus, que começou em 167 a.C., na revolta de Modein, e termina nos versículos vinte e um e vinte e dois, quando Jesus foi crucificado.</w:t>
      </w:r>
    </w:p>
    <w:p>
      <w:pPr>
        <w:pStyle w:val="ArticleBody"/>
        <w:jc w:val="left"/>
      </w:pPr>
      <w:r>
        <w:rPr>
          <w:rFonts w:ascii="Times New Roman" w:hAnsi="Times New Roman" w:eastAsia="Times New Roman" w:cs="Times New Roman"/>
        </w:rPr>
        <w:t>Leur histoire parvint à un tournant au verset seize, lorsque Rome, pour la première fois, par l’entremise de Pompée, conquit Jérusalem. Le motif principal qui l’amena alors à faire venir la destruction sur Jérusalem fut un différend entre deux factions de la dynastie hasmonéenne. À partir de ce moment-là (63 av. J.-C.), Juda fut sous la domination romaine. La dynastie hasmonéenne des Maccabées commence prophétiquement à la bataille de Modiin en 167 av. J.-C., puis elle est placée sous l’assujettissement de Rome en 63 av. J.-C. Peu après le commencement de cette histoire, les Maccabées prirent l’initiative d’une alliance avec Rome et y entrèrent, de 161 av. J.-C. à 158 av. J.-C. Ils furent assujettis à Rome à partir de 63 av. J.-C. jusqu’à la croix et jusqu’à la destruction finale de Jérusalem en l’an 70.</w:t>
      </w:r>
    </w:p>
    <w:p>
      <w:pPr>
        <w:pStyle w:val="ArticleBody"/>
        <w:jc w:val="left"/>
      </w:pPr>
      <w:r>
        <w:rPr>
          <w:rFonts w:ascii="Nirmala UI" w:hAnsi="Nirmala UI" w:eastAsia="Nirmala UI" w:cs="Nirmala UI"/>
        </w:rPr>
        <w:t>मक्काबियों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यहूदीयत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200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167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164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161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158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घटनाएँ</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दोहराई</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200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167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167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Ce i marchi temporali sono essenzialmente nascosti all’interno della linea storica della Dinastia asmonea, ma nondimeno fanno parte della storia nascosta del versetto quaranta di Daniele undici. È una linea che fa parte di «quella porzione della profezia di Daniele che si riferisce agli ultimi giorni».</w:t>
      </w:r>
    </w:p>
    <w:p>
      <w:pPr>
        <w:pStyle w:val="ArticleBody"/>
        <w:jc w:val="left"/>
      </w:pPr>
      <w:r>
        <w:rPr>
          <w:rFonts w:ascii="Times New Roman" w:hAnsi="Times New Roman" w:eastAsia="Times New Roman" w:cs="Times New Roman"/>
        </w:rPr>
        <w:t>یهودیت کا حنوکاہ کو مکابیوں کی بغاوت کی یاد میں منانا، مکابیوں کو راستباز ثابت نہیں کرتا۔ بغاوت کے باعث شِکینہ اُس ہیکل میں کبھی واپس نہ آئی جو ستر برس کی اسیری کے بعد دوبارہ تعمیر کیا گیا تھا۔ آخری نبوی پیغام مکابیوں سے تقریباً دو صدی پہلے ملاکی کے وسیلہ سے آیا۔ مکابیوں کی تاریخ یہ ظاہر کرتی ہے کہ انہوں نے اپنے سیاسی رہنماؤں کو سردار کاہن کے طور پر بھی خدمت انجام دینے دی، اور یہی وہ گناہ تھا جس کی کوشش مصری بطلیموس نے بھی کی تھی، اور جس کی کوشش بادشاہ عزّیاہ نے بھی کی تھی۔ روایت یہ بتاتی ہے کہ خدا نے بطلیموس کو اس بے حرمتی کے فعل سے باز رکھنے کے لیے مداخلت کی، اور خدا کا کلام صراحت کے ساتھ یہ بیان کرتا ہے کہ جب بادشاہ عزّیاہ نے کاہن اور بادشاہ کا کام انجام دینے کی کوشش کی تو خدا نے واقعی مداخلت کی۔ ان کے خاندان کا آخری پھل فریسی تھے۔ اس بات پر نتیجہ اخذ کرنے کی کوئی وجہ نہیں کہ مکابی راستبازی کی علامت تھے، خواہ جدید یہودیت کے یہودی ان کے لیے کتنا ہی تاریخی تعظیم کا جذبہ رکھتے ہوں۔</w:t>
      </w:r>
    </w:p>
    <w:p>
      <w:pPr>
        <w:pStyle w:val="ArticleBody"/>
        <w:jc w:val="left"/>
      </w:pPr>
      <w:r>
        <w:rPr>
          <w:rFonts w:ascii="Times New Roman" w:hAnsi="Times New Roman" w:eastAsia="Times New Roman" w:cs="Times New Roman"/>
        </w:rPr>
        <w:t>Reformasi Protestan dimulai pada zaman Luther, dan merupakan suatu perkembangan yang progresif. Itu bukanlah suatu tradisi baru, sebab Yesus dan murid-murid-Nya adalah kaum Protestan. Itu adalah suatu kebangunan dari kegelapan sejarah, ketika Luther dan para reformator lainnya dibangunkan. Puncak dari reformasi progresif itu adalah gerakan Millerit. Allah bukan hanya perlu membangunkan para reformator mula-mula kepada dosa-dosa Babel, melainkan Ia bermaksud membawa mereka ke dalam pengertian yang penuh tentang hukum-Nya, dan pekerjaan-Nya di bait suci surgawi. Pada 19 April 1844 orang-orang Protestan menolak terang reformasi yang kian bertambah dan menjadi Protestanisme yang murtad.</w:t>
      </w:r>
    </w:p>
    <w:p>
      <w:pPr>
        <w:pStyle w:val="ArticleBody"/>
        <w:jc w:val="left"/>
      </w:pPr>
      <w:r>
        <w:rPr>
          <w:rFonts w:ascii="Times New Roman" w:hAnsi="Times New Roman" w:eastAsia="Times New Roman" w:cs="Times New Roman"/>
        </w:rPr>
        <w:t>Les millérites fidèles reçurent alors « le manteau » et furent dirigés dans le Très Saint afin d’achever l’œuvre pour devenir des chrétiens protestants mûrs. En 1863, ceux qui avaient reçu le manteau, par désobéissance, mirent de côté le manteau du protestantisme et prirent le manteau de Laodicée. Dans la période finale du scellement des cent quarante-quatre mille, qui commença vingt-deux ans après le 11 septembre 2001, en 2023, le Lion de la tribu de Juda est en train de desceller les vérités qui complètent l’histoire cachée du verset quarante de Daniel, chapitre onze, laquelle est l’histoire allant de l’effondrement de l’Union soviétique en 1989 jusqu’à la loi du dimanche bientôt à venir. En faisant cela, Il a descellé l’histoire du judaïsme apostat comme symbole du protestantisme apostat.</w:t>
      </w:r>
    </w:p>
    <w:p>
      <w:pPr>
        <w:pStyle w:val="ArticleBody"/>
        <w:jc w:val="left"/>
      </w:pPr>
      <w:r>
        <w:rPr>
          <w:rFonts w:ascii="Times New Roman" w:hAnsi="Times New Roman" w:eastAsia="Times New Roman" w:cs="Times New Roman"/>
        </w:rPr>
        <w:t>خدای مرتد دونوں قوموں کی لکیریں، خواہ وہ حرفی یہوداہ کی ہوں یا روحانی یہوداہ کی (دونوں جلالی سرزمینیں)، یروشلیم کی فتح پر آ کر ختم ہوتی ہیں؛ پہلی 63 قبلِ مسیح میں، اور دوسری عنقریب آنے والے اتوار کے قانون پر۔ دونوں لکیریں ایسی جنگ کی نمائندگی کرتی ہیں جو گمراہ کن مذہبی عقائد سے محرک ہوتی ہے۔ دونوں لکیریں یونان کے مذہبی فلسفوں کے خلاف ایک جنگ کی نمائندگی کرتی ہیں، اور دونوں کا انجام یہ ہوتا ہے کہ مرتد لوگ روم کے تابع ہو جاتے ہیں۔ میں آیت چالیس کی تین لڑائیوں کی تعیین یوں کرتا ہوں کہ وہ 1989 میں سوویت یونین کے انہدام، یوکرین کی جنگ، اور اتوار کے قانون پر پانیئم کی لڑائی کی نمائندگی کرتی ہیں، تاکہ ان تین لڑائیوں اور تین عالمی جنگوں کے درمیان ایک امتیاز کی نشاندہی کی جا سکے۔</w:t>
      </w:r>
    </w:p>
    <w:p>
      <w:pPr>
        <w:pStyle w:val="ArticleScripture"/>
        <w:jc w:val="left"/>
      </w:pPr>
      <w:r>
        <w:rPr>
          <w:rFonts w:ascii="Times New Roman" w:hAnsi="Times New Roman" w:eastAsia="Times New Roman" w:cs="Times New Roman"/>
        </w:rPr>
        <w:t>“Kalām-e Khudā ne āne wāle ḵẖatre se āgāh kar diyā hai; agar is tanbīh ko nazar-andāz kiyā gayā, to Protestan duniā ko yih mālūm hogā ki Rūm ke maqāṣid dar-haqīqat kyā hain, magar us waqt jab phande se bach nikalnā bahut der ho chukā hogā. Vuh ḵẖāmoshī se quwwat hāṣil kartī jā rahī hai. Us ke aqāʾid qānūn-sāzī ke aiwānoṅ meṅ, kalīsiyāoṅ meṅ, aur insānoṅ ke diloṅ meṅ apnā asar dikhā rahe hain. Vuh apnī buland aur mazbūt imāratoṅ ko is tarah khaṛā kar rahī hai ki un ke poshīdah goshoṅ meṅ us kī pahlī sitam-rasāniyāṅ phir dohrāī jāʾeṅgī. Chupke chupke aur be-khabarī meṅ vuh apnī tāqatoṅ ko mazbūt kar rahī hai tāki jab us ke waar karne kā waqt āe to apne maqāṣid ko pūrā kare. Use sirf mauqif-e bartari darkār hai, aur yih use pahle hī diyā jā rahā hai. Ham jald dekheṅge aur mahsūs kareṅge ki Rūmī ansar kā maqsad kyā hai. Jo koʾī Kalām-e Khudā par īmān lāʾegā aur us kī itāʿat karegā, vuh is sabab se malāmat aur āzār kā nishānah bane gā.” The Great Controversy, 581.</w:t>
      </w:r>
    </w:p>
    <w:p>
      <w:pPr>
        <w:pStyle w:val="ArticleBody"/>
        <w:jc w:val="left"/>
      </w:pPr>
      <w:r>
        <w:rPr>
          <w:rFonts w:ascii="Times New Roman" w:hAnsi="Times New Roman" w:eastAsia="Times New Roman" w:cs="Times New Roman"/>
        </w:rPr>
        <w:t>E kuhege rimwegu wa ikûmi, rĩrĩa rĩrathondeka gũthirika kwa Soviet Union mũ mwaka wa 1989, nginya Hita ya Panium mũ kuhege kwa ikûmi na ithano, upapa nĩ “wĩhũthĩĩtie hinya ciake nĩguo athiĩ mbere kũgũrũkia ciugo ciake we mwene rĩrĩa ihinda rĩgakinya rĩa gũtua.” Ikuhege ici nĩicio cĩrĩa cĩrathondeka mĩhianano ya kĩũrĩri ya ũhoro wa ũrathi irĩa nĩ “mũtego” ũrĩa wateirwo nĩ upapa, ũrĩa gũtigakaagĩra “gũũtiga.” Mũ ngũrario ya mũthia, irĩa yamenyithĩrĩirwo nĩ Hita ya Panium, mũhianano wa nyamũ ya gĩthũri nĩũkũumbwo mũ United States. Gũũmbwa kwa mũhianano ũcio nĩguo kũgerio gwa mũthia kũrĩ andũ a Ngai a mĩthenya ya mũthia.</w:t>
      </w:r>
    </w:p>
    <w:p>
      <w:pPr>
        <w:pStyle w:val="ArticleScripture"/>
        <w:jc w:val="left"/>
      </w:pPr>
      <w:r>
        <w:rPr>
          <w:rFonts w:ascii="Times New Roman" w:hAnsi="Times New Roman" w:eastAsia="Times New Roman" w:cs="Times New Roman"/>
        </w:rPr>
        <w:t>“Seigneur m’a clairement montré que l’image de la bête sera formée avant la fin du temps de grâce; car elle doit être la grande épreuve pour le peuple de Dieu, par laquelle sa destinée éternelle sera décidée. … Dans Apocalypse 13, ce sujet est présenté clairement; [Apocalypse 13:11–17, cité].”</w:t>
      </w:r>
    </w:p>
    <w:p>
      <w:pPr>
        <w:pStyle w:val="ArticleScripture"/>
        <w:jc w:val="left"/>
      </w:pPr>
      <w:r>
        <w:rPr>
          <w:rFonts w:ascii="Times New Roman" w:hAnsi="Times New Roman" w:eastAsia="Times New Roman" w:cs="Times New Roman"/>
        </w:rPr>
        <w:t>« Ceci est l’épreuve que le peuple de Dieu doit subir avant d’être scellé. Tous ceux qui ont prouvé leur loyauté envers Dieu en observant sa loi et en refusant d’accepter un faux sabbat se rangeront sous la bannière du Seigneur Dieu Jéhovah, et recevront le sceau du Dieu vivant. Ceux qui abandonnent la vérité d’origine céleste et acceptent le sabbat du dimanche recevront la marque de la bête. » Manuscript Releases, volume 15, 15.</w:t>
      </w:r>
    </w:p>
    <w:p>
      <w:pPr>
        <w:pStyle w:val="ArticleBody"/>
        <w:jc w:val="left"/>
      </w:pPr>
      <w:r>
        <w:rPr>
          <w:rFonts w:ascii="Times New Roman" w:hAnsi="Times New Roman" w:eastAsia="Times New Roman" w:cs="Times New Roman"/>
        </w:rPr>
        <w:t>Ang pagbuo ng larawan ng halimaw ay kinakatawan ng panahong pinasok ang pakikipag-alyansa sa Roma. Ang Protestante na sungay ng Estados Unidos ay naging mga anak na babae ng Roma noong 1844, at ang pasimula ng kanilang kasaysayan ay inuulit sa wakas ng kanilang kasaysayan kapag muli nilang ipinasyang tularan ang kanilang ina.</w:t>
      </w:r>
    </w:p>
    <w:p>
      <w:pPr>
        <w:pStyle w:val="ArticleScripture"/>
        <w:jc w:val="left"/>
      </w:pPr>
      <w:r>
        <w:rPr>
          <w:rFonts w:ascii="Times New Roman" w:hAnsi="Times New Roman" w:eastAsia="Times New Roman" w:cs="Times New Roman"/>
        </w:rPr>
        <w:t>“Miona fa ilay bibidia manana tandroka roa dia nanana vavan-drakona, ary tao amin’ny lohany no nisy ny fahefany, ary hivoaka avy amin’ny vavany ny didy. Ary avy eo dia hitako ilay Renin’ny Mpijangajanga; fa ny reny dia tsy ireo zanakavavy, fa misaraka sy miavaka amin’izy ireo. Efa nanana ny androny izy, ary efa lasa izany, ary ny zanany vavy, dia ireo sekta Protestanta, no tonga manaraka eo amin’ny sehatra ka hampiseho ilay toe-tsaina ihany izay nananan’ny reny, fony izy nanenjika ny olona masina. Hitako fa raha nihena ny herin’ny reny, dia nitombo kosa ny zanany vavy, ary tsy ho ela dia hampihatra ny fahefana izay nampiharin’ny reny fahiny izy ireo.”</w:t>
      </w:r>
    </w:p>
    <w:p>
      <w:pPr>
        <w:pStyle w:val="ArticleScripture"/>
        <w:jc w:val="left"/>
      </w:pPr>
      <w:r>
        <w:rPr>
          <w:rFonts w:ascii="Times New Roman" w:hAnsi="Times New Roman" w:eastAsia="Times New Roman" w:cs="Times New Roman"/>
        </w:rPr>
        <w:t>“Mi ekvidis, ke la nomina eklezio kaj la nomaj adventistoj, kiel Judaso, perfidus nin al la katolikoj por akiri ilian influon, por veni kontraŭ la vero. Tiam la sanktuloj estos malklara popolo, malmulte konata de la katolikoj; sed la eklezioj kaj la nomaj adventistoj, kiuj konas nian kredon kaj niajn kutimojn (ĉar ili malamis nin pro la Sabato, ĉar ili ne povis ĝin refuti), perfidos la sanktulojn kaj denuncos ilin al la katolikoj kiel tiujn, kiuj malatentas la instituciojn de la popolo; tio estas, ke ili observas la Sabaton kaj malatentas la dimanĉon.”</w:t>
      </w:r>
    </w:p>
    <w:p>
      <w:pPr>
        <w:pStyle w:val="ArticleScripture"/>
        <w:jc w:val="left"/>
      </w:pPr>
      <w:r>
        <w:rPr>
          <w:rFonts w:ascii="Times New Roman" w:hAnsi="Times New Roman" w:eastAsia="Times New Roman" w:cs="Times New Roman"/>
        </w:rPr>
        <w:t>« Puis les catholiques enjoignent aux protestants d’aller de l’avant et publient un décret selon lequel tous ceux qui n’observeront pas le premier jour de la semaine, au lieu du septième jour, seront mis à mort. Et les catholiques, dont le nombre est grand, se rangeront aux côtés des protestants. Les catholiques donneront leur puissance à l’image de la bête. Et les protestants agiront comme leur mère a agi avant eux pour détruire les saints. Mais avant que leur décret ne produise ou ne porte son fruit, les saints seront délivrés par la Voix de Dieu. » Spalding and Magan, 1, 2.</w:t>
      </w:r>
    </w:p>
    <w:p>
      <w:pPr>
        <w:pStyle w:val="ArticleBody"/>
        <w:jc w:val="left"/>
      </w:pPr>
      <w:r>
        <w:rPr>
          <w:rFonts w:ascii="Times New Roman" w:hAnsi="Times New Roman" w:eastAsia="Times New Roman" w:cs="Times New Roman"/>
        </w:rPr>
        <w:t>Dans ce passage, il y a deux groupes de « nominaux », c’est-à-dire « de nom seulement », qui livrent les fidèles de Dieu aux catholiques. La compréhension qu’avait Ellen White des églises nominales et des adventistes nominaux diffère de ce qu’ils représentent réellement dans les derniers jours ; car, selon sa compréhension, un « adventiste nominal » aurait désigné un chrétien qui professait croire au retour de Christ. Mais les prophètes parlent davantage pour les derniers jours que pour les jours où ils ont vécu, et un « adventiste nominal », dans les derniers jours, représente l’Église adventiste du septième jour laodicéenne, et les églises nominales sont les descendants de ceux qui devinrent les filles de Rome en 1844.</w:t>
      </w:r>
    </w:p>
    <w:p>
      <w:pPr>
        <w:pStyle w:val="ArticleBody"/>
        <w:jc w:val="left"/>
      </w:pPr>
      <w:r>
        <w:rPr>
          <w:rFonts w:ascii="Times New Roman" w:hAnsi="Times New Roman" w:eastAsia="Times New Roman" w:cs="Times New Roman"/>
        </w:rPr>
        <w:t>Les adventistes du septième jour haïront le « peuple obscur », qui est les véritables représentants de Dieu, car ils « ne peuvent réfuter la vérité du sabbat », laquelle représente le sabbat du repos de la terre. L’Église adventiste du septième jour professe soutenir le septième jour comme jour de culte, mais dans les derniers jours le sabbat qu’ils ne peuvent réfuter est les « sept temps » de Lévitique vingt-six, première vérité fondamentale qu’ils rejetèrent en 1863.</w:t>
      </w:r>
    </w:p>
    <w:p>
      <w:pPr>
        <w:pStyle w:val="ArticleBody"/>
        <w:jc w:val="left"/>
      </w:pPr>
      <w:r>
        <w:rPr>
          <w:rFonts w:ascii="Times New Roman" w:hAnsi="Times New Roman" w:eastAsia="Times New Roman" w:cs="Times New Roman"/>
        </w:rPr>
        <w:t>Gura ubu turimo gusuzuma burimo kumenya neza imigendekere y’ubuhanuzi ifitanye isano n’amateka atangirira ku itegeko ryo ku Cyumweru rigiye kuza vuba, ariko amateka ya nyuma y’igeragezwa akurikira iryo tegeko ryo ku Cyumweru abanza gusohorerwa muri Leta Zunze Ubumwe z’Amerika. Ku itegeko ryo ku Cyumweru, Leta Zunze Ubumwe z’Amerika zizahatira isi yose gushinga ishusho y’inyamaswa, ariko mbere y’uko zisohoza uwo murimo, zizaba zabanje gushinga ishusho y’inyamaswa muri Leta Zunze Ubumwe z’Amerika.</w:t>
      </w:r>
    </w:p>
    <w:p>
      <w:pPr>
        <w:pStyle w:val="ArticleScripture"/>
        <w:jc w:val="left"/>
      </w:pPr>
      <w:r>
        <w:rPr>
          <w:rFonts w:ascii="Times New Roman" w:hAnsi="Times New Roman" w:eastAsia="Times New Roman" w:cs="Times New Roman"/>
        </w:rPr>
        <w:t>«Когда Америка, земля религиозной свободы, соединится с папством, принуждая совесть и заставляя людей чтить ложную субботу, народы всех стран земного шара будут побуждены последовать её примеру». Свидетельства, том 6, с. 18.</w:t>
      </w:r>
    </w:p>
    <w:p>
      <w:pPr>
        <w:pStyle w:val="ArticleScripture"/>
        <w:jc w:val="left"/>
      </w:pPr>
      <w:r>
        <w:rPr>
          <w:rFonts w:ascii="Times New Roman" w:hAnsi="Times New Roman" w:eastAsia="Times New Roman" w:cs="Times New Roman"/>
        </w:rPr>
        <w:t>« Les nations étrangères suivront l’exemple des États-Unis. Bien qu’ils prennent l’initiative, la même crise atteindra pourtant notre peuple dans toutes les parties du monde. » Testimonies, volume 6, p. 395.</w:t>
      </w:r>
    </w:p>
    <w:p>
      <w:pPr>
        <w:pStyle w:val="ArticleBody"/>
        <w:jc w:val="left"/>
      </w:pPr>
      <w:r>
        <w:rPr>
          <w:rFonts w:ascii="Times New Roman" w:hAnsi="Times New Roman" w:eastAsia="Times New Roman" w:cs="Times New Roman"/>
        </w:rPr>
        <w:t>ټول ستر ازموينۀ د خدای د خلکو لپاره د يکشنبې د قانون څخه مخکې واقع کېږي، ځکه چې د يکشنبې په قانون کې د اوومې ورځې د اېډوېنټستانو لپاره د آزموينې موده تړل کېږي. دا ازموينه د ځناور د انځور د جوړېدو په توګه تمثيل شوې ده، او د ځناور انځور د کليسا او دولت هغه يووالی دی چې پکې کليسا پر دې اړيکه واکمنه وي. لکه څنګه چې پروتستانتان په 1844 کې د روم لور وګرځېدل، او لور د خپلې مور انځور وي، همدارنګه مرتد پروتستانتان به په وروستيو ورځو کې يو موازي کار تر سره کړي، ځکه چې عيسی تل د يو شي پای د هغه شي له پيل سره تمثيلوي.</w:t>
      </w:r>
    </w:p>
    <w:p>
      <w:pPr>
        <w:pStyle w:val="ArticleBody"/>
        <w:jc w:val="left"/>
      </w:pPr>
      <w:r>
        <w:rPr>
          <w:rFonts w:ascii="Times New Roman" w:hAnsi="Times New Roman" w:eastAsia="Times New Roman" w:cs="Times New Roman"/>
        </w:rPr>
        <w:t>Nkhani yomwe yaimiridwa ndi “mgwirizano” wa vesi twente-thrii la Danieli chaputala leveni, inaimira anthu odzinenera a m’dziko lokongolalo amene anapatuka, akufikira kuti apange umodzi ndi Roma. 161 BC kufika 158 BC ikuimira kupangidwa kwa chifanizo cha chilombo, komwe kumafika pachimake pa lamulo la Lamlungu.</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«Բայց ի՞նչ է «գազանին պատկերը», և ինչպե՞ս պիտի կազմավորվի այն։ Պատկերը ստեղծվում է երկեղջյուր գազանի կողմից և գազանին պատկեր է։ Այն նաև կոչվում է գազանի պատկեր։ Ուստի, իմանալու համար, թե պատկերը ինչպիսին է և ինչպես պիտի կազմավորվի, մենք պետք է ուսումնասիրենք հենց գազանի՝ պապականության հատկանիշները։»</w:t>
      </w:r>
    </w:p>
    <w:p>
      <w:pPr>
        <w:pStyle w:val="ArticleScripture"/>
        <w:jc w:val="left"/>
      </w:pPr>
      <w:r>
        <w:rPr>
          <w:rFonts w:ascii="Times New Roman" w:hAnsi="Times New Roman" w:eastAsia="Times New Roman" w:cs="Times New Roman"/>
        </w:rPr>
        <w:t>« Lorsque l’Église primitive se corrompit en s’éloignant de la simplicité de l’Évangile et en acceptant des rites et des coutumes païens, elle perdit l’Esprit et la puissance de Dieu ; et, afin de dominer les consciences du peuple, elle rechercha l’appui du pouvoir séculier. Il en résulta la papauté, une Église qui contrôlait la puissance de l’État et l’employait pour servir ses propres desseins, particulièrement pour le châtiment de l’“hérésie”. Pour que les États-Unis forment une image de la bête, il faut que le pouvoir religieux exerce un tel contrôle sur le gouvernement civil que l’autorité de l’État soit, elle aussi, employée par l’Église pour accomplir ses propres desseins. »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quatre-vingt-huit</dc:title>
  <dc:subject>له رفحيا إلى بانيوم: كشف الدلالة النبوية للمعارك القديمة</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