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شماره هجده</w:t>
      </w:r>
    </w:p>
    <w:p>
      <w:pPr>
        <w:pStyle w:val="ArticleSubtitle"/>
        <w:jc w:val="left"/>
      </w:pPr>
      <w:r>
        <w:rPr>
          <w:rFonts w:ascii="Arial" w:hAnsi="Arial" w:eastAsia="Arial" w:cs="Arial"/>
        </w:rPr>
        <w:t>L’Heure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Leelawadee UI" w:hAnsi="Leelawadee UI" w:eastAsia="Leelawadee UI" w:cs="Leelawadee UI"/>
        </w:rPr>
        <w:t>ឥទ្ធិពលនៃការបំផុសគំនិតបានបញ្ជាក់យ៉ាងច្បាស់ថា</w:t>
      </w:r>
      <w:r>
        <w:rPr>
          <w:rFonts w:ascii="Times New Roman" w:hAnsi="Times New Roman" w:eastAsia="Times New Roman" w:cs="Times New Roman"/>
        </w:rPr>
        <w:t xml:space="preserve"> </w:t>
      </w:r>
      <w:r>
        <w:rPr>
          <w:rFonts w:ascii="Leelawadee UI" w:hAnsi="Leelawadee UI" w:eastAsia="Leelawadee UI" w:cs="Leelawadee UI"/>
        </w:rPr>
        <w:t>ជំពូកទីបីនៃសៀវភៅដានីយ៉ែល</w:t>
      </w:r>
      <w:r>
        <w:rPr>
          <w:rFonts w:ascii="Times New Roman" w:hAnsi="Times New Roman" w:eastAsia="Times New Roman" w:cs="Times New Roman"/>
        </w:rPr>
        <w:t xml:space="preserve"> </w:t>
      </w:r>
      <w:r>
        <w:rPr>
          <w:rFonts w:ascii="Leelawadee UI" w:hAnsi="Leelawadee UI" w:eastAsia="Leelawadee UI" w:cs="Leelawadee UI"/>
        </w:rPr>
        <w:t>តំណាងឲ្យច្បាប់ថ្ងៃអាទិត្យនៅសហរដ្ឋអាមេរិក។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នៅក្នុងអេសាយ</w:t>
      </w:r>
      <w:r>
        <w:rPr>
          <w:rFonts w:ascii="Times New Roman" w:hAnsi="Times New Roman" w:eastAsia="Times New Roman" w:cs="Times New Roman"/>
        </w:rPr>
        <w:t xml:space="preserve"> </w:t>
      </w:r>
      <w:r>
        <w:rPr>
          <w:rFonts w:ascii="Leelawadee UI" w:hAnsi="Leelawadee UI" w:eastAsia="Leelawadee UI" w:cs="Leelawadee UI"/>
        </w:rPr>
        <w:t>ជំពូកទីម្ភៃបី</w:t>
      </w:r>
      <w:r>
        <w:rPr>
          <w:rFonts w:ascii="Times New Roman" w:hAnsi="Times New Roman" w:eastAsia="Times New Roman" w:cs="Times New Roman"/>
        </w:rPr>
        <w:t xml:space="preserve"> </w:t>
      </w:r>
      <w:r>
        <w:rPr>
          <w:rFonts w:ascii="Leelawadee UI" w:hAnsi="Leelawadee UI" w:eastAsia="Leelawadee UI" w:cs="Leelawadee UI"/>
        </w:rPr>
        <w:t>ស្រីពេស្យានៃទីរ៉ុស</w:t>
      </w:r>
      <w:r>
        <w:rPr>
          <w:rFonts w:ascii="Times New Roman" w:hAnsi="Times New Roman" w:eastAsia="Times New Roman" w:cs="Times New Roman"/>
        </w:rPr>
        <w:t xml:space="preserve"> </w:t>
      </w:r>
      <w:r>
        <w:rPr>
          <w:rFonts w:ascii="Leelawadee UI" w:hAnsi="Leelawadee UI" w:eastAsia="Leelawadee UI" w:cs="Leelawadee UI"/>
        </w:rPr>
        <w:t>ដែលប្រព្រឹត្តអំពើសហាយស្មន់ជាមួយនឹងស្តេចទាំងឡាយនៃផែនដី</w:t>
      </w:r>
      <w:r>
        <w:rPr>
          <w:rFonts w:ascii="Times New Roman" w:hAnsi="Times New Roman" w:eastAsia="Times New Roman" w:cs="Times New Roman"/>
        </w:rPr>
        <w:t xml:space="preserve"> </w:t>
      </w:r>
      <w:r>
        <w:rPr>
          <w:rFonts w:ascii="Leelawadee UI" w:hAnsi="Leelawadee UI" w:eastAsia="Leelawadee UI" w:cs="Leelawadee UI"/>
        </w:rPr>
        <w:t>គឺជាស្រីពេស្យានៃវិវរណៈ</w:t>
      </w:r>
      <w:r>
        <w:rPr>
          <w:rFonts w:ascii="Times New Roman" w:hAnsi="Times New Roman" w:eastAsia="Times New Roman" w:cs="Times New Roman"/>
        </w:rPr>
        <w:t xml:space="preserve"> </w:t>
      </w:r>
      <w:r>
        <w:rPr>
          <w:rFonts w:ascii="Leelawadee UI" w:hAnsi="Leelawadee UI" w:eastAsia="Leelawadee UI" w:cs="Leelawadee UI"/>
        </w:rPr>
        <w:t>ដែលប្រព្រឹត្តអំពើសហាយស្មន់ជាមួយនឹងស្តេចទាំងឡាយនៃផែនដី។</w:t>
      </w:r>
      <w:r>
        <w:rPr>
          <w:rFonts w:ascii="Times New Roman" w:hAnsi="Times New Roman" w:eastAsia="Times New Roman" w:cs="Times New Roman"/>
        </w:rPr>
        <w:t xml:space="preserve"> </w:t>
      </w:r>
      <w:r>
        <w:rPr>
          <w:rFonts w:ascii="Leelawadee UI" w:hAnsi="Leelawadee UI" w:eastAsia="Leelawadee UI" w:cs="Leelawadee UI"/>
        </w:rPr>
        <w:t>នៅក្នុងវិវរណៈ</w:t>
      </w:r>
      <w:r>
        <w:rPr>
          <w:rFonts w:ascii="Times New Roman" w:hAnsi="Times New Roman" w:eastAsia="Times New Roman" w:cs="Times New Roman"/>
        </w:rPr>
        <w:t xml:space="preserve"> </w:t>
      </w:r>
      <w:r>
        <w:rPr>
          <w:rFonts w:ascii="Leelawadee UI" w:hAnsi="Leelawadee UI" w:eastAsia="Leelawadee UI" w:cs="Leelawadee UI"/>
        </w:rPr>
        <w:t>ជំពូកដប់ប្រាំពីរ</w:t>
      </w:r>
      <w:r>
        <w:rPr>
          <w:rFonts w:ascii="Times New Roman" w:hAnsi="Times New Roman" w:eastAsia="Times New Roman" w:cs="Times New Roman"/>
        </w:rPr>
        <w:t xml:space="preserve"> </w:t>
      </w:r>
      <w:r>
        <w:rPr>
          <w:rFonts w:ascii="Leelawadee UI" w:hAnsi="Leelawadee UI" w:eastAsia="Leelawadee UI" w:cs="Leelawadee UI"/>
        </w:rPr>
        <w:t>ស្រីពេស្យានោះមានពាក្យថា</w:t>
      </w:r>
      <w:r>
        <w:rPr>
          <w:rFonts w:ascii="Times New Roman" w:hAnsi="Times New Roman" w:eastAsia="Times New Roman" w:cs="Times New Roman"/>
        </w:rPr>
        <w:t xml:space="preserve"> «</w:t>
      </w:r>
      <w:r>
        <w:rPr>
          <w:rFonts w:ascii="Leelawadee UI" w:hAnsi="Leelawadee UI" w:eastAsia="Leelawadee UI" w:cs="Leelawadee UI"/>
        </w:rPr>
        <w:t>បាប៊ីឡូនដ៏អស្ចារ្យ</w:t>
      </w:r>
      <w:r>
        <w:rPr>
          <w:rFonts w:ascii="Times New Roman" w:hAnsi="Times New Roman" w:eastAsia="Times New Roman" w:cs="Times New Roman"/>
        </w:rPr>
        <w:t xml:space="preserve">» </w:t>
      </w:r>
      <w:r>
        <w:rPr>
          <w:rFonts w:ascii="Leelawadee UI" w:hAnsi="Leelawadee UI" w:eastAsia="Leelawadee UI" w:cs="Leelawadee UI"/>
        </w:rPr>
        <w:t>សរសេរនៅលើថ្ងាសរបស់នាង។</w:t>
      </w:r>
    </w:p>
    <w:p>
      <w:pPr>
        <w:pStyle w:val="ArticleScripture"/>
        <w:jc w:val="left"/>
      </w:pPr>
      <w:r>
        <w:rPr>
          <w:rFonts w:ascii="Times New Roman" w:hAnsi="Times New Roman" w:eastAsia="Times New Roman" w:cs="Times New Roman"/>
        </w:rPr>
        <w:t>‘Me mosadi a apere bophepolo le bokgubedu bo bohubidu, a ikgabisa ka gouta le maje a a tlhwatlhwakgolo le diperela, a tshotse mo seatleng sa gagwe senwelo sa gouta se tletse makgapha le leswe la boaka jwa gagwe; mme mo phatleng ya gagwe go ne go kwadilwe leina le le reng, SEPHIRI, BABELA O MOHOLO, MMAABO DISETEKALE LE MAKGA PHA A LEFATSHE.’ Tshenolo 17:4, 5.</w:t>
      </w:r>
    </w:p>
    <w:p>
      <w:pPr>
        <w:pStyle w:val="ArticleBody"/>
        <w:jc w:val="left"/>
      </w:pPr>
      <w:r>
        <w:rPr>
          <w:rFonts w:ascii="Times New Roman" w:hAnsi="Times New Roman" w:eastAsia="Times New Roman" w:cs="Times New Roman"/>
        </w:rPr>
        <w:t>1950</w:t>
      </w:r>
      <w:r>
        <w:rPr>
          <w:rFonts w:ascii="Microsoft YaHei" w:hAnsi="Microsoft YaHei" w:eastAsia="Microsoft YaHei" w:cs="Microsoft YaHei"/>
        </w:rPr>
        <w:t>年以前</w:t>
      </w:r>
      <w:r>
        <w:rPr>
          <w:rFonts w:ascii="Times New Roman" w:hAnsi="Times New Roman" w:eastAsia="Times New Roman" w:cs="Times New Roman"/>
        </w:rPr>
        <w:t>,</w:t>
      </w:r>
      <w:r>
        <w:rPr>
          <w:rFonts w:ascii="Microsoft YaHei" w:hAnsi="Microsoft YaHei" w:eastAsia="Microsoft YaHei" w:cs="Microsoft YaHei"/>
        </w:rPr>
        <w:t>英文词典都正确地指出</w:t>
      </w:r>
      <w:r>
        <w:rPr>
          <w:rFonts w:ascii="Times New Roman" w:hAnsi="Times New Roman" w:eastAsia="Times New Roman" w:cs="Times New Roman"/>
        </w:rPr>
        <w:t>,</w:t>
      </w:r>
      <w:r>
        <w:rPr>
          <w:rFonts w:ascii="Microsoft YaHei" w:hAnsi="Microsoft YaHei" w:eastAsia="Microsoft YaHei" w:cs="Microsoft YaHei"/>
        </w:rPr>
        <w:t>这两节经文中所代表的妇人</w:t>
      </w:r>
      <w:r>
        <w:rPr>
          <w:rFonts w:ascii="Times New Roman" w:hAnsi="Times New Roman" w:eastAsia="Times New Roman" w:cs="Times New Roman"/>
        </w:rPr>
        <w:t>,</w:t>
      </w:r>
      <w:r>
        <w:rPr>
          <w:rFonts w:ascii="Microsoft YaHei" w:hAnsi="Microsoft YaHei" w:eastAsia="Microsoft YaHei" w:cs="Microsoft YaHei"/>
        </w:rPr>
        <w:t>乃是罗马天主教会</w:t>
      </w:r>
      <w:r>
        <w:rPr>
          <w:rFonts w:ascii="Times New Roman" w:hAnsi="Times New Roman" w:eastAsia="Times New Roman" w:cs="Times New Roman"/>
        </w:rPr>
        <w:t>.</w:t>
      </w:r>
      <w:r>
        <w:rPr>
          <w:rFonts w:ascii="Microsoft YaHei" w:hAnsi="Microsoft YaHei" w:eastAsia="Microsoft YaHei" w:cs="Microsoft YaHei"/>
        </w:rPr>
        <w:t>全世界在天主教黑暗时代的迫害之后都知道：自</w:t>
      </w:r>
      <w:r>
        <w:rPr>
          <w:rFonts w:ascii="Times New Roman" w:hAnsi="Times New Roman" w:eastAsia="Times New Roman" w:cs="Times New Roman"/>
        </w:rPr>
        <w:t>538</w:t>
      </w:r>
      <w:r>
        <w:rPr>
          <w:rFonts w:ascii="Microsoft YaHei" w:hAnsi="Microsoft YaHei" w:eastAsia="Microsoft YaHei" w:cs="Microsoft YaHei"/>
        </w:rPr>
        <w:t>年至</w:t>
      </w:r>
      <w:r>
        <w:rPr>
          <w:rFonts w:ascii="Times New Roman" w:hAnsi="Times New Roman" w:eastAsia="Times New Roman" w:cs="Times New Roman"/>
        </w:rPr>
        <w:t>1798</w:t>
      </w:r>
      <w:r>
        <w:rPr>
          <w:rFonts w:ascii="Microsoft YaHei" w:hAnsi="Microsoft YaHei" w:eastAsia="Microsoft YaHei" w:cs="Microsoft YaHei"/>
        </w:rPr>
        <w:t>年间所施行的那些迫害</w:t>
      </w:r>
      <w:r>
        <w:rPr>
          <w:rFonts w:ascii="Times New Roman" w:hAnsi="Times New Roman" w:eastAsia="Times New Roman" w:cs="Times New Roman"/>
        </w:rPr>
        <w:t>,</w:t>
      </w:r>
      <w:r>
        <w:rPr>
          <w:rFonts w:ascii="Microsoft YaHei" w:hAnsi="Microsoft YaHei" w:eastAsia="Microsoft YaHei" w:cs="Microsoft YaHei"/>
        </w:rPr>
        <w:t>表明罗马教会就是那与地上的君王行淫的淫妇</w:t>
      </w:r>
      <w:r>
        <w:rPr>
          <w:rFonts w:ascii="Times New Roman" w:hAnsi="Times New Roman" w:eastAsia="Times New Roman" w:cs="Times New Roman"/>
        </w:rPr>
        <w:t>. «</w:t>
      </w:r>
      <w:r>
        <w:rPr>
          <w:rFonts w:ascii="Microsoft YaHei" w:hAnsi="Microsoft YaHei" w:eastAsia="Microsoft YaHei" w:cs="Microsoft YaHei"/>
        </w:rPr>
        <w:t>独立宣言</w:t>
      </w:r>
      <w:r>
        <w:rPr>
          <w:rFonts w:ascii="Times New Roman" w:hAnsi="Times New Roman" w:eastAsia="Times New Roman" w:cs="Times New Roman"/>
        </w:rPr>
        <w:t>»</w:t>
      </w:r>
      <w:r>
        <w:rPr>
          <w:rFonts w:ascii="Microsoft YaHei" w:hAnsi="Microsoft YaHei" w:eastAsia="Microsoft YaHei" w:cs="Microsoft YaHei"/>
        </w:rPr>
        <w:t>的制定</w:t>
      </w:r>
      <w:r>
        <w:rPr>
          <w:rFonts w:ascii="Times New Roman" w:hAnsi="Times New Roman" w:eastAsia="Times New Roman" w:cs="Times New Roman"/>
        </w:rPr>
        <w:t>,</w:t>
      </w:r>
      <w:r>
        <w:rPr>
          <w:rFonts w:ascii="Microsoft YaHei" w:hAnsi="Microsoft YaHei" w:eastAsia="Microsoft YaHei" w:cs="Microsoft YaHei"/>
        </w:rPr>
        <w:t>乃是为了拒绝天主教的统治</w:t>
      </w:r>
      <w:r>
        <w:rPr>
          <w:rFonts w:ascii="Times New Roman" w:hAnsi="Times New Roman" w:eastAsia="Times New Roman" w:cs="Times New Roman"/>
        </w:rPr>
        <w:t>,</w:t>
      </w:r>
      <w:r>
        <w:rPr>
          <w:rFonts w:ascii="Microsoft YaHei" w:hAnsi="Microsoft YaHei" w:eastAsia="Microsoft YaHei" w:cs="Microsoft YaHei"/>
        </w:rPr>
        <w:t>也拒绝那些与这淫妇结成不圣洁关系之地上君王的统治</w:t>
      </w:r>
      <w:r>
        <w:rPr>
          <w:rFonts w:ascii="Times New Roman" w:hAnsi="Times New Roman" w:eastAsia="Times New Roman" w:cs="Times New Roman"/>
        </w:rPr>
        <w:t>.</w:t>
      </w:r>
      <w:r>
        <w:rPr>
          <w:rFonts w:ascii="Microsoft YaHei" w:hAnsi="Microsoft YaHei" w:eastAsia="Microsoft YaHei" w:cs="Microsoft YaHei"/>
        </w:rPr>
        <w:t>以赛亚书第二十三章指出</w:t>
      </w:r>
      <w:r>
        <w:rPr>
          <w:rFonts w:ascii="Times New Roman" w:hAnsi="Times New Roman" w:eastAsia="Times New Roman" w:cs="Times New Roman"/>
        </w:rPr>
        <w:t>,</w:t>
      </w:r>
      <w:r>
        <w:rPr>
          <w:rFonts w:ascii="Microsoft YaHei" w:hAnsi="Microsoft YaHei" w:eastAsia="Microsoft YaHei" w:cs="Microsoft YaHei"/>
        </w:rPr>
        <w:t>那淫妇必被遗忘</w:t>
      </w:r>
      <w:r>
        <w:rPr>
          <w:rFonts w:ascii="Times New Roman" w:hAnsi="Times New Roman" w:eastAsia="Times New Roman" w:cs="Times New Roman"/>
        </w:rPr>
        <w:t>.</w:t>
      </w:r>
      <w:r>
        <w:rPr>
          <w:rFonts w:ascii="Microsoft YaHei" w:hAnsi="Microsoft YaHei" w:eastAsia="Microsoft YaHei" w:cs="Microsoft YaHei"/>
        </w:rPr>
        <w:t>你在任何现代搜索引擎中都绝不会找到将启示录第十七章中的淫妇定义为天主教会的说法</w:t>
      </w:r>
      <w:r>
        <w:rPr>
          <w:rFonts w:ascii="Times New Roman" w:hAnsi="Times New Roman" w:eastAsia="Times New Roman" w:cs="Times New Roman"/>
        </w:rPr>
        <w:t>,</w:t>
      </w:r>
      <w:r>
        <w:rPr>
          <w:rFonts w:ascii="Microsoft YaHei" w:hAnsi="Microsoft YaHei" w:eastAsia="Microsoft YaHei" w:cs="Microsoft YaHei"/>
        </w:rPr>
        <w:t>因为</w:t>
      </w:r>
      <w:r>
        <w:rPr>
          <w:rFonts w:ascii="Times New Roman" w:hAnsi="Times New Roman" w:eastAsia="Times New Roman" w:cs="Times New Roman"/>
        </w:rPr>
        <w:t xml:space="preserve"> </w:t>
      </w:r>
      <w:r>
        <w:rPr>
          <w:rFonts w:ascii="Microsoft YaHei" w:hAnsi="Microsoft YaHei" w:eastAsia="Microsoft YaHei" w:cs="Microsoft YaHei"/>
        </w:rPr>
        <w:t>神的话永不落空</w:t>
      </w:r>
      <w:r>
        <w:rPr>
          <w:rFonts w:ascii="Times New Roman" w:hAnsi="Times New Roman" w:eastAsia="Times New Roman" w:cs="Times New Roman"/>
        </w:rPr>
        <w:t>,</w:t>
      </w:r>
      <w:r>
        <w:rPr>
          <w:rFonts w:ascii="Microsoft YaHei" w:hAnsi="Microsoft YaHei" w:eastAsia="Microsoft YaHei" w:cs="Microsoft YaHei"/>
        </w:rPr>
        <w:t>而</w:t>
      </w:r>
      <w:r>
        <w:rPr>
          <w:rFonts w:ascii="Times New Roman" w:hAnsi="Times New Roman" w:eastAsia="Times New Roman" w:cs="Times New Roman"/>
        </w:rPr>
        <w:t xml:space="preserve"> </w:t>
      </w:r>
      <w:r>
        <w:rPr>
          <w:rFonts w:ascii="Microsoft YaHei" w:hAnsi="Microsoft YaHei" w:eastAsia="Microsoft YaHei" w:cs="Microsoft YaHei"/>
        </w:rPr>
        <w:t>神的话说她必被遗忘</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il arrivera, en ce jour-là, que Tyr sera oubliée pendant soixante-dix ans, selon les jours d’un roi ; au bout de soixante-dix ans, il en sera de Tyr comme de la prostituée. Prends la harpe, fais le tour de la ville, toi prostituée oubliée ; fais entendre de douces mélodies, chante beaucoup de chansons, afin qu’on se souvienne de toi. Et il arrivera, au bout de soixante-dix ans, que le Seigneur visitera Tyr, et elle reviendra à son salaire, et se prostituera avec tous les royaumes du monde sur la face de la terre. Et son commerce et son salaire seront consacrés au Seigneur : ils ne seront ni amassés ni mis en réserve ; car son commerce sera pour ceux qui demeurent devant le Seigneur, afin qu’ils mangent abondamment et qu’ils aient des vêtements durables. Ésaïe 23:15–18.</w:t>
      </w:r>
    </w:p>
    <w:p>
      <w:pPr>
        <w:pStyle w:val="ArticleBody"/>
        <w:jc w:val="left"/>
      </w:pPr>
      <w:r>
        <w:rPr>
          <w:rFonts w:ascii="Times New Roman" w:hAnsi="Times New Roman" w:eastAsia="Times New Roman" w:cs="Times New Roman"/>
        </w:rPr>
        <w:t>Kalâmu’llâh tidak pernah gagal, dan sejak tahun 1798, perempuan sundal itu telah dilupakan, tetapi pada hari-hari terakhir ia akan diingat kembali. Ia diingat kembali ketika Sabat hari ketujuh Allah diserang, dan itulah satu-satunya perintah dari Sepuluh Perintah Allah yang sejak semula harus selalu diingat. Ia diingat kembali ketika ia mengambil kecapinya, berkeliling kota, dan memperdengarkan melodi yang merdu serta banyak nyanyian. Ia menyanyikan nyanyian-nyanyiannya pada akhir tujuh puluh tahun, yaitu hari-hari dari satu raja. Seorang raja, menurut Daniel pasal dua, adalah sebuah kerajaan.</w:t>
      </w:r>
    </w:p>
    <w:p>
      <w:pPr>
        <w:pStyle w:val="ArticleScripture"/>
        <w:jc w:val="left"/>
      </w:pPr>
      <w:r>
        <w:rPr>
          <w:rFonts w:ascii="Times New Roman" w:hAnsi="Times New Roman" w:eastAsia="Times New Roman" w:cs="Times New Roman"/>
        </w:rPr>
        <w:t>Dan partout où demeurent les enfants des hommes, les bêtes des champs et les oiseaux du ciel, il les a livrés entre tes mains, et il t’a établi dominateur sur eux tous. C’est toi qui es cette tête d’or. Daniel 2:38.</w:t>
      </w:r>
    </w:p>
    <w:p>
      <w:pPr>
        <w:pStyle w:val="ArticleBody"/>
        <w:jc w:val="left"/>
      </w:pPr>
      <w:r>
        <w:rPr>
          <w:rFonts w:ascii="Times New Roman" w:hAnsi="Times New Roman" w:eastAsia="Times New Roman" w:cs="Times New Roman"/>
        </w:rPr>
        <w:t>«</w:t>
      </w:r>
      <w:r>
        <w:rPr>
          <w:rFonts w:ascii="Myanmar Text" w:hAnsi="Myanmar Text" w:eastAsia="Myanmar Text" w:cs="Myanmar Text"/>
        </w:rPr>
        <w:t>တစ်ဦးသော</w:t>
      </w:r>
      <w:r>
        <w:rPr>
          <w:rFonts w:ascii="Times New Roman" w:hAnsi="Times New Roman" w:eastAsia="Times New Roman" w:cs="Times New Roman"/>
        </w:rPr>
        <w:t xml:space="preserve"> </w:t>
      </w:r>
      <w:r>
        <w:rPr>
          <w:rFonts w:ascii="Myanmar Text" w:hAnsi="Myanmar Text" w:eastAsia="Myanmar Text" w:cs="Myanmar Text"/>
        </w:rPr>
        <w:t>ဦးခေါင်း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မင်းကြီးတစ်ပါး</w:t>
      </w:r>
      <w:r>
        <w:rPr>
          <w:rFonts w:ascii="Times New Roman" w:hAnsi="Times New Roman" w:eastAsia="Times New Roman" w:cs="Times New Roman"/>
        </w:rPr>
        <w:t xml:space="preserve">» </w:t>
      </w:r>
      <w:r>
        <w:rPr>
          <w:rFonts w:ascii="Myanmar Text" w:hAnsi="Myanmar Text" w:eastAsia="Myanmar Text" w:cs="Myanmar Text"/>
        </w:rPr>
        <w:t>ဟူသည်</w:t>
      </w:r>
      <w:r>
        <w:rPr>
          <w:rFonts w:ascii="Times New Roman" w:hAnsi="Times New Roman" w:eastAsia="Times New Roman" w:cs="Times New Roman"/>
        </w:rPr>
        <w:t xml:space="preserve"> </w:t>
      </w:r>
      <w:r>
        <w:rPr>
          <w:rFonts w:ascii="Myanmar Text" w:hAnsi="Myanmar Text" w:eastAsia="Myanmar Text" w:cs="Myanmar Text"/>
        </w:rPr>
        <w:t>နှစ်မျိုးစလုံးပင်</w:t>
      </w:r>
      <w:r>
        <w:rPr>
          <w:rFonts w:ascii="Times New Roman" w:hAnsi="Times New Roman" w:eastAsia="Times New Roman" w:cs="Times New Roman"/>
        </w:rPr>
        <w:t xml:space="preserve"> </w:t>
      </w:r>
      <w:r>
        <w:rPr>
          <w:rFonts w:ascii="Myanmar Text" w:hAnsi="Myanmar Text" w:eastAsia="Myanmar Text" w:cs="Myanmar Text"/>
        </w:rPr>
        <w:t>နိုင်ငံတစ်နိုင်ငံ၏</w:t>
      </w:r>
      <w:r>
        <w:rPr>
          <w:rFonts w:ascii="Times New Roman" w:hAnsi="Times New Roman" w:eastAsia="Times New Roman" w:cs="Times New Roman"/>
        </w:rPr>
        <w:t xml:space="preserve"> </w:t>
      </w:r>
      <w:r>
        <w:rPr>
          <w:rFonts w:ascii="Myanmar Text" w:hAnsi="Myanmar Text" w:eastAsia="Myanmar Text" w:cs="Myanmar Text"/>
        </w:rPr>
        <w:t>သင်္ကေတများဖြစ်သည်။</w:t>
      </w:r>
      <w:r>
        <w:rPr>
          <w:rFonts w:ascii="Times New Roman" w:hAnsi="Times New Roman" w:eastAsia="Times New Roman" w:cs="Times New Roman"/>
        </w:rPr>
        <w:t xml:space="preserve"> «</w:t>
      </w:r>
      <w:r>
        <w:rPr>
          <w:rFonts w:ascii="Myanmar Text" w:hAnsi="Myanmar Text" w:eastAsia="Myanmar Text" w:cs="Myanmar Text"/>
        </w:rPr>
        <w:t>မင်းကြီးတစ်ပါး၏</w:t>
      </w:r>
      <w:r>
        <w:rPr>
          <w:rFonts w:ascii="Times New Roman" w:hAnsi="Times New Roman" w:eastAsia="Times New Roman" w:cs="Times New Roman"/>
        </w:rPr>
        <w:t xml:space="preserve"> </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နိုင်ငံသည်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ဗာဗုလုန်ပြည်၏</w:t>
      </w:r>
      <w:r>
        <w:rPr>
          <w:rFonts w:ascii="Times New Roman" w:hAnsi="Times New Roman" w:eastAsia="Times New Roman" w:cs="Times New Roman"/>
        </w:rPr>
        <w:t xml:space="preserve"> </w:t>
      </w:r>
      <w:r>
        <w:rPr>
          <w:rFonts w:ascii="Myanmar Text" w:hAnsi="Myanmar Text" w:eastAsia="Myanmar Text" w:cs="Myanmar Text"/>
        </w:rPr>
        <w:t>ပြည်တန်ဆာအပေါ်</w:t>
      </w:r>
      <w:r>
        <w:rPr>
          <w:rFonts w:ascii="Times New Roman" w:hAnsi="Times New Roman" w:eastAsia="Times New Roman" w:cs="Times New Roman"/>
        </w:rPr>
        <w:t xml:space="preserve"> </w:t>
      </w:r>
      <w:r>
        <w:rPr>
          <w:rFonts w:ascii="Myanmar Text" w:hAnsi="Myanmar Text" w:eastAsia="Myanmar Text" w:cs="Myanmar Text"/>
        </w:rPr>
        <w:t>သေစေနိုင်သော</w:t>
      </w:r>
      <w:r>
        <w:rPr>
          <w:rFonts w:ascii="Times New Roman" w:hAnsi="Times New Roman" w:eastAsia="Times New Roman" w:cs="Times New Roman"/>
        </w:rPr>
        <w:t xml:space="preserve"> </w:t>
      </w:r>
      <w:r>
        <w:rPr>
          <w:rFonts w:ascii="Myanmar Text" w:hAnsi="Myanmar Text" w:eastAsia="Myanmar Text" w:cs="Myanmar Text"/>
        </w:rPr>
        <w:t>အနာဒဏ်</w:t>
      </w:r>
      <w:r>
        <w:rPr>
          <w:rFonts w:ascii="Times New Roman" w:hAnsi="Times New Roman" w:eastAsia="Times New Roman" w:cs="Times New Roman"/>
        </w:rPr>
        <w:t xml:space="preserve"> </w:t>
      </w:r>
      <w:r>
        <w:rPr>
          <w:rFonts w:ascii="Myanmar Text" w:hAnsi="Myanmar Text" w:eastAsia="Myanmar Text" w:cs="Myanmar Text"/>
        </w:rPr>
        <w:t>ခံရသောအခါ</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တက်လာသော</w:t>
      </w:r>
      <w:r>
        <w:rPr>
          <w:rFonts w:ascii="Times New Roman" w:hAnsi="Times New Roman" w:eastAsia="Times New Roman" w:cs="Times New Roman"/>
        </w:rPr>
        <w:t xml:space="preserve"> </w:t>
      </w:r>
      <w:r>
        <w:rPr>
          <w:rFonts w:ascii="Myanmar Text" w:hAnsi="Myanmar Text" w:eastAsia="Myanmar Text" w:cs="Myanmar Text"/>
        </w:rPr>
        <w:t>တိရစ္ဆာန်အဖြစ်</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ပရောဖက်ပြု</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ရောက်ရှိသည်အထိ</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ဆဋ္ဌမမြောက်</w:t>
      </w:r>
      <w:r>
        <w:rPr>
          <w:rFonts w:ascii="Times New Roman" w:hAnsi="Times New Roman" w:eastAsia="Times New Roman" w:cs="Times New Roman"/>
        </w:rPr>
        <w:t xml:space="preserve"> </w:t>
      </w:r>
      <w:r>
        <w:rPr>
          <w:rFonts w:ascii="Myanmar Text" w:hAnsi="Myanmar Text" w:eastAsia="Myanmar Text" w:cs="Myanmar Text"/>
        </w:rPr>
        <w:t>နိုင်ငံအဖြစ်</w:t>
      </w:r>
      <w:r>
        <w:rPr>
          <w:rFonts w:ascii="Times New Roman" w:hAnsi="Times New Roman" w:eastAsia="Times New Roman" w:cs="Times New Roman"/>
        </w:rPr>
        <w:t xml:space="preserve"> </w:t>
      </w:r>
      <w:r>
        <w:rPr>
          <w:rFonts w:ascii="Myanmar Text" w:hAnsi="Myanmar Text" w:eastAsia="Myanmar Text" w:cs="Myanmar Text"/>
        </w:rPr>
        <w:t>ဆက်လက်တည်ရှိသည်။</w:t>
      </w:r>
      <w:r>
        <w:rPr>
          <w:rFonts w:ascii="Times New Roman" w:hAnsi="Times New Roman" w:eastAsia="Times New Roman" w:cs="Times New Roman"/>
        </w:rPr>
        <w:t xml:space="preserve"> </w:t>
      </w:r>
      <w:r>
        <w:rPr>
          <w:rFonts w:ascii="Myanmar Text" w:hAnsi="Myanmar Text" w:eastAsia="Myanmar Text" w:cs="Myanmar Text"/>
        </w:rPr>
        <w:t>အမှန်တကယ်အားဖြင့်</w:t>
      </w:r>
      <w:r>
        <w:rPr>
          <w:rFonts w:ascii="Times New Roman" w:hAnsi="Times New Roman" w:eastAsia="Times New Roman" w:cs="Times New Roman"/>
        </w:rPr>
        <w:t xml:space="preserve"> </w:t>
      </w:r>
      <w:r>
        <w:rPr>
          <w:rFonts w:ascii="Myanmar Text" w:hAnsi="Myanmar Text" w:eastAsia="Myanmar Text" w:cs="Myanmar Text"/>
        </w:rPr>
        <w:t>ခုနစ်ဆယ်နှစ်ပတ်လုံး</w:t>
      </w:r>
      <w:r>
        <w:rPr>
          <w:rFonts w:ascii="Times New Roman" w:hAnsi="Times New Roman" w:eastAsia="Times New Roman" w:cs="Times New Roman"/>
        </w:rPr>
        <w:t xml:space="preserve"> </w:t>
      </w:r>
      <w:r>
        <w:rPr>
          <w:rFonts w:ascii="Myanmar Text" w:hAnsi="Myanmar Text" w:eastAsia="Myanmar Text" w:cs="Myanmar Text"/>
        </w:rPr>
        <w:t>အုပ်စိုးခဲ့သော</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ပရောဖက်ပြုချက်ထဲက</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နိုင်ငံမှာ</w:t>
      </w:r>
      <w:r>
        <w:rPr>
          <w:rFonts w:ascii="Times New Roman" w:hAnsi="Times New Roman" w:eastAsia="Times New Roman" w:cs="Times New Roman"/>
        </w:rPr>
        <w:t xml:space="preserve"> </w:t>
      </w:r>
      <w:r>
        <w:rPr>
          <w:rFonts w:ascii="Myanmar Text" w:hAnsi="Myanmar Text" w:eastAsia="Myanmar Text" w:cs="Myanmar Text"/>
        </w:rPr>
        <w:t>ဗာဗုလုန်ပင်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Fa ilaahas, ani ani ergii fudhadhee maatiiwwan kaabaa hundumaa nan erga; jedha Waaqayyo; akkasumas Nebukadnezaar mootii Baabilon, garbicha koo; isaanis biyya kana irratti, jiraattota ishee irratti, saboota naannoo kanaa hundumaa irrattis nan fida; guutummaatti isaan nan balleessa; isaanis waan nama dinqisiisu, waan itti afaan cufatanii sossoban, fi diigama bara baraa nan godha. Kana malees, sagalee gammachuu, sagalee ililchaa, sagalee misirrichaa, fi sagalee misirrittii, sagalee daakuu dhagaa, fi ifa ibsaa isaan irraa nan balleessa. Biyyi kun guutuunis ontee fi waan nama dinqisiisu taati; saboonni kunis waggoota torbaatama mootii Baabilon tajaajilu. Yommuu waggoonni torbaatamni sun guutaman immoo, mootii Baabilonii fi saba sana jal’ina isaanii irraa kan ka’e nan adaba; jedha Waaqayyo; biyya Kaldootaa illee, ontee bara baraa nan godha. Ermiyaas 25:9–12.</w:t>
      </w:r>
    </w:p>
    <w:p>
      <w:pPr>
        <w:pStyle w:val="ArticleBody"/>
        <w:jc w:val="left"/>
      </w:pPr>
      <w:r>
        <w:rPr>
          <w:rFonts w:ascii="Times New Roman" w:hAnsi="Times New Roman" w:eastAsia="Times New Roman" w:cs="Times New Roman"/>
        </w:rPr>
        <w:t>ff</w:t>
      </w:r>
      <w:r>
        <w:rPr>
          <w:rFonts w:ascii="Microsoft YaHei" w:hAnsi="Microsoft YaHei" w:eastAsia="Microsoft YaHei" w:cs="Microsoft YaHei"/>
        </w:rPr>
        <w:t>历巴比伦统治了七十年</w:t>
      </w:r>
      <w:r>
        <w:rPr>
          <w:rFonts w:ascii="Times New Roman" w:hAnsi="Times New Roman" w:eastAsia="Times New Roman" w:cs="Times New Roman"/>
        </w:rPr>
        <w:t>,</w:t>
      </w:r>
      <w:r>
        <w:rPr>
          <w:rFonts w:ascii="Microsoft YaHei" w:hAnsi="Microsoft YaHei" w:eastAsia="Microsoft YaHei" w:cs="Microsoft YaHei"/>
        </w:rPr>
        <w:t>预表末后的国度将要统治七十个象征性的年日</w:t>
      </w:r>
      <w:r>
        <w:rPr>
          <w:rFonts w:ascii="Times New Roman" w:hAnsi="Times New Roman" w:eastAsia="Times New Roman" w:cs="Times New Roman"/>
        </w:rPr>
        <w:t>.</w:t>
      </w:r>
      <w:r>
        <w:rPr>
          <w:rFonts w:ascii="Microsoft YaHei" w:hAnsi="Microsoft YaHei" w:eastAsia="Microsoft YaHei" w:cs="Microsoft YaHei"/>
        </w:rPr>
        <w:t>巴比伦王尼布甲尼撒曾三次攻击犹大</w:t>
      </w:r>
      <w:r>
        <w:rPr>
          <w:rFonts w:ascii="Times New Roman" w:hAnsi="Times New Roman" w:eastAsia="Times New Roman" w:cs="Times New Roman"/>
        </w:rPr>
        <w:t>.</w:t>
      </w:r>
      <w:r>
        <w:rPr>
          <w:rFonts w:ascii="Microsoft YaHei" w:hAnsi="Microsoft YaHei" w:eastAsia="Microsoft YaHei" w:cs="Microsoft YaHei"/>
        </w:rPr>
        <w:t>第一次攻击是针对约雅敬</w:t>
      </w:r>
      <w:r>
        <w:rPr>
          <w:rFonts w:ascii="Times New Roman" w:hAnsi="Times New Roman" w:eastAsia="Times New Roman" w:cs="Times New Roman"/>
        </w:rPr>
        <w:t>,</w:t>
      </w:r>
      <w:r>
        <w:rPr>
          <w:rFonts w:ascii="Microsoft YaHei" w:hAnsi="Microsoft YaHei" w:eastAsia="Microsoft YaHei" w:cs="Microsoft YaHei"/>
        </w:rPr>
        <w:t>而耶利米预言中的七十年也就在那时开始</w:t>
      </w:r>
      <w:r>
        <w:rPr>
          <w:rFonts w:ascii="Times New Roman" w:hAnsi="Times New Roman" w:eastAsia="Times New Roman" w:cs="Times New Roman"/>
        </w:rPr>
        <w:t>.</w:t>
      </w:r>
      <w:r>
        <w:rPr>
          <w:rFonts w:ascii="Microsoft YaHei" w:hAnsi="Microsoft YaHei" w:eastAsia="Microsoft YaHei" w:cs="Microsoft YaHei"/>
        </w:rPr>
        <w:t>它结束于伯沙撒之死</w:t>
      </w:r>
      <w:r>
        <w:rPr>
          <w:rFonts w:ascii="Times New Roman" w:hAnsi="Times New Roman" w:eastAsia="Times New Roman" w:cs="Times New Roman"/>
        </w:rPr>
        <w:t>,</w:t>
      </w:r>
      <w:r>
        <w:rPr>
          <w:rFonts w:ascii="Microsoft YaHei" w:hAnsi="Microsoft YaHei" w:eastAsia="Microsoft YaHei" w:cs="Microsoft YaHei"/>
        </w:rPr>
        <w:t>那时上帝惩罚了</w:t>
      </w:r>
      <w:r>
        <w:rPr>
          <w:rFonts w:ascii="Times New Roman" w:hAnsi="Times New Roman" w:eastAsia="Times New Roman" w:cs="Times New Roman"/>
        </w:rPr>
        <w:t>“</w:t>
      </w:r>
      <w:r>
        <w:rPr>
          <w:rFonts w:ascii="Microsoft YaHei" w:hAnsi="Microsoft YaHei" w:eastAsia="Microsoft YaHei" w:cs="Microsoft YaHei"/>
        </w:rPr>
        <w:t>巴比伦王</w:t>
      </w:r>
      <w:r>
        <w:rPr>
          <w:rFonts w:ascii="Times New Roman" w:hAnsi="Times New Roman" w:eastAsia="Times New Roman" w:cs="Times New Roman"/>
        </w:rPr>
        <w:t>”,</w:t>
      </w:r>
      <w:r>
        <w:rPr>
          <w:rFonts w:ascii="Microsoft YaHei" w:hAnsi="Microsoft YaHei" w:eastAsia="Microsoft YaHei" w:cs="Microsoft YaHei"/>
        </w:rPr>
        <w:t>正如在七十年之初他惩罚约雅敬王一样</w:t>
      </w:r>
      <w:r>
        <w:rPr>
          <w:rFonts w:ascii="Times New Roman" w:hAnsi="Times New Roman" w:eastAsia="Times New Roman" w:cs="Times New Roman"/>
        </w:rPr>
        <w:t>.</w:t>
      </w:r>
      <w:r>
        <w:rPr>
          <w:rFonts w:ascii="Microsoft YaHei" w:hAnsi="Microsoft YaHei" w:eastAsia="Microsoft YaHei" w:cs="Microsoft YaHei"/>
        </w:rPr>
        <w:t>那被表述为</w:t>
      </w:r>
      <w:r>
        <w:rPr>
          <w:rFonts w:ascii="Times New Roman" w:hAnsi="Times New Roman" w:eastAsia="Times New Roman" w:cs="Times New Roman"/>
        </w:rPr>
        <w:t>“</w:t>
      </w:r>
      <w:r>
        <w:rPr>
          <w:rFonts w:ascii="Microsoft YaHei" w:hAnsi="Microsoft YaHei" w:eastAsia="Microsoft YaHei" w:cs="Microsoft YaHei"/>
        </w:rPr>
        <w:t>一个王的日子</w:t>
      </w:r>
      <w:r>
        <w:rPr>
          <w:rFonts w:ascii="Times New Roman" w:hAnsi="Times New Roman" w:eastAsia="Times New Roman" w:cs="Times New Roman"/>
        </w:rPr>
        <w:t>”</w:t>
      </w:r>
      <w:r>
        <w:rPr>
          <w:rFonts w:ascii="Microsoft YaHei" w:hAnsi="Microsoft YaHei" w:eastAsia="Microsoft YaHei" w:cs="Microsoft YaHei"/>
        </w:rPr>
        <w:t>（一个国度）即</w:t>
      </w:r>
      <w:r>
        <w:rPr>
          <w:rFonts w:ascii="Times New Roman" w:hAnsi="Times New Roman" w:eastAsia="Times New Roman" w:cs="Times New Roman"/>
        </w:rPr>
        <w:t>“</w:t>
      </w:r>
      <w:r>
        <w:rPr>
          <w:rFonts w:ascii="Microsoft YaHei" w:hAnsi="Microsoft YaHei" w:eastAsia="Microsoft YaHei" w:cs="Microsoft YaHei"/>
        </w:rPr>
        <w:t>七十年</w:t>
      </w:r>
      <w:r>
        <w:rPr>
          <w:rFonts w:ascii="Times New Roman" w:hAnsi="Times New Roman" w:eastAsia="Times New Roman" w:cs="Times New Roman"/>
        </w:rPr>
        <w:t>”</w:t>
      </w:r>
      <w:r>
        <w:rPr>
          <w:rFonts w:ascii="Microsoft YaHei" w:hAnsi="Microsoft YaHei" w:eastAsia="Microsoft YaHei" w:cs="Microsoft YaHei"/>
        </w:rPr>
        <w:t>的预言性国度</w:t>
      </w:r>
      <w:r>
        <w:rPr>
          <w:rFonts w:ascii="Times New Roman" w:hAnsi="Times New Roman" w:eastAsia="Times New Roman" w:cs="Times New Roman"/>
        </w:rPr>
        <w:t>,</w:t>
      </w:r>
      <w:r>
        <w:rPr>
          <w:rFonts w:ascii="Microsoft YaHei" w:hAnsi="Microsoft YaHei" w:eastAsia="Microsoft YaHei" w:cs="Microsoft YaHei"/>
        </w:rPr>
        <w:t>乃是巴比伦</w:t>
      </w:r>
      <w:r>
        <w:rPr>
          <w:rFonts w:ascii="Times New Roman" w:hAnsi="Times New Roman" w:eastAsia="Times New Roman" w:cs="Times New Roman"/>
        </w:rPr>
        <w:t>;</w:t>
      </w:r>
      <w:r>
        <w:rPr>
          <w:rFonts w:ascii="Microsoft YaHei" w:hAnsi="Microsoft YaHei" w:eastAsia="Microsoft YaHei" w:cs="Microsoft YaHei"/>
        </w:rPr>
        <w:t>而在推罗妓女被遗忘期间</w:t>
      </w:r>
      <w:r>
        <w:rPr>
          <w:rFonts w:ascii="Times New Roman" w:hAnsi="Times New Roman" w:eastAsia="Times New Roman" w:cs="Times New Roman"/>
        </w:rPr>
        <w:t>,</w:t>
      </w:r>
      <w:r>
        <w:rPr>
          <w:rFonts w:ascii="Microsoft YaHei" w:hAnsi="Microsoft YaHei" w:eastAsia="Microsoft YaHei" w:cs="Microsoft YaHei"/>
        </w:rPr>
        <w:t>于那七十个象征性年日中执政的</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预言之国度</w:t>
      </w:r>
      <w:r>
        <w:rPr>
          <w:rFonts w:ascii="Times New Roman" w:hAnsi="Times New Roman" w:eastAsia="Times New Roman" w:cs="Times New Roman"/>
        </w:rPr>
        <w:t>,</w:t>
      </w:r>
      <w:r>
        <w:rPr>
          <w:rFonts w:ascii="Microsoft YaHei" w:hAnsi="Microsoft YaHei" w:eastAsia="Microsoft YaHei" w:cs="Microsoft YaHei"/>
        </w:rPr>
        <w:t>乃是</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第十三章中的地兽</w:t>
      </w:r>
      <w:r>
        <w:rPr>
          <w:rFonts w:ascii="Times New Roman" w:hAnsi="Times New Roman" w:eastAsia="Times New Roman" w:cs="Times New Roman"/>
        </w:rPr>
        <w:t>.</w:t>
      </w:r>
      <w:r>
        <w:rPr>
          <w:rFonts w:ascii="Microsoft YaHei" w:hAnsi="Microsoft YaHei" w:eastAsia="Microsoft YaHei" w:cs="Microsoft YaHei"/>
        </w:rPr>
        <w:t>从</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预言第五个国度向第六个国度于</w:t>
      </w:r>
      <w:r>
        <w:rPr>
          <w:rFonts w:ascii="Times New Roman" w:hAnsi="Times New Roman" w:eastAsia="Times New Roman" w:cs="Times New Roman"/>
        </w:rPr>
        <w:t>1798</w:t>
      </w:r>
      <w:r>
        <w:rPr>
          <w:rFonts w:ascii="Microsoft YaHei" w:hAnsi="Microsoft YaHei" w:eastAsia="Microsoft YaHei" w:cs="Microsoft YaHei"/>
        </w:rPr>
        <w:t>年的转变</w:t>
      </w:r>
      <w:r>
        <w:rPr>
          <w:rFonts w:ascii="Times New Roman" w:hAnsi="Times New Roman" w:eastAsia="Times New Roman" w:cs="Times New Roman"/>
        </w:rPr>
        <w:t>,</w:t>
      </w:r>
      <w:r>
        <w:rPr>
          <w:rFonts w:ascii="Microsoft YaHei" w:hAnsi="Microsoft YaHei" w:eastAsia="Microsoft YaHei" w:cs="Microsoft YaHei"/>
        </w:rPr>
        <w:t>正是约翰在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第十三章中所阐明之真理的一部分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je me tins sur le sable de la mer, et je vis monter de la mer une bête ayant sept têtes et dix cornes; et sur ses cornes dix couronnes, et sur ses têtes un nom de blasphème.... Puis je vis monter de la terre une autre bête; elle avait deux cornes semblables à celles d’un agneau, et elle parlait comme un dragon. Apocalypse 13:1, 11.</w:t>
      </w:r>
    </w:p>
    <w:p>
      <w:pPr>
        <w:pStyle w:val="ArticleBody"/>
        <w:jc w:val="left"/>
      </w:pPr>
      <w:r>
        <w:rPr>
          <w:rFonts w:ascii="Times New Roman" w:hAnsi="Times New Roman" w:eastAsia="Times New Roman" w:cs="Times New Roman"/>
        </w:rPr>
        <w:t>Ufer des Meeres, auf dem Johannes in Offenbarung Kapitel dreizehn stand, stellt das Jahr 1798 dar.</w:t>
      </w:r>
    </w:p>
    <w:p>
      <w:pPr>
        <w:pStyle w:val="ArticleScripture"/>
        <w:jc w:val="left"/>
      </w:pPr>
      <w:r>
        <w:rPr>
          <w:rFonts w:ascii="Times New Roman" w:hAnsi="Times New Roman" w:eastAsia="Times New Roman" w:cs="Times New Roman"/>
        </w:rPr>
        <w:t>“Ka nako eo ha Bopapa, bo amohiloe matla a bona, bo ile ba qobelloa ho khaotsa mahloriso, Johanne a bona matla a macha a hlaha ho buela ka lentsoe la drakone, le ho ntšetsa pele mosebetsi o tšoanang oa bokhopo le nyefolo. Matla ana, e leng a ho qetela a tla loantša kereke le molao oa Molimo, a emeloa ke sebata se nang le linaka tse kang tsa konyana. Libata tse ileng tsa se etella pele li ne li nyolohile leoatleng; empa sena sa nyoloha lefatšeng, se emelang ho hlaha ka khotso ha sechaba seo se neng se se tšoantšetsa—United States.” Signs of the Times, February 8, 1910.</w:t>
      </w:r>
    </w:p>
    <w:p>
      <w:pPr>
        <w:pStyle w:val="ArticleBody"/>
        <w:jc w:val="left"/>
      </w:pPr>
      <w:r>
        <w:rPr>
          <w:rFonts w:ascii="Times New Roman" w:hAnsi="Times New Roman" w:eastAsia="Times New Roman" w:cs="Times New Roman"/>
        </w:rPr>
        <w:t>La bête qui montait de la mer était séparée, par le sable de la mer, de la bête de la terre. Le cinquième royaume de la prophétie biblique, en 1798 (le rivage de la mer), représentait l’histoire passée, et le sixième royaume appartenait à l’histoire future. Les millérites ne discernèrent pas cette vérité. Une intelligence fut donnée à William Miller concernant la puissance du dragon qu’est le paganisme, et sa relation avec le royaume suivant, représenté comme la bête du catholicisme. Apocalypse treize dévoile l’histoire du faux prophète, c’est-à-dire le troisième des trois pouvoirs qui conduisent le monde à Harmaguédon. Le récit commence sur le rivage de la mer de 1798.</w:t>
      </w:r>
    </w:p>
    <w:p>
      <w:pPr>
        <w:pStyle w:val="ArticleBody"/>
        <w:jc w:val="left"/>
      </w:pPr>
      <w:r>
        <w:rPr>
          <w:rFonts w:ascii="Times New Roman" w:hAnsi="Times New Roman" w:eastAsia="Times New Roman" w:cs="Times New Roman"/>
        </w:rPr>
        <w:t>Laswa Zezid a senbût destpêkê dike bi sembola berxê, lê dîroka xwe bi axaftina wek ejderha bi dawî dike. Dîroka heftê salên sembolîk ên serweriya heywana erdê di yek ayetê de, di beşa sêzdehan a Kitêba Vahiyê de, tê nîşandan; ji ber ku ew ayet destpêk û dawiya heywana erdê herduyan di heman hevokê de diyar dike.</w:t>
      </w:r>
    </w:p>
    <w:p>
      <w:pPr>
        <w:pStyle w:val="ArticleScripture"/>
        <w:jc w:val="left"/>
      </w:pPr>
      <w:r>
        <w:rPr>
          <w:rFonts w:ascii="Times New Roman" w:hAnsi="Times New Roman" w:eastAsia="Times New Roman" w:cs="Times New Roman"/>
        </w:rPr>
        <w:t>Puis je vis monter de la terre une autre bête; elle avait deux cornes semblables à celles d’un agneau, et elle parlait comme un dragon. Apocalypse 13:11.</w:t>
      </w:r>
    </w:p>
    <w:p>
      <w:pPr>
        <w:pStyle w:val="ArticleBody"/>
        <w:jc w:val="left"/>
      </w:pPr>
      <w:r>
        <w:rPr>
          <w:rFonts w:ascii="Times New Roman" w:hAnsi="Times New Roman" w:eastAsia="Times New Roman" w:cs="Times New Roman"/>
        </w:rPr>
        <w:t>Lorsque les États-Unis parlent comme un dragon, ils promulguent la loi du dimanche. Avant d’accomplir l’imposition de l’adoration du dimanche, les Églises apostates du protestantisme se réuniront et prendront le contrôle politique du gouvernement apostat, en formant l’image de la bête. Lorsque l’inspiration identifie (et elle le fait à plusieurs reprises) que la cérémonie de dédicace de l’image d’or par Nebucadnetsar représente la loi du dimanche, elle marque la fin des soixante-dix années symboliques de la bête de la terre. Les chapitres un à trois de Daniel représentent les messages des trois anges d’Apocalypse chapitre quatorze. Le troisième ange devient une vérité vivante au moment de la loi du dimanche.</w:t>
      </w:r>
    </w:p>
    <w:p>
      <w:pPr>
        <w:pStyle w:val="ArticleBody"/>
        <w:jc w:val="left"/>
      </w:pPr>
      <w:r>
        <w:rPr>
          <w:rFonts w:ascii="Times New Roman" w:hAnsi="Times New Roman" w:eastAsia="Times New Roman" w:cs="Times New Roman"/>
        </w:rPr>
        <w:t>نبويًا، تُمثّل الأصحاحات الأول إلى الثالث في سفر دانيال السبعين سنة الرمزية لوحش الأرض المذكور في رؤيا ثلاثة عشر. إن امتحان الطعام المُمثَّل في الأصحاح الأول، ورمزية يَهويَاقِيم، يحددان أن الأصحاح الأول يبدأ نبويًا عند تمكين الملاك الأول، إمّا في 11 أغسطس 1840، أو في 11 سبتمبر 2001، في تاريخ الملاك الثالث.</w:t>
      </w:r>
    </w:p>
    <w:p>
      <w:pPr>
        <w:pStyle w:val="ArticleBody"/>
        <w:jc w:val="left"/>
      </w:pP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स्वर्णमूर्ति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प्रतिष्ठा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वाद्यवृन्द</w:t>
      </w:r>
      <w:r>
        <w:rPr>
          <w:rFonts w:ascii="Times New Roman" w:hAnsi="Times New Roman" w:eastAsia="Times New Roman" w:cs="Times New Roman"/>
        </w:rPr>
        <w:t xml:space="preserve"> </w:t>
      </w:r>
      <w:r>
        <w:rPr>
          <w:rFonts w:ascii="Nirmala UI" w:hAnsi="Nirmala UI" w:eastAsia="Nirmala UI" w:cs="Nirmala UI"/>
        </w:rPr>
        <w:t>प्रतिष्ठा</w:t>
      </w:r>
      <w:r>
        <w:rPr>
          <w:rFonts w:ascii="Times New Roman" w:hAnsi="Times New Roman" w:eastAsia="Times New Roman" w:cs="Times New Roman"/>
        </w:rPr>
        <w:t>-</w:t>
      </w:r>
      <w:r>
        <w:rPr>
          <w:rFonts w:ascii="Nirmala UI" w:hAnsi="Nirmala UI" w:eastAsia="Nirmala UI" w:cs="Nirmala UI"/>
        </w:rPr>
        <w:t>समारोह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बजाता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झुकता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नाचता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Boqor Nebukhadnesar wuxuu sameeyey sanam dahab ah oo dhererkiisu ahaa lixdan dhudhun, ballaadhkiisuna lix dhudhun; wuxuuna ka taagay bannaanka Dura ee gobolka Baabuloon. Markaasaa Boqor Nebukhadnesar diray in la soo wada ururiyo amiirrada, taliyayaasha, guddoomiyayaasha, xaakinnada, khasnajiyiinta, la-taliyayaasha, saraakiisha, iyo dhammaan madaxda gobollada, inay yimaadaan daahfurka sanamka uu Boqor Nebukhadnesar taagay. Markaas amiirradii, taliyayaashii, guddoomiyayaashii, xaakinnadii, khasnajiyayaashii, la-taliyayaashii, saraakiishii, iyo dhammaan madaxda gobollada ayaa loo soo wada ururiyey daahfurka sanamka uu Boqor Nebukhadnesar taagay; oo waxay hor istaageen sanamkii uu Nebukhadnesar taagay. Markaasaa naadiye cod weyn ku dhawaaqay, Waxaa laydinku amray, dadyowga, quruumaha, iyo afafka kala duwannoow, in markaad maqashaan dhawaaqa buunka, iyo biibiilaha, iyo kataaradda, iyo shareeradda, iyo sabbuurka, iyo santuurka, iyo cayn kasta oo muusig ah, aad dhacdaan oo caabuddaan sanamka dahabka ah ee Boqor Nebukhadnesar taagay; oo ku alla kii aan dhicin oo aan caabudin isla saacaddaas waxaa lagu dhex tuuri doonaa foornada dab ololaysa. Sidaas daraaddeed markaas, markii dadka oo dhammu maqleen dhawaaqa buunka, iyo biibiilaha, iyo kataaradda, iyo shareeradda, iyo sabbuurka, iyo cayn kasta oo muusig ah, dadka oo dhan, quruumaha, iyo afafka kala duwanuba way dhaceen oo caabudeen sanamkii dahabka ahaa ee Boqor Nebukhadnesar taagay. Daanyeel 3:1–7.</w:t>
      </w:r>
    </w:p>
    <w:p>
      <w:pPr>
        <w:pStyle w:val="ArticleBody"/>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स्वर्ण</w:t>
      </w:r>
      <w:r>
        <w:rPr>
          <w:rFonts w:ascii="Times New Roman" w:hAnsi="Times New Roman" w:eastAsia="Times New Roman" w:cs="Times New Roman"/>
        </w:rPr>
        <w:t>-</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जलती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अनूदित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O zaman adı Belteşassar olan Daniel bir saat kadar hayret içinde kaldı ve düşünceleri onu sıkıntıya düşürdü. Kral söz alıp dedi: Belteşassar, düş ve onun yorumu seni sıkıntıya düşürmesin. Belteşassar cevap verip dedi: Efendim, bu düş senden nefret edenlerin başına gelsin, onun yorumu da düşmanlarının başına. Daniel 4:19.</w:t>
      </w:r>
    </w:p>
    <w:p>
      <w:pPr>
        <w:pStyle w:val="ArticleBody"/>
        <w:jc w:val="left"/>
      </w:pPr>
      <w:r>
        <w:rPr>
          <w:rFonts w:ascii="Leelawadee UI" w:hAnsi="Leelawadee UI" w:eastAsia="Leelawadee UI" w:cs="Leelawadee UI"/>
        </w:rPr>
        <w:t>ដានីយ៉ែលបាននាំសេចក្ដីព្រមានទៅកាន់នេប៊ូក្នេសារ</w:t>
      </w:r>
      <w:r>
        <w:rPr>
          <w:rFonts w:ascii="Times New Roman" w:hAnsi="Times New Roman" w:eastAsia="Times New Roman" w:cs="Times New Roman"/>
        </w:rPr>
        <w:t xml:space="preserve"> </w:t>
      </w:r>
      <w:r>
        <w:rPr>
          <w:rFonts w:ascii="Leelawadee UI" w:hAnsi="Leelawadee UI" w:eastAsia="Leelawadee UI" w:cs="Leelawadee UI"/>
        </w:rPr>
        <w:t>អំពីម៉ោងនៃការជំនុំជម្រះរបស់ព្រះដែលនឹងមកដល់លើទ្រង់</w:t>
      </w:r>
      <w:r>
        <w:rPr>
          <w:rFonts w:ascii="Times New Roman" w:hAnsi="Times New Roman" w:eastAsia="Times New Roman" w:cs="Times New Roman"/>
        </w:rPr>
        <w:t xml:space="preserve"> </w:t>
      </w:r>
      <w:r>
        <w:rPr>
          <w:rFonts w:ascii="Leelawadee UI" w:hAnsi="Leelawadee UI" w:eastAsia="Leelawadee UI" w:cs="Leelawadee UI"/>
        </w:rPr>
        <w:t>ដែលក្រោយមកនេប៊ូក្នេសារបានបដិសេធ។</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ក្នុងជំពូកទីបួន</w:t>
      </w:r>
      <w:r>
        <w:rPr>
          <w:rFonts w:ascii="Times New Roman" w:hAnsi="Times New Roman" w:eastAsia="Times New Roman" w:cs="Times New Roman"/>
        </w:rPr>
        <w:t xml:space="preserve"> </w:t>
      </w:r>
      <w:r>
        <w:rPr>
          <w:rFonts w:ascii="Leelawadee UI" w:hAnsi="Leelawadee UI" w:eastAsia="Leelawadee UI" w:cs="Leelawadee UI"/>
        </w:rPr>
        <w:t>ពេលដែលត្រូវបានប្រើម្តងទៀតនៅក្នុងជំពូកនោះ</w:t>
      </w:r>
      <w:r>
        <w:rPr>
          <w:rFonts w:ascii="Times New Roman" w:hAnsi="Times New Roman" w:eastAsia="Times New Roman" w:cs="Times New Roman"/>
        </w:rPr>
        <w:t xml:space="preserve"> </w:t>
      </w:r>
      <w:r>
        <w:rPr>
          <w:rFonts w:ascii="Leelawadee UI" w:hAnsi="Leelawadee UI" w:eastAsia="Leelawadee UI" w:cs="Leelawadee UI"/>
        </w:rPr>
        <w:t>ក៏តំណាងឲ្យ</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ដែលការជំនុំជម្រះបានមកដល់។</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ក្នុងប្រវត្តិសាស្ត្រមីឡឺរ៉ាយ</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ទីមួយក្នុងជំពូកទីបួន</w:t>
      </w:r>
      <w:r>
        <w:rPr>
          <w:rFonts w:ascii="Times New Roman" w:hAnsi="Times New Roman" w:eastAsia="Times New Roman" w:cs="Times New Roman"/>
        </w:rPr>
        <w:t xml:space="preserve"> </w:t>
      </w:r>
      <w:r>
        <w:rPr>
          <w:rFonts w:ascii="Leelawadee UI" w:hAnsi="Leelawadee UI" w:eastAsia="Leelawadee UI" w:cs="Leelawadee UI"/>
        </w:rPr>
        <w:t>នឹងតំណាងឲ្យការមកដល់នៃទេវតាទីមួយនៅឆ្នាំ</w:t>
      </w:r>
      <w:r>
        <w:rPr>
          <w:rFonts w:ascii="Times New Roman" w:hAnsi="Times New Roman" w:eastAsia="Times New Roman" w:cs="Times New Roman"/>
        </w:rPr>
        <w:t xml:space="preserve"> 1798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សារនោះបានសម្រេចបំពេញឡើង</w:t>
      </w:r>
      <w:r>
        <w:rPr>
          <w:rFonts w:ascii="Times New Roman" w:hAnsi="Times New Roman" w:eastAsia="Times New Roman" w:cs="Times New Roman"/>
        </w:rPr>
        <w:t xml:space="preserve"> </w:t>
      </w:r>
      <w:r>
        <w:rPr>
          <w:rFonts w:ascii="Leelawadee UI" w:hAnsi="Leelawadee UI" w:eastAsia="Leelawadee UI" w:cs="Leelawadee UI"/>
        </w:rPr>
        <w:t>នៅពេលដែលការជំនុំជម្រះស៊ើបអង្កេតបានចាប់ផ្តើមនៅថ្ងៃទី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ក្នុងជំពូកទីបួន</w:t>
      </w:r>
      <w:r>
        <w:rPr>
          <w:rFonts w:ascii="Times New Roman" w:hAnsi="Times New Roman" w:eastAsia="Times New Roman" w:cs="Times New Roman"/>
        </w:rPr>
        <w:t xml:space="preserve"> </w:t>
      </w:r>
      <w:r>
        <w:rPr>
          <w:rFonts w:ascii="Leelawadee UI" w:hAnsi="Leelawadee UI" w:eastAsia="Leelawadee UI" w:cs="Leelawadee UI"/>
        </w:rPr>
        <w:t>ដំបូងជានិមិត្តសញ្ញានៃសារអំពីការជំនុំជម្រះដែលនឹងមកដល់</w:t>
      </w:r>
      <w:r>
        <w:rPr>
          <w:rFonts w:ascii="Times New Roman" w:hAnsi="Times New Roman" w:eastAsia="Times New Roman" w:cs="Times New Roman"/>
        </w:rPr>
        <w:t xml:space="preserve"> </w:t>
      </w:r>
      <w:r>
        <w:rPr>
          <w:rFonts w:ascii="Leelawadee UI" w:hAnsi="Leelawadee UI" w:eastAsia="Leelawadee UI" w:cs="Leelawadee UI"/>
        </w:rPr>
        <w:t>ហើយបន្ទាប់មកវាត្រូវបានប្រើជានិមិត្តសញ្ញាថា</w:t>
      </w:r>
      <w:r>
        <w:rPr>
          <w:rFonts w:ascii="Times New Roman" w:hAnsi="Times New Roman" w:eastAsia="Times New Roman" w:cs="Times New Roman"/>
        </w:rPr>
        <w:t xml:space="preserve"> </w:t>
      </w:r>
      <w:r>
        <w:rPr>
          <w:rFonts w:ascii="Leelawadee UI" w:hAnsi="Leelawadee UI" w:eastAsia="Leelawadee UI" w:cs="Leelawadee UI"/>
        </w:rPr>
        <w:t>ការជំនុំជម្រះបានមកដល់ហើយ។</w:t>
      </w:r>
      <w:r>
        <w:rPr>
          <w:rFonts w:ascii="Times New Roman" w:hAnsi="Times New Roman" w:eastAsia="Times New Roman" w:cs="Times New Roman"/>
        </w:rPr>
        <w:t xml:space="preserve"> </w:t>
      </w:r>
      <w:r>
        <w:rPr>
          <w:rFonts w:ascii="Leelawadee UI" w:hAnsi="Leelawadee UI" w:eastAsia="Leelawadee UI" w:cs="Leelawadee UI"/>
        </w:rPr>
        <w:t>ការប្រើពាក្យ</w:t>
      </w:r>
      <w:r>
        <w:rPr>
          <w:rFonts w:ascii="Times New Roman" w:hAnsi="Times New Roman" w:eastAsia="Times New Roman" w:cs="Times New Roman"/>
        </w:rPr>
        <w:t xml:space="preserve"> «</w:t>
      </w:r>
      <w:r>
        <w:rPr>
          <w:rFonts w:ascii="Leelawadee UI" w:hAnsi="Leelawadee UI" w:eastAsia="Leelawadee UI" w:cs="Leelawadee UI"/>
        </w:rPr>
        <w:t>ម៉ោង</w:t>
      </w:r>
      <w:r>
        <w:rPr>
          <w:rFonts w:ascii="Times New Roman" w:hAnsi="Times New Roman" w:eastAsia="Times New Roman" w:cs="Times New Roman"/>
        </w:rPr>
        <w:t xml:space="preserve">» </w:t>
      </w:r>
      <w:r>
        <w:rPr>
          <w:rFonts w:ascii="Leelawadee UI" w:hAnsi="Leelawadee UI" w:eastAsia="Leelawadee UI" w:cs="Leelawadee UI"/>
        </w:rPr>
        <w:t>លើកទីមួយតំណាងឲ្យឆ្នាំ</w:t>
      </w:r>
      <w:r>
        <w:rPr>
          <w:rFonts w:ascii="Times New Roman" w:hAnsi="Times New Roman" w:eastAsia="Times New Roman" w:cs="Times New Roman"/>
        </w:rPr>
        <w:t xml:space="preserve"> 1798 </w:t>
      </w:r>
      <w:r>
        <w:rPr>
          <w:rFonts w:ascii="Leelawadee UI" w:hAnsi="Leelawadee UI" w:eastAsia="Leelawadee UI" w:cs="Leelawadee UI"/>
        </w:rPr>
        <w:t>និងការមកដល់នៃទេវតាទីមួយ</w:t>
      </w:r>
      <w:r>
        <w:rPr>
          <w:rFonts w:ascii="Times New Roman" w:hAnsi="Times New Roman" w:eastAsia="Times New Roman" w:cs="Times New Roman"/>
        </w:rPr>
        <w:t xml:space="preserve"> </w:t>
      </w:r>
      <w:r>
        <w:rPr>
          <w:rFonts w:ascii="Leelawadee UI" w:hAnsi="Leelawadee UI" w:eastAsia="Leelawadee UI" w:cs="Leelawadee UI"/>
        </w:rPr>
        <w:t>ហើយការប្រើលើកទីពីរតំណាងឲ្យថ្ងៃទី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និងការមកដល់នៃទេវតាទីបី។</w:t>
      </w:r>
    </w:p>
    <w:p>
      <w:pPr>
        <w:pStyle w:val="ArticleScripture"/>
        <w:jc w:val="left"/>
      </w:pPr>
      <w:r>
        <w:rPr>
          <w:rFonts w:ascii="Times New Roman" w:hAnsi="Times New Roman" w:eastAsia="Times New Roman" w:cs="Times New Roman"/>
        </w:rPr>
        <w:t>Ilo reng iyon a takna natupad iti rabaw ni Nabucodonosor dayta banag: ket isu naipanaw manipud kadagiti tattao, ket nangnangan iti ruot a kas kadagiti baka, ket ti bagina nabasa iti linnaaw ti langit, agingga a dagiti buokna dimakkel a kas dagiti payak dagiti agila, ken dagiti kuko na a kas kadagiti kuko dagiti billit. Daniel 4:33.</w:t>
      </w:r>
    </w:p>
    <w:p>
      <w:pPr>
        <w:pStyle w:val="ArticleBody"/>
        <w:jc w:val="left"/>
      </w:pPr>
      <w:r>
        <w:rPr>
          <w:rFonts w:ascii="Times New Roman" w:hAnsi="Times New Roman" w:eastAsia="Times New Roman" w:cs="Times New Roman"/>
        </w:rPr>
        <w:t>لہٰذا باب چار میں مذکور “گھنٹہ” 1798 اور 1844 دونوں کا ایک علامتی اظہار ہے، جو اسرائیل کی شمالی (آغاز 723 قبلِ مسیح) اور جنوبی (آغاز 677 قبلِ مسیح) سلطنتوں پر “سات زمانوں” کی دو لعنتوں کے اختتامی نقاط ہیں۔ یہ دونوں لعنتیں، جو بکھراؤ اور غلامی کے دو ہزار پانچ سو بیس برسوں کی نمائندگی کرتی ہیں، اپنے مرتد لوگوں کے خلاف خدا کے پہلے اور آخری غضب کے نفاذ کی نمائندگی کرتی ہیں۔ ان دونوں کا آغاز خدا کے فیصلے سے ہوا، اور ان کے اپنے اپنے اختتام خدا کے قریب آتے ہوئے تحقیقی فیصلے کی تنبیہی پیغام، یا تحقیقی فیصلے کی آمد، کی نمائندگی کرتے ہیں۔ “سات زمانوں” کے دو فیصلوں کے خاتمہ سے ظاہر ہونے والے یہ دونوں فیصلے، دانی ایل کے باب چار میں، “گھنٹہ” کے لفظ سے ظاہر کیے گئے ہیں۔</w:t>
      </w:r>
    </w:p>
    <w:p>
      <w:pPr>
        <w:pStyle w:val="ArticleBody"/>
        <w:jc w:val="left"/>
      </w:pPr>
      <w:r>
        <w:rPr>
          <w:rFonts w:ascii="Times New Roman" w:hAnsi="Times New Roman" w:eastAsia="Times New Roman" w:cs="Times New Roman"/>
        </w:rPr>
        <w:t>En l’histoire millérite, l’« heure » représente le commencement du mouvement au temps de la fin en 1798, lorsque le premier ange arriva, et la seconde « heure » au chapitre quatre représente la fin du mouvement, lorsque le troisième ange arriva le 22 octobre 1844. Le mouvement millérite du premier ange se répète dans le mouvement du troisième ange ; ainsi, les deux emplois d’« heure » au chapitre quatre marquent aussi le temps de la fin en 1989, ainsi que la loi dominicale imminente. Le mouvement millérite du premier ange annonçait l’ouverture du jugement investigatif, et le mouvement du troisième ange annonce l’ouverture du jugement exécutif de Dieu, lequel est progressif, commençant avec la loi dominicale, puis se poursuivant et s’intensifiant jusqu’à la seconde venue de Christ.</w:t>
      </w:r>
    </w:p>
    <w:p>
      <w:pPr>
        <w:pStyle w:val="ArticleBody"/>
        <w:jc w:val="left"/>
      </w:pPr>
      <w:r>
        <w:rPr>
          <w:rFonts w:ascii="Times New Roman" w:hAnsi="Times New Roman" w:eastAsia="Times New Roman" w:cs="Times New Roman"/>
        </w:rPr>
        <w:t>Nous poursuivrons notre étude du chapitre trois de Daniel et achèverons, dans le prochain article, notre examen du mot « heure ».</w:t>
      </w:r>
    </w:p>
    <w:p>
      <w:pPr>
        <w:pStyle w:val="ArticleScripture"/>
        <w:jc w:val="left"/>
      </w:pPr>
      <w:r>
        <w:rPr>
          <w:rFonts w:ascii="Times New Roman" w:hAnsi="Times New Roman" w:eastAsia="Times New Roman" w:cs="Times New Roman"/>
        </w:rPr>
        <w:t>Veeso, mi sanem yufala i go aot olsem olketa sipsip namel long olketa wulf: olketa savve tingting gud olsem olketa snek, mo olketa no mas gat nogud tingting olsem olketa dov. Be lukaut long olketa man: from olketa bae givim yufala long olketa kaonsel, mo olketa bae witim yufala long olketa sinagog blong olketa; mo bae tekem yufala i go stanap long fored blong olketa gavana mo olketa king from nem bilong mi, blong hem i kam wan testimoni agensem olketa mo olketa Jentael. Be taem olketa givim yufala i go, no wari long hao o wanem nao bae yufala talem: from long sem aoa ia bae givim long yufala wanem nao bae yufala talem. From hemia no yufala nao i toktok, bat Spirit bilong Papa blong yufala nao i toktok insaed long yufala. Mo brata bae givim brata blong hem i go long dae, mo papa pikinini blong hem: mo olketa pikinini bae girap agensem olketa perens blong olketa, mo mekem olketa putim olketa long dae. Mo olketa man evriwan bae hetim yufala from nem bilong mi: bat man wea hem endure kasem en, hem bae sev. Bat taem olketa persecute-im yufala long disfala taon, ranawe go long narawan: from tru mi talem long yufala, yufala no bae finis go raon long olketa taon bilong Israel, bifo Son bilong man bae kam. Disaepol hem no hae moa long masta blong hem, o servant moa long lord blong hem. Hem i naf for disaepol hem i olsem masta blong hem, mo servant olsem lord blong hem. Sapos olketa bin kolem masta bilong haos Beelzebub, hamas moa nao bae olketa kolem olketa bilong haoshold blong hem? From datwan no fraet long olketa: from i no gat eni samting wea olketa coverim, wea bae no kamaot ples klia; mo eni samting wea haed, wea bae no save long hem. Wanem mi talem long yufala long dak, talem datwan long laet: mo wanem yufala herem long ia, preachim long olketa haostop. Mo no fraet long olketa wea killim bodi, bat olketa no save killim soul: bat moa gud fraet long hem wea save destroyim tufala soul mo bodi long hel. Matthew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هجده</dc:title>
  <dc:subject>L’Heure</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