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quatre-vingt-quatorze</w:t>
      </w:r>
    </w:p>
    <w:p>
      <w:pPr>
        <w:pStyle w:val="ArticleSubtitle"/>
        <w:jc w:val="left"/>
      </w:pPr>
      <w:r>
        <w:rPr>
          <w:rFonts w:ascii="Arial" w:hAnsi="Arial" w:eastAsia="Arial" w:cs="Arial"/>
        </w:rPr>
        <w:t>Échos des Maccabées : le triomphe de Trump et la voie prophétique vers l’image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Yamaworo ugereranywa n’Abamakabayo (igaragaza Ubuporotesitanti bwahakanye ukwizera muri Leta Zunze Ubumwe z’Amerika), yatangiye ubugome bwayo bwo kwigomeka ku idini ry’Abagiriki i Modein, mu mwaka wa 167 mbere ya Kristo. Aho, Abamakabayo banesheje imihati ya Antiyokusi Epifane yo guhatira Abayuda idini ry’Abagiriki, kandi banica n’umuyobozi w’Abayuda wakoranaga na Antiyokusi. Bityo, Biden aneshwa mu matora yo mu mwaka wa 2024, binyuze mu itsinda ry’abatora rizwi nka “Religious Right”. Iyi mateka isobanura intsinzi y’amatora yo mu mwaka wa 2024, nk’uko Ubuporotesitanti bwahakanye ukwizera butsinda atari gusa Abarepubulikani b’abaglobarisiti bitwa RINO’s, ahubwo no ku mihati y’Abademokarate batemera Imana yo guhatira igihugu idini rya woke-ism.</w:t>
      </w:r>
    </w:p>
    <w:p>
      <w:pPr>
        <w:pStyle w:val="ArticleBody"/>
        <w:jc w:val="left"/>
      </w:pPr>
      <w:r>
        <w:rPr>
          <w:rFonts w:ascii="Times New Roman" w:hAnsi="Times New Roman" w:eastAsia="Times New Roman" w:cs="Times New Roman"/>
        </w:rPr>
        <w:t>La guerre spirituelle intérieure représentée par la lignée des Maccabées a commencé en 2015, lorsque le président riche suscita les puissances du dragon du mondialisme, et l’œuvre du dragon dans la mise à mort des deux témoins comprit les Procès Pelosi concernant le 6 janvier 2021. Modiin, et la révolte des Maccabées, identifie la victoire future du protestantisme apostat le 5 novembre 2024. L’investiture du 20 janvier 2025 fut typifiée par l’an 164 av. J.-C., qui représentait la redédicace du second temple, et cette même année-là (164 av. J.-C.), Antiochus Épiphane mourut. Antiochus représente le Parti démocrate, ainsi que ses partenaires mondialistes qui s’identifient eux-mêmes comme républicains, bien qu’ils ne soient pas davantage des républicains MAGA qu’une fille n’est un garçon.</w:t>
      </w:r>
    </w:p>
    <w:p>
      <w:pPr>
        <w:pStyle w:val="ArticleBody"/>
        <w:jc w:val="left"/>
      </w:pPr>
      <w:r>
        <w:rPr>
          <w:rFonts w:ascii="Times New Roman" w:hAnsi="Times New Roman" w:eastAsia="Times New Roman" w:cs="Times New Roman"/>
        </w:rPr>
        <w:t>Pambansang pakikibakang kinakatawan ng mga talata labintatlo hanggang labinlima, na nagtatapos sa Labanan sa Panium, ay tumatakbong kasabay ng panrelihiyong pakikibaka sa kasaysayang iyon sa pagitan ng woke-ism at ng tumalikod na Protestantismo. Pagkatapos ng panunungkulan ni Trump noong 2025, na kinakatawan ng muling pag-aalay ng ikalawang templo noong 164 BC, siya ay magsisimula nga ng aktuwal na pagbuo ng larawan ng halimaw sa pamamagitan ng pagsasama ng tumalikod na simbahang Protestante sa kaniyang tumalikod na pamahalaang Republikano, na kinakatawan ng liga ng Roma at ng mga Macabeo mula 161 BC hanggang 158 BC. Pagsasamahin ni Trump ang simbahan at ang estado sa isang alyansa, kung saan ang elementong panrelihiyon ang may kontrol. Sa makahulang kasaysayan kung saan binubuo ng halimaw na mula sa lupa ang larawan ng halimaw ng Katolisismo, pupunuin ng tumalikod na sungay na Republikano at ng tumalikod na sungay na Protestante ang saro ng kanilang panahong pagsubok sa maling panig ng usapin ng buhay na walang hanggan.</w:t>
      </w:r>
    </w:p>
    <w:p>
      <w:pPr>
        <w:pStyle w:val="ArticleBody"/>
        <w:jc w:val="left"/>
      </w:pPr>
      <w:r>
        <w:rPr>
          <w:rFonts w:ascii="Times New Roman" w:hAnsi="Times New Roman" w:eastAsia="Times New Roman" w:cs="Times New Roman"/>
        </w:rPr>
        <w:t>Tan iyo ku-dhawaaqistii xilgalka, oo lagu matalay nadiifintii labaad ee macbudka sannadkii 164 BC, waxaa bilaabmaya hawsha samaynta ekaanshaha bahalka, sida lagu matalay isbahaysigii Yuhuudda iyo Rooma laga soo bilaabo 161 BC ilaa 158 BC. Trump dib ayaa loo dooran doonaa 5-ta Noofambar, 2024 (167 BC), waxaana marka la dhaariyo xilka (164 BC) uu noqon doonaa madaxweynihii siddeedaad tan iyo wakhtigii dhammaadka ee 1989. Sidaas yeeliddiisa ayuu ku noqon doonaa kan siddeedaad, kaas oo ka mid ah toddobada, isaga oo ka tarjumaya bahalkii baadariga ahaa oo noqda boqortooyadii siddeedaad ee waxsii sheegidda Kitaabka marka nabarkeedii dhimashada lahaa bogsado xeerka Axadda. Ku-dhawaaqistiisa xilka waxaa lagu matalay dib-u-huriddii macbudka labaad ee ay sameeyeen Makkabiyiintu sannadkii 164 BC. Kacdoonkii Makkabiyiintu wuxuu bilaabmay saddex sannadood ka hor magaalada Modein, oo micnaheedu yahay “mudaaharaad,” taas oo calaamad u ah guushiisa doorashada ee 5-ta Noofambar, 2024.</w:t>
      </w:r>
    </w:p>
    <w:p>
      <w:pPr>
        <w:pStyle w:val="ArticleBody"/>
        <w:jc w:val="left"/>
      </w:pPr>
      <w:r>
        <w:rPr>
          <w:rFonts w:ascii="Times New Roman" w:hAnsi="Times New Roman" w:eastAsia="Times New Roman" w:cs="Times New Roman"/>
        </w:rPr>
        <w:t>En 164 av. J.-C., eut lieu la seconde dédicace du second temple, préfigurant ainsi la seconde investiture de Trump le 20 janvier 2025. À ce moment-là, il devient officiellement le huitième président issu des sept présidents qui l’ont précédé. L’an 164 av. J.-C. est commémoré par le judaïsme pour marquer la seconde dédicace du second temple.</w:t>
      </w:r>
    </w:p>
    <w:p>
      <w:pPr>
        <w:pStyle w:val="ArticleBody"/>
        <w:jc w:val="left"/>
      </w:pPr>
      <w:r>
        <w:rPr>
          <w:rFonts w:ascii="Times New Roman" w:hAnsi="Times New Roman" w:eastAsia="Times New Roman" w:cs="Times New Roman"/>
        </w:rPr>
        <w:t>L’investiture est le moment où Trump devient le huitième, c’est-à-dire issu des sept, et dès lors des miracles sataniques se produiront pour soutenir l’œuvre de formation d’une image à la bête. Huit est un symbole de l’image de la bête ressuscitée, et à ce moment-là commence la formation de l’image, comme le représente 161 av. J.-C.</w:t>
      </w:r>
    </w:p>
    <w:p>
      <w:pPr>
        <w:pStyle w:val="ArticleBody"/>
        <w:jc w:val="left"/>
      </w:pPr>
      <w:r>
        <w:rPr>
          <w:rFonts w:ascii="Times New Roman" w:hAnsi="Times New Roman" w:eastAsia="Times New Roman" w:cs="Times New Roman"/>
        </w:rPr>
        <w:t>תצורת צלם החיה מתבצעת תחילה בארצות הברית, ולאחר מכן נכפה צלם החיה על העולם כולו. בראשית כפייתה של ארצות הברית על העולם לקבל צלם לחיה, אשר גם ידבר וגם יגרום לכך שכל אשר לא ישתחוו לצלם החיה יומתו, זה עתה תחוקק בארצות הברית חוק יום ראשון, ותתגבש ברית משולשת. בעת חקיקת חוק יום הראשון הברית המשולשת כבר עומדת על כנה, והגיעה העת לפעולתו המופלאה של השטן, כאשר השטן מתחזה למשיח ומחולל נסים כדי להוביל את העולם לקבל את צלם החיה העולמי ואת פולחן יום הראשון. באותה שעה טראמפ נעשה למנהיגם של עשרת המלכים.</w:t>
      </w:r>
    </w:p>
    <w:p>
      <w:pPr>
        <w:pStyle w:val="ArticleBody"/>
        <w:jc w:val="left"/>
      </w:pPr>
      <w:r>
        <w:rPr>
          <w:rFonts w:ascii="Times New Roman" w:hAnsi="Times New Roman" w:eastAsia="Times New Roman" w:cs="Times New Roman"/>
        </w:rPr>
        <w:t>Anún kan, ifígbékalẹ̀ Trump gẹ́gẹ́ bí ọba àgbà jùlọ ti àwọn ọba mẹ́wàá, èyí tí a mú ṣẹ nípasẹ̀ ìṣọ̀kan onírúurú mẹ́ta ní òfin Ọjọ́-ìsinmi tí yóò ṣẹlẹ̀ láìpẹ́, ni a ti ṣàfihàn ṣáájú rẹ̀ nípasẹ̀ ifígbékalẹ̀ Trump gẹ́gẹ́ bí ààrẹ kẹjọ, ìyẹn ẹni tí ó jẹ́ ti àwọn méje, ní January 20, 2025. Ní òfin Ọjọ́-ìsinmi tí ó parí ìdásílẹ̀ àwòrán ẹranko náà ní Orílẹ̀-Èdè Amẹ́ríkà, ẹranko Pápá náà pẹ̀lú di kẹjọ tí ó jẹ́ ti àwọn méje. Nítorí náà, àkókò ìdánwò ti àwòrán ẹranko náà bẹ̀rẹ̀ pẹ̀lú bí Trump ṣe di kẹjọ tí ó jẹ́ ti àwọn méje; nígbà tí àkókò náà bá sì parí, ipò Pápá náà pẹ̀lú di kẹjọ tí ó jẹ́ ti àwọn méje, nítorí Alpha àti Omega ń ṣàfihàn òpin pẹ̀lú ìbẹ̀rẹ̀.</w:t>
      </w:r>
    </w:p>
    <w:p>
      <w:pPr>
        <w:pStyle w:val="ArticleBody"/>
        <w:jc w:val="left"/>
      </w:pPr>
      <w:r>
        <w:rPr>
          <w:rFonts w:ascii="Times New Roman" w:hAnsi="Times New Roman" w:eastAsia="Times New Roman" w:cs="Times New Roman"/>
        </w:rPr>
        <w:t>Miirjoollee Saatanagh doig er hoshiaght ec ordree Trump, tra ta yn skeeal dy yannoo immeeaght y beaagh toshiaght, as t’eh cowraghey obbyr yindyssagh Saatan ta goaill toshiaght ec jerrey skeeal y yannoo immeeaght y beaagh ayns Steatyn Unnaneysit. Ta ordree Trump cowraghey toshiaght yn skeeal shen, as ta e ordree myr ree ard ny jeih reeghyn jeh ny h-Ashoonyn Unnaneysit cowraghey jerrey yn skeeal shen. Ayns ny ordreeghyn toshiaghtagh as jerreeagh ta araon cur toshiaght er y yannoo immeeaght y beaagh, ta shen hoshiaght er ny yannoo ayns Steatyn Unnaneysit, as eisht ayns y slane seihll.</w:t>
      </w:r>
    </w:p>
    <w:p>
      <w:pPr>
        <w:pStyle w:val="ArticleBody"/>
        <w:jc w:val="left"/>
      </w:pPr>
      <w:r>
        <w:rPr>
          <w:rFonts w:ascii="Times New Roman" w:hAnsi="Times New Roman" w:eastAsia="Times New Roman" w:cs="Times New Roman"/>
        </w:rPr>
        <w:t>Le travail de l’alliance, ou le rapprochement avec Rome qui eut lieu de 161 av. J.-C. à 158 av. J.-C., identifie cette histoire, et il s’achève à la loi du dimanche au verset seize. L’œuvre finale consistant à mettre en place un gouvernement qui est une image du système papal commence par la formation de l’image de la bête et est impulsée par Trump, alors qu’il rend les faveurs politiques que les protestants apostats lui ont accordées lors de sa victoire politique.</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কাঠামোটি</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ইতিহাসকেও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ইতিহাসকেও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রেখাকে</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অংশটি</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দিচ্ছেন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Microsoft Himalaya" w:hAnsi="Microsoft Himalaya" w:eastAsia="Microsoft Himalaya" w:cs="Microsoft Himalaya"/>
        </w:rPr>
        <w:t>གྲོང་ཁྱེར་ནང་དུ་རྒྱལ་མཚན་འབུད་པ་བྱས་ན།</w:t>
      </w:r>
      <w:r>
        <w:rPr>
          <w:rFonts w:ascii="Times New Roman" w:hAnsi="Times New Roman" w:eastAsia="Times New Roman" w:cs="Times New Roman"/>
        </w:rPr>
        <w:t xml:space="preserve"> </w:t>
      </w:r>
      <w:r>
        <w:rPr>
          <w:rFonts w:ascii="Microsoft Himalaya" w:hAnsi="Microsoft Himalaya" w:eastAsia="Microsoft Himalaya" w:cs="Microsoft Himalaya"/>
        </w:rPr>
        <w:t>མི་རྣམས་མི་འཇིགས་སམ།</w:t>
      </w:r>
      <w:r>
        <w:rPr>
          <w:rFonts w:ascii="Times New Roman" w:hAnsi="Times New Roman" w:eastAsia="Times New Roman" w:cs="Times New Roman"/>
        </w:rPr>
        <w:t xml:space="preserve"> </w:t>
      </w:r>
      <w:r>
        <w:rPr>
          <w:rFonts w:ascii="Microsoft Himalaya" w:hAnsi="Microsoft Himalaya" w:eastAsia="Microsoft Himalaya" w:cs="Microsoft Himalaya"/>
        </w:rPr>
        <w:t>གྲོང་ཁྱེར་ཞིག་གི་ནང་དུ་ཆག་སྒོ་ཡོད་ན།</w:t>
      </w:r>
      <w:r>
        <w:rPr>
          <w:rFonts w:ascii="Times New Roman" w:hAnsi="Times New Roman" w:eastAsia="Times New Roman" w:cs="Times New Roman"/>
        </w:rPr>
        <w:t xml:space="preserve"> </w:t>
      </w:r>
      <w:r>
        <w:rPr>
          <w:rFonts w:ascii="Microsoft Himalaya" w:hAnsi="Microsoft Himalaya" w:eastAsia="Microsoft Himalaya" w:cs="Microsoft Himalaya"/>
        </w:rPr>
        <w:t>དེ་ནི་གཙོ་བོས་མ་མཛད་པ་ཡིན་ནམ།</w:t>
      </w:r>
      <w:r>
        <w:rPr>
          <w:rFonts w:ascii="Times New Roman" w:hAnsi="Times New Roman" w:eastAsia="Times New Roman" w:cs="Times New Roman"/>
        </w:rPr>
        <w:t xml:space="preserve"> </w:t>
      </w:r>
      <w:r>
        <w:rPr>
          <w:rFonts w:ascii="Microsoft Himalaya" w:hAnsi="Microsoft Himalaya" w:eastAsia="Microsoft Himalaya" w:cs="Microsoft Himalaya"/>
        </w:rPr>
        <w:t>ངེས་པར་དུ་གཙོ་བོ་དཀོན་མཆོག་གིས་ཁོང་གི་གསང་བ་དེ་ཁོང་གི་ཞབས་ཕྱི་སྟེ་ལུང་སྟོན་པ་རྣམས་ལ་མ་བསྟན་པར།</w:t>
      </w:r>
      <w:r>
        <w:rPr>
          <w:rFonts w:ascii="Times New Roman" w:hAnsi="Times New Roman" w:eastAsia="Times New Roman" w:cs="Times New Roman"/>
        </w:rPr>
        <w:t xml:space="preserve"> </w:t>
      </w:r>
      <w:r>
        <w:rPr>
          <w:rFonts w:ascii="Microsoft Himalaya" w:hAnsi="Microsoft Himalaya" w:eastAsia="Microsoft Himalaya" w:cs="Microsoft Himalaya"/>
        </w:rPr>
        <w:t>ཅི་ཡང་མི་མཛད།</w:t>
      </w:r>
      <w:r>
        <w:rPr>
          <w:rFonts w:ascii="Times New Roman" w:hAnsi="Times New Roman" w:eastAsia="Times New Roman" w:cs="Times New Roman"/>
        </w:rPr>
        <w:t xml:space="preserve"> </w:t>
      </w:r>
      <w:r>
        <w:rPr>
          <w:rFonts w:ascii="Microsoft Himalaya" w:hAnsi="Microsoft Himalaya" w:eastAsia="Microsoft Himalaya" w:cs="Microsoft Himalaya"/>
        </w:rPr>
        <w:t>སེང་གེས་ངར་སྒྲ་བསྒྲགས་ཟིན།</w:t>
      </w:r>
      <w:r>
        <w:rPr>
          <w:rFonts w:ascii="Times New Roman" w:hAnsi="Times New Roman" w:eastAsia="Times New Roman" w:cs="Times New Roman"/>
        </w:rPr>
        <w:t xml:space="preserve"> </w:t>
      </w:r>
      <w:r>
        <w:rPr>
          <w:rFonts w:ascii="Microsoft Himalaya" w:hAnsi="Microsoft Himalaya" w:eastAsia="Microsoft Himalaya" w:cs="Microsoft Himalaya"/>
        </w:rPr>
        <w:t>སུ་ཞིག་མི་འཇིགས་པར་གནས་ཐུབ།</w:t>
      </w:r>
      <w:r>
        <w:rPr>
          <w:rFonts w:ascii="Times New Roman" w:hAnsi="Times New Roman" w:eastAsia="Times New Roman" w:cs="Times New Roman"/>
        </w:rPr>
        <w:t xml:space="preserve"> </w:t>
      </w:r>
      <w:r>
        <w:rPr>
          <w:rFonts w:ascii="Microsoft Himalaya" w:hAnsi="Microsoft Himalaya" w:eastAsia="Microsoft Himalaya" w:cs="Microsoft Himalaya"/>
        </w:rPr>
        <w:t>གཙོ་བོ་དཀོན་མཆོག་གིས་གསུངས་ཟིན།</w:t>
      </w:r>
      <w:r>
        <w:rPr>
          <w:rFonts w:ascii="Times New Roman" w:hAnsi="Times New Roman" w:eastAsia="Times New Roman" w:cs="Times New Roman"/>
        </w:rPr>
        <w:t xml:space="preserve"> </w:t>
      </w:r>
      <w:r>
        <w:rPr>
          <w:rFonts w:ascii="Microsoft Himalaya" w:hAnsi="Microsoft Himalaya" w:eastAsia="Microsoft Himalaya" w:cs="Microsoft Himalaya"/>
        </w:rPr>
        <w:t>སུ་ཞིག་ལུང་སྟོན་མི་ནུས།</w:t>
      </w:r>
      <w:r>
        <w:rPr>
          <w:rFonts w:ascii="Times New Roman" w:hAnsi="Times New Roman" w:eastAsia="Times New Roman" w:cs="Times New Roman"/>
        </w:rPr>
        <w:t xml:space="preserve"> </w:t>
      </w:r>
      <w:r>
        <w:rPr>
          <w:rFonts w:ascii="Microsoft Himalaya" w:hAnsi="Microsoft Himalaya" w:eastAsia="Microsoft Himalaya" w:cs="Microsoft Himalaya"/>
        </w:rPr>
        <w:t>ཨ་ཤོད་ཀྱི་ཕོ་བྲང་རྣམས་དང་།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ཨེ་ཇིབྟུ་ཡུལ་གྱི་ཕོ་བྲང་རྣམས་སུ་བསྒྲགས་ཤིག</w:t>
      </w:r>
      <w:r>
        <w:rPr>
          <w:rFonts w:ascii="Times New Roman" w:hAnsi="Times New Roman" w:eastAsia="Times New Roman" w:cs="Times New Roman"/>
        </w:rPr>
        <w:t xml:space="preserve"> </w:t>
      </w:r>
      <w:r>
        <w:rPr>
          <w:rFonts w:ascii="Microsoft Himalaya" w:hAnsi="Microsoft Himalaya" w:eastAsia="Microsoft Himalaya" w:cs="Microsoft Himalaya"/>
        </w:rPr>
        <w:t>དེ་ནས་སྨྲོས་ཤིག</w:t>
      </w:r>
      <w:r>
        <w:rPr>
          <w:rFonts w:ascii="Times New Roman" w:hAnsi="Times New Roman" w:eastAsia="Times New Roman" w:cs="Times New Roman"/>
        </w:rPr>
        <w:t xml:space="preserve"> </w:t>
      </w:r>
      <w:r>
        <w:rPr>
          <w:rFonts w:ascii="Microsoft Himalaya" w:hAnsi="Microsoft Himalaya" w:eastAsia="Microsoft Himalaya" w:cs="Microsoft Himalaya"/>
        </w:rPr>
        <w:t>ས་མར་ཡའི་རི་རྣམས་སུ་འཛོམས་ཤིག</w:t>
      </w:r>
      <w:r>
        <w:rPr>
          <w:rFonts w:ascii="Times New Roman" w:hAnsi="Times New Roman" w:eastAsia="Times New Roman" w:cs="Times New Roman"/>
        </w:rPr>
        <w:t xml:space="preserve"> </w:t>
      </w:r>
      <w:r>
        <w:rPr>
          <w:rFonts w:ascii="Microsoft Himalaya" w:hAnsi="Microsoft Himalaya" w:eastAsia="Microsoft Himalaya" w:cs="Microsoft Himalaya"/>
        </w:rPr>
        <w:t>དེའི་དབུས་སུ་ཡོད་པའི་ཟིང་ཆ་ཆེན་པོ་རྣམས་དང་།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དེའི་དབུས་སུ་གནོན་འཚེ་མྱོང་བ་རྣམས་ལ་ལྟོས་ཤིག</w:t>
      </w:r>
      <w:r>
        <w:rPr>
          <w:rFonts w:ascii="Times New Roman" w:hAnsi="Times New Roman" w:eastAsia="Times New Roman" w:cs="Times New Roman"/>
        </w:rPr>
        <w:t xml:space="preserve"> </w:t>
      </w:r>
      <w:r>
        <w:rPr>
          <w:rFonts w:ascii="Microsoft Himalaya" w:hAnsi="Microsoft Himalaya" w:eastAsia="Microsoft Himalaya" w:cs="Microsoft Himalaya"/>
        </w:rPr>
        <w:t>ཨ་མོས་</w:t>
      </w:r>
      <w:r>
        <w:rPr>
          <w:rFonts w:ascii="Times New Roman" w:hAnsi="Times New Roman" w:eastAsia="Times New Roman" w:cs="Times New Roman"/>
        </w:rPr>
        <w:t xml:space="preserve"> </w:t>
      </w:r>
      <w:r>
        <w:rPr>
          <w:rFonts w:ascii="Microsoft Himalaya" w:hAnsi="Microsoft Himalaya" w:eastAsia="Microsoft Himalaya" w:cs="Microsoft Himalaya"/>
        </w:rPr>
        <w:t>༣</w:t>
      </w:r>
      <w:r>
        <w:rPr>
          <w:rFonts w:ascii="Times New Roman" w:hAnsi="Times New Roman" w:eastAsia="Times New Roman" w:cs="Times New Roman"/>
        </w:rPr>
        <w:t>:</w:t>
      </w:r>
      <w:r>
        <w:rPr>
          <w:rFonts w:ascii="Microsoft Himalaya" w:hAnsi="Microsoft Himalaya" w:eastAsia="Microsoft Himalaya" w:cs="Microsoft Himalaya"/>
        </w:rPr>
        <w:t>༦</w:t>
      </w:r>
      <w:r>
        <w:rPr>
          <w:rFonts w:ascii="Times New Roman" w:hAnsi="Times New Roman" w:eastAsia="Times New Roman" w:cs="Times New Roman"/>
        </w:rPr>
        <w:t>–</w:t>
      </w:r>
      <w:r>
        <w:rPr>
          <w:rFonts w:ascii="Microsoft Himalaya" w:hAnsi="Microsoft Himalaya" w:eastAsia="Microsoft Himalaya" w:cs="Microsoft Himalaya"/>
        </w:rPr>
        <w:t>༩།</w:t>
      </w:r>
    </w:p>
    <w:p>
      <w:pPr>
        <w:pStyle w:val="ArticleBody"/>
        <w:jc w:val="left"/>
      </w:pPr>
      <w:r>
        <w:rPr>
          <w:rFonts w:ascii="Times New Roman" w:hAnsi="Times New Roman" w:eastAsia="Times New Roman" w:cs="Times New Roman"/>
        </w:rPr>
        <w:t>Þe unsealed message, which is represented within þe hidden history of verse forty of Daniel eleven, is þe sealing message; and Amos asks þe rhetorical question concerning a trumpet being blown in a city, and a lion roaring; and Amos gives þe answer when he declares that God will do nothing, unless he first reveal it unto his servants þe prophets. He also includes that þe trumpet message, which is designed to produce godly fear, would likewise identify evil in þe city, and that it was to be published in Ashdod, Egypt, and Samaria, which represents þe threefold composition of modern Babylon. Þe sealing trumpet message was to be proclaimed to þe whole world in advance of þe events represented in þe sealing message. Þe trumpet message, which is þe sealing message, bears þe signature of “Truth,” for þe sealing time is structured upon three blasts of þe trumpet of þe third woe.</w:t>
      </w:r>
    </w:p>
    <w:p>
      <w:pPr>
        <w:pStyle w:val="ArticleBody"/>
        <w:jc w:val="left"/>
      </w:pPr>
      <w:r>
        <w:rPr>
          <w:rFonts w:ascii="Times New Roman" w:hAnsi="Times New Roman" w:eastAsia="Times New Roman" w:cs="Times New Roman"/>
        </w:rPr>
        <w:t>La trompette marqua d’abord le commencement du scellement le 11 septembre 2001, et la dernière représente la fin du scellement à la loi dominicale imminente, lorsque, lors du grand tremblement de terre, le troisième malheur vient soudainement. Le son intermédiaire eut lieu le 7 octobre 2023, lorsque l’ancien pays glorieux fut frappé par une attaque surprise de l’islam du troisième malheur, tout comme le pays glorieux moderne fut frappé par une attaque surprise de l’islam du troisième malheur en 2001, et comme il en sera lors du dernier de ces trois sons à la loi dominicale imminente. L’attaque surprise intermédiaire contre l’ancien pays glorieux fut dirigée contre l’Israël littéral, symbole de la rébellion qui crucifia le Messie.</w:t>
      </w:r>
    </w:p>
    <w:p>
      <w:pPr>
        <w:pStyle w:val="ArticleBody"/>
        <w:jc w:val="left"/>
      </w:pP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घटनाएँ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भाषाओं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Heureux celui qui lit, et ceux qui entendent les paroles de cette prophétie, et qui gardent les choses qui y sont écrites; car le temps est proche. Apocalypse 1:3.</w:t>
      </w:r>
    </w:p>
    <w:p>
      <w:pPr>
        <w:pStyle w:val="ArticleBody"/>
        <w:jc w:val="left"/>
      </w:pPr>
      <w:r>
        <w:rPr>
          <w:rFonts w:ascii="Times New Roman" w:hAnsi="Times New Roman" w:eastAsia="Times New Roman" w:cs="Times New Roman"/>
        </w:rPr>
        <w:t>Ton temps d’arrêt est expiré pour M 6 aujourd’hui, ou ce GPT est surchargé. Veuillez réessayer plus tard.</w:t>
      </w:r>
    </w:p>
    <w:p>
      <w:pPr>
        <w:pStyle w:val="ArticleScripture"/>
        <w:jc w:val="left"/>
      </w:pPr>
      <w:r>
        <w:rPr>
          <w:rFonts w:ascii="Times New Roman" w:hAnsi="Times New Roman" w:eastAsia="Times New Roman" w:cs="Times New Roman"/>
        </w:rPr>
        <w:t>Tingënveta, ó ti hagor, ha ni parla; ha ascolta, ó ti la tera, i paroli di mia boka. Mia dotrina keda komo la pluva, mia parola distila komo la rocio, komo la pluveta riba la yerba tender, ha komo i aguacero riba la grama: Pasobra mi lo proclamá e nòmber di Señor: atribuí grandesa na nos Dios. El ta e Ròts, su obra ta perfekto: pasobra tur su kaminda ta hustisia: un Dios di berdat i sin inikidat, hustu i drechi ta El. Nan a korrompé nan mes, nan mancha no ta e mancha di su yiu-nan: nan ta un generashon perverso i torcí. Deuteronomio 32:1–5.</w:t>
      </w:r>
    </w:p>
    <w:p>
      <w:pPr>
        <w:pStyle w:val="ArticleBody"/>
        <w:jc w:val="left"/>
      </w:pPr>
      <w:r>
        <w:rPr>
          <w:rFonts w:ascii="Times New Roman" w:hAnsi="Times New Roman" w:eastAsia="Times New Roman" w:cs="Times New Roman"/>
        </w:rPr>
        <w:t>“</w:t>
      </w:r>
      <w:r>
        <w:rPr>
          <w:rFonts w:ascii="Nirmala UI" w:hAnsi="Nirmala UI" w:eastAsia="Nirmala UI" w:cs="Nirmala UI"/>
        </w:rPr>
        <w:t>শેષবর্ষার</w:t>
      </w:r>
      <w:r>
        <w:rPr>
          <w:rFonts w:ascii="Times New Roman" w:hAnsi="Times New Roman" w:eastAsia="Times New Roman" w:cs="Times New Roman"/>
        </w:rPr>
        <w:t>” “</w:t>
      </w:r>
      <w:r>
        <w:rPr>
          <w:rFonts w:ascii="Nirmala UI" w:hAnsi="Nirmala UI" w:eastAsia="Nirmala UI" w:cs="Nirmala UI"/>
        </w:rPr>
        <w:t>মতবাদ</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মতবাদসমূহ</w:t>
      </w:r>
      <w:r>
        <w:rPr>
          <w:rFonts w:ascii="Times New Roman" w:hAnsi="Times New Roman" w:eastAsia="Times New Roman" w:cs="Times New Roman"/>
        </w:rPr>
        <w:t xml:space="preserve"> </w:t>
      </w:r>
      <w:r>
        <w:rPr>
          <w:rFonts w:ascii="Nirmala UI" w:hAnsi="Nirmala UI" w:eastAsia="Nirmala UI" w:cs="Nirmala UI"/>
        </w:rPr>
        <w:t>মিলিত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w:t>
      </w:r>
      <w:r>
        <w:rPr>
          <w:rFonts w:ascii="Nirmala UI" w:hAnsi="Nirmala UI" w:eastAsia="Nirmala UI" w:cs="Nirmala UI"/>
        </w:rPr>
        <w:t>শেষবর্ষার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পালমোনি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গণনাকারী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ভাষাবিদ</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মনুষ্যপুত্র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মহাযাজক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প্রধানদূত</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প্রত্যাদেশের</w:t>
      </w:r>
      <w:r>
        <w:rPr>
          <w:rFonts w:ascii="Times New Roman" w:hAnsi="Times New Roman" w:eastAsia="Times New Roman" w:cs="Times New Roman"/>
        </w:rPr>
        <w:t xml:space="preserve"> </w:t>
      </w:r>
      <w:r>
        <w:rPr>
          <w:rFonts w:ascii="Nirmala UI" w:hAnsi="Nirmala UI" w:eastAsia="Nirmala UI" w:cs="Nirmala UI"/>
        </w:rPr>
        <w:t>অবিচ্ছেদ্য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পৃথিবীজুড়ে</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সেগুলিরও</w:t>
      </w:r>
      <w:r>
        <w:rPr>
          <w:rFonts w:ascii="Times New Roman" w:hAnsi="Times New Roman" w:eastAsia="Times New Roman" w:cs="Times New Roman"/>
        </w:rPr>
        <w:t xml:space="preserve"> </w:t>
      </w:r>
      <w:r>
        <w:rPr>
          <w:rFonts w:ascii="Nirmala UI" w:hAnsi="Nirmala UI" w:eastAsia="Nirmala UI" w:cs="Nirmala UI"/>
        </w:rPr>
        <w:t>অবিচ্ছেদ্য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শুনুক</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মণ্ডলীগণের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Kabila ya Simba wa Yuda, ambaye ndiye aliyeshinda na kupata haki ya kufungua kitabu kilichotiwa muhuri kwa mihuri saba, sasa analia, kama alivyofanya mnamo Oktoba 22, 1844; ni nani asiyetaogopa?</w:t>
      </w:r>
    </w:p>
    <w:p>
      <w:pPr>
        <w:pStyle w:val="ArticleScripture"/>
        <w:jc w:val="left"/>
      </w:pPr>
      <w:r>
        <w:rPr>
          <w:rFonts w:ascii="Times New Roman" w:hAnsi="Times New Roman" w:eastAsia="Times New Roman" w:cs="Times New Roman"/>
        </w:rPr>
        <w:t>At sumigaw siya nang malakas na tinig, gaya ng pag-ungal ng isang leon; at nang siya’y makasigaw na, ang pitong kulog ay nagpahayag ng kanilang mga tinig. At nang maipahayag na ng pitong kulog ang kanilang mga tinig, ako’y magsusulat na sana; at narinig ko ang isang tinig mula sa langit na nagsasabi sa akin, Tatakan mo ang mga bagay na ipinahayag ng pitong kulog, at huwag mong isulat ang mga iyon. Apocalipsis 10:3, 4.</w:t>
      </w:r>
    </w:p>
    <w:p>
      <w:pPr>
        <w:pStyle w:val="ArticleBody"/>
        <w:jc w:val="left"/>
      </w:pPr>
      <w:r>
        <w:rPr>
          <w:rFonts w:ascii="Leelawadee UI" w:hAnsi="Leelawadee UI" w:eastAsia="Leelawadee UI" w:cs="Leelawadee UI"/>
        </w:rPr>
        <w:t>គ្រោងប្រវត្តិសាស្ត្រដ៏វិសុទ្ធមួយ</w:t>
      </w:r>
      <w:r>
        <w:rPr>
          <w:rFonts w:ascii="Times New Roman" w:hAnsi="Times New Roman" w:eastAsia="Times New Roman" w:cs="Times New Roman"/>
        </w:rPr>
        <w:t xml:space="preserve"> </w:t>
      </w:r>
      <w:r>
        <w:rPr>
          <w:rFonts w:ascii="Leelawadee UI" w:hAnsi="Leelawadee UI" w:eastAsia="Leelawadee UI" w:cs="Leelawadee UI"/>
        </w:rPr>
        <w:t>ដែលស្របតាមប្រវត្តិសាស្ត្រលាក់កំបាំងនៃ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គឺជាប្រវត្តិសាស្ត្ររបស់ពួក</w:t>
      </w:r>
      <w:r>
        <w:rPr>
          <w:rFonts w:ascii="Times New Roman" w:hAnsi="Times New Roman" w:eastAsia="Times New Roman" w:cs="Times New Roman"/>
        </w:rPr>
        <w:t xml:space="preserve"> Millerites </w:t>
      </w:r>
      <w:r>
        <w:rPr>
          <w:rFonts w:ascii="Leelawadee UI" w:hAnsi="Leelawadee UI" w:eastAsia="Leelawadee UI" w:cs="Leelawadee UI"/>
        </w:rPr>
        <w:t>ក្នុងការបំពេញព្រះបន្ទូលនៃប្រស្នានៃស្ត្រីព្រហ្មចារីទាំងដប់នៅ</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សំឡេងផ្គរលាន់ទាំងប្រាំពីរនៃ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ហាបាគុក</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២១</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ប្រវត្តិសាស្ត្ររបស់ពួកគេបានចាប់ផ្ដើមនៅពេលវេលាចុងបញ្ចប់ក្នុងឆ្នាំ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ដែលស្របតាមពេលវេលាចុងបញ្ចប់ក្នុងឆ្នាំ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ផ្គរលាន់ទាំងប្រាំពីរបានបន្លឺសំឡេងរបស់វា</w:t>
      </w:r>
      <w:r>
        <w:rPr>
          <w:rFonts w:ascii="Times New Roman" w:hAnsi="Times New Roman" w:eastAsia="Times New Roman" w:cs="Times New Roman"/>
        </w:rPr>
        <w:t xml:space="preserve"> </w:t>
      </w:r>
      <w:r>
        <w:rPr>
          <w:rFonts w:ascii="Leelawadee UI" w:hAnsi="Leelawadee UI" w:eastAsia="Leelawadee UI" w:cs="Leelawadee UI"/>
        </w:rPr>
        <w:t>ប៉ុន្តែយ៉ូហានត្រូវបានរារាំងមិនឲ្យសរសេរអ្វីដែលផ្គរលាន់ទាំងប្រាំពីរបានបន្លឺនោះឡើយ។</w:t>
      </w:r>
      <w:r>
        <w:rPr>
          <w:rFonts w:ascii="Times New Roman" w:hAnsi="Times New Roman" w:eastAsia="Times New Roman" w:cs="Times New Roman"/>
        </w:rPr>
        <w:t xml:space="preserve"> </w:t>
      </w:r>
      <w:r>
        <w:rPr>
          <w:rFonts w:ascii="Leelawadee UI" w:hAnsi="Leelawadee UI" w:eastAsia="Leelawadee UI" w:cs="Leelawadee UI"/>
        </w:rPr>
        <w:t>សាវកប៉ូលបានឃើញ</w:t>
      </w:r>
      <w:r>
        <w:rPr>
          <w:rFonts w:ascii="Times New Roman" w:hAnsi="Times New Roman" w:eastAsia="Times New Roman" w:cs="Times New Roman"/>
        </w:rPr>
        <w:t xml:space="preserve"> </w:t>
      </w:r>
      <w:r>
        <w:rPr>
          <w:rFonts w:ascii="Leelawadee UI" w:hAnsi="Leelawadee UI" w:eastAsia="Leelawadee UI" w:cs="Leelawadee UI"/>
        </w:rPr>
        <w:t>និងបានឮអ្វីៗនៅស្ថានសួគ៌ទីបី</w:t>
      </w:r>
      <w:r>
        <w:rPr>
          <w:rFonts w:ascii="Times New Roman" w:hAnsi="Times New Roman" w:eastAsia="Times New Roman" w:cs="Times New Roman"/>
        </w:rPr>
        <w:t xml:space="preserve"> </w:t>
      </w:r>
      <w:r>
        <w:rPr>
          <w:rFonts w:ascii="Leelawadee UI" w:hAnsi="Leelawadee UI" w:eastAsia="Leelawadee UI" w:cs="Leelawadee UI"/>
        </w:rPr>
        <w:t>ដែលមនុស្សមិនត្រូវបានអនុញ្ញាតឲ្យសរសេរនោះទេ។</w:t>
      </w:r>
    </w:p>
    <w:p>
      <w:pPr>
        <w:pStyle w:val="ArticleScripture"/>
        <w:jc w:val="left"/>
      </w:pPr>
      <w:r>
        <w:rPr>
          <w:rFonts w:ascii="Times New Roman" w:hAnsi="Times New Roman" w:eastAsia="Times New Roman" w:cs="Times New Roman"/>
        </w:rPr>
        <w:t>“L’apôtre Paul, dès les débuts de son expérience chrétienne, reçut des occasions particulières d’apprendre quelle était la volonté de Dieu à l’égard des disciples de Jésus. Il fut « ravi jusqu’au troisième ciel », « dans le paradis, et y entendit des paroles ineffables qu’il n’est pas permis à un homme d’exprimer ». Il reconnaissait lui-même que beaucoup de « visions et de révélations » lui avaient été accordées « de la part du Seigneur ». Son intelligence des principes de la vérité de l’Évangile égalait celle « des plus excellents apôtres ». 2 Corinthiens 12:2, 4, 1, 11. Il avait une compréhension claire et complète de « la largeur, la longueur, la profondeur et la hauteur » de « l’amour de Christ, qui surpasse toute connaissance ». Éphésiens 3:18, 19.” Conquérants pacifiques, 469.</w:t>
      </w:r>
    </w:p>
    <w:p>
      <w:pPr>
        <w:pStyle w:val="ArticleBody"/>
        <w:jc w:val="left"/>
      </w:pPr>
      <w:r>
        <w:rPr>
          <w:rFonts w:ascii="Times New Roman" w:hAnsi="Times New Roman" w:eastAsia="Times New Roman" w:cs="Times New Roman"/>
        </w:rPr>
        <w:t>Les prophètes désignent tous les derniers jours, et ce que Jean entendit lorsque les sept tonnerres « firent entendre » leurs voix, il lui fut interdit de l’écrire. Ce dont Paul fut témoin lorsqu’il était dans le troisième ciel, il n’était pas permis à un homme de l’« exprimer ». La vérité représentée par les sept tonnerres devait être scellée jusqu’à ce que le Lion de la tribu de Juda choisisse de desceller cette vérité.</w:t>
      </w:r>
    </w:p>
    <w:p>
      <w:pPr>
        <w:pStyle w:val="ArticleBody"/>
        <w:jc w:val="left"/>
      </w:pPr>
      <w:r>
        <w:rPr>
          <w:rFonts w:ascii="Times New Roman" w:hAnsi="Times New Roman" w:eastAsia="Times New Roman" w:cs="Times New Roman"/>
        </w:rPr>
        <w:t>Il fut partiellement descellé à Sœur White, car elle reconnut qu’il représentait les « événements qui surviendraient » dans l’histoire des messages du premier et du second ange, et aussi qu’il représentait des « événements futurs qui seraient révélés dans leur ordre ». Ce qui fut alors révélé était une prédiction liée à des « événements futurs ». Il lui fut aussi enseigné que le scellement des sept tonnerres était typifié par le scellement du livre de Daniel.</w:t>
      </w:r>
    </w:p>
    <w:p>
      <w:pPr>
        <w:pStyle w:val="ArticleScripture"/>
        <w:jc w:val="left"/>
      </w:pPr>
      <w:r>
        <w:rPr>
          <w:rFonts w:ascii="Microsoft YaHei" w:hAnsi="Microsoft YaHei" w:eastAsia="Microsoft YaHei" w:cs="Microsoft YaHei"/>
        </w:rPr>
        <w:t>「約翰</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特別</w:t>
      </w:r>
      <w:r>
        <w:rPr>
          <w:rFonts w:ascii="MS Gothic" w:hAnsi="MS Gothic" w:eastAsia="MS Gothic" w:cs="MS Gothic"/>
        </w:rPr>
        <w:t>な</w:t>
      </w:r>
      <w:r>
        <w:rPr>
          <w:rFonts w:ascii="Microsoft YaHei" w:hAnsi="Microsoft YaHei" w:eastAsia="Microsoft YaHei" w:cs="Microsoft YaHei"/>
        </w:rPr>
        <w:t>光</w:t>
      </w:r>
      <w:r>
        <w:rPr>
          <w:rFonts w:ascii="MS Gothic" w:hAnsi="MS Gothic" w:eastAsia="MS Gothic" w:cs="MS Gothic"/>
        </w:rPr>
        <w:t>が</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雷鳴</w:t>
      </w:r>
      <w:r>
        <w:rPr>
          <w:rFonts w:ascii="MS Gothic" w:hAnsi="MS Gothic" w:eastAsia="MS Gothic" w:cs="MS Gothic"/>
        </w:rPr>
        <w:t>のうちに</w:t>
      </w:r>
      <w:r>
        <w:rPr>
          <w:rFonts w:ascii="Microsoft YaHei" w:hAnsi="Microsoft YaHei" w:eastAsia="Microsoft YaHei" w:cs="Microsoft YaHei"/>
        </w:rPr>
        <w:t>表</w:t>
      </w:r>
      <w:r>
        <w:rPr>
          <w:rFonts w:ascii="MS Gothic" w:hAnsi="MS Gothic" w:eastAsia="MS Gothic" w:cs="MS Gothic"/>
        </w:rPr>
        <w:t>されたのは</w:t>
      </w:r>
      <w:r>
        <w:rPr>
          <w:rFonts w:ascii="Microsoft YaHei" w:hAnsi="Microsoft YaHei" w:eastAsia="Microsoft YaHei" w:cs="Microsoft YaHei"/>
        </w:rPr>
        <w:t>、第一</w:t>
      </w:r>
      <w:r>
        <w:rPr>
          <w:rFonts w:ascii="MS Gothic" w:hAnsi="MS Gothic" w:eastAsia="MS Gothic" w:cs="MS Gothic"/>
        </w:rPr>
        <w:t>および</w:t>
      </w:r>
      <w:r>
        <w:rPr>
          <w:rFonts w:ascii="Microsoft YaHei" w:hAnsi="Microsoft YaHei" w:eastAsia="Microsoft YaHei" w:cs="Microsoft YaHei"/>
        </w:rPr>
        <w:t>第二天使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のもとで</w:t>
      </w:r>
      <w:r>
        <w:rPr>
          <w:rFonts w:ascii="Microsoft YaHei" w:hAnsi="Microsoft YaHei" w:eastAsia="Microsoft YaHei" w:cs="Microsoft YaHei"/>
        </w:rPr>
        <w:t>起</w:t>
      </w:r>
      <w:r>
        <w:rPr>
          <w:rFonts w:ascii="MS Gothic" w:hAnsi="MS Gothic" w:eastAsia="MS Gothic" w:cs="MS Gothic"/>
        </w:rPr>
        <w:t>こる</w:t>
      </w:r>
      <w:r>
        <w:rPr>
          <w:rFonts w:ascii="Microsoft YaHei" w:hAnsi="Microsoft YaHei" w:eastAsia="Microsoft YaHei" w:cs="Microsoft YaHei"/>
        </w:rPr>
        <w:t>諸事件</w:t>
      </w:r>
      <w:r>
        <w:rPr>
          <w:rFonts w:ascii="MS Gothic" w:hAnsi="MS Gothic" w:eastAsia="MS Gothic" w:cs="MS Gothic"/>
        </w:rPr>
        <w:t>の</w:t>
      </w:r>
      <w:r>
        <w:rPr>
          <w:rFonts w:ascii="Microsoft YaHei" w:hAnsi="Microsoft YaHei" w:eastAsia="Microsoft YaHei" w:cs="Microsoft YaHei"/>
        </w:rPr>
        <w:t>描写</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បន្ទាប់ពីផ្គរលាន់ទាំងប្រាំពីរនេះបានបន្លឺសំឡេងរបស់វា</w:t>
      </w:r>
      <w:r>
        <w:rPr>
          <w:rFonts w:ascii="Times New Roman" w:hAnsi="Times New Roman" w:eastAsia="Times New Roman" w:cs="Times New Roman"/>
        </w:rPr>
        <w:t xml:space="preserve"> </w:t>
      </w:r>
      <w:r>
        <w:rPr>
          <w:rFonts w:ascii="Leelawadee UI" w:hAnsi="Leelawadee UI" w:eastAsia="Leelawadee UI" w:cs="Leelawadee UI"/>
        </w:rPr>
        <w:t>នោះបញ្ញត្តិបានមកដល់យ៉ូហាន</w:t>
      </w:r>
      <w:r>
        <w:rPr>
          <w:rFonts w:ascii="Times New Roman" w:hAnsi="Times New Roman" w:eastAsia="Times New Roman" w:cs="Times New Roman"/>
        </w:rPr>
        <w:t xml:space="preserve"> </w:t>
      </w:r>
      <w:r>
        <w:rPr>
          <w:rFonts w:ascii="Leelawadee UI" w:hAnsi="Leelawadee UI" w:eastAsia="Leelawadee UI" w:cs="Leelawadee UI"/>
        </w:rPr>
        <w:t>ដូចដែលបានមកដល់ដានីយ៉ែល</w:t>
      </w:r>
      <w:r>
        <w:rPr>
          <w:rFonts w:ascii="Times New Roman" w:hAnsi="Times New Roman" w:eastAsia="Times New Roman" w:cs="Times New Roman"/>
        </w:rPr>
        <w:t xml:space="preserve"> </w:t>
      </w:r>
      <w:r>
        <w:rPr>
          <w:rFonts w:ascii="Leelawadee UI" w:hAnsi="Leelawadee UI" w:eastAsia="Leelawadee UI" w:cs="Leelawadee UI"/>
        </w:rPr>
        <w:t>ទាក់ទងនឹងសៀវភៅតូចនោះថា៖</w:t>
      </w:r>
      <w:r>
        <w:rPr>
          <w:rFonts w:ascii="Times New Roman" w:hAnsi="Times New Roman" w:eastAsia="Times New Roman" w:cs="Times New Roman"/>
        </w:rPr>
        <w:t xml:space="preserve"> “</w:t>
      </w:r>
      <w:r>
        <w:rPr>
          <w:rFonts w:ascii="Leelawadee UI" w:hAnsi="Leelawadee UI" w:eastAsia="Leelawadee UI" w:cs="Leelawadee UI"/>
        </w:rPr>
        <w:t>ចូរបិទត្រាសេចក្ដីទាំងនោះ</w:t>
      </w:r>
      <w:r>
        <w:rPr>
          <w:rFonts w:ascii="Times New Roman" w:hAnsi="Times New Roman" w:eastAsia="Times New Roman" w:cs="Times New Roman"/>
        </w:rPr>
        <w:t xml:space="preserve"> </w:t>
      </w:r>
      <w:r>
        <w:rPr>
          <w:rFonts w:ascii="Leelawadee UI" w:hAnsi="Leelawadee UI" w:eastAsia="Leelawadee UI" w:cs="Leelawadee UI"/>
        </w:rPr>
        <w:t>ដែលផ្គរលាន់ទាំងប្រាំពីរបានបន្លឺឡើង។</w:t>
      </w:r>
      <w:r>
        <w:rPr>
          <w:rFonts w:ascii="Times New Roman" w:hAnsi="Times New Roman" w:eastAsia="Times New Roman" w:cs="Times New Roman"/>
        </w:rPr>
        <w:t xml:space="preserve">” </w:t>
      </w:r>
      <w:r>
        <w:rPr>
          <w:rFonts w:ascii="Leelawadee UI" w:hAnsi="Leelawadee UI" w:eastAsia="Leelawadee UI" w:cs="Leelawadee UI"/>
        </w:rPr>
        <w:t>សេចក្ដីទាំងនេះពាក់ព័ន្ធនឹងព្រឹត្តិការណ៍នាពេលអនាគត</w:t>
      </w:r>
      <w:r>
        <w:rPr>
          <w:rFonts w:ascii="Times New Roman" w:hAnsi="Times New Roman" w:eastAsia="Times New Roman" w:cs="Times New Roman"/>
        </w:rPr>
        <w:t xml:space="preserve"> </w:t>
      </w:r>
      <w:r>
        <w:rPr>
          <w:rFonts w:ascii="Leelawadee UI" w:hAnsi="Leelawadee UI" w:eastAsia="Leelawadee UI" w:cs="Leelawadee UI"/>
        </w:rPr>
        <w:t>ដែលនឹងត្រូវបានបើកសម្ដែងតាមលំដាប់របស់វា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Seventh-day Adventist Bible Commentary, volume 7, 971.</w:t>
      </w:r>
    </w:p>
    <w:p>
      <w:pPr>
        <w:pStyle w:val="ArticleBody"/>
        <w:jc w:val="left"/>
      </w:pPr>
      <w:r>
        <w:rPr>
          <w:rFonts w:ascii="Times New Roman" w:hAnsi="Times New Roman" w:eastAsia="Times New Roman" w:cs="Times New Roman"/>
        </w:rPr>
        <w:t>La compréhension selon laquelle les sept tonnerres sont un symbole qui démontre et confirme la méthodologie fut reconnue au temps de la fin qui commença en 1989. Après le 11 septembre 2001, l’importance de la répétition des deux mouvements devint une vérité éprouvante présente.</w:t>
      </w:r>
    </w:p>
    <w:p>
      <w:pPr>
        <w:pStyle w:val="ArticleBody"/>
        <w:jc w:val="left"/>
      </w:pPr>
      <w:r>
        <w:rPr>
          <w:rFonts w:ascii="Times New Roman" w:hAnsi="Times New Roman" w:eastAsia="Times New Roman" w:cs="Times New Roman"/>
        </w:rPr>
        <w:t>Itepitea istoria Milleriților în istoria celor o sută patruzeci și patru de mii a fost regula principală care a fost confirmată la acea dată, după cum regula principală a Milleriților a fost confirmată la 11 august 1840. Pentru Milleriți, regula principală potrivit căreia o zi reprezintă un an a fost confirmată la 11 august 1840, iar regula principală care arată că toate mișcările reformatoare se prefigurează una pe alta, „linie peste linie”, a fost confirmată la 11 septembrie 2001. Cele șapte tunete, ca martor al acelui adevăr, au fost desigilate la acel timp.</w:t>
      </w:r>
    </w:p>
    <w:p>
      <w:pPr>
        <w:pStyle w:val="ArticleBody"/>
        <w:jc w:val="left"/>
      </w:pPr>
      <w:r>
        <w:rPr>
          <w:rFonts w:ascii="Times New Roman" w:hAnsi="Times New Roman" w:eastAsia="Times New Roman" w:cs="Times New Roman"/>
        </w:rPr>
        <w:t>Jisas daima yana kwatanta ƙarshen wani abu da farkonsa, kuma 11 ga Satumba, 2001, kasancewarsa farkon aikin hatimtawa, yana bayyana ƙarshen aikin hatimtawa. Zakin ƙabilar Yahuda ya buɗe wani ɓangare na tsawa bakwai sa’ad da Ya fara tayar da matattun ƙasusuwan busassu a cikin Yuli na 2023, gama a sa’an nan Ya bayyana cewa, cikin jituwa da “Gaskiya,” tsawa bakwai kuma a alama suna wakiltar tarihin Millerite na baƙin-ciki na farko da na ƙarshe, tare da tawayen Kiran Tsakar Dare kasancewarsa alamar hanya ta tsakiya.</w:t>
      </w:r>
    </w:p>
    <w:p>
      <w:pPr>
        <w:pStyle w:val="ArticleBody"/>
        <w:jc w:val="left"/>
      </w:pPr>
      <w:r>
        <w:rPr>
          <w:rFonts w:ascii="Times New Roman" w:hAnsi="Times New Roman" w:eastAsia="Times New Roman" w:cs="Times New Roman"/>
        </w:rPr>
        <w:t>Par ce moyen, Il a révélé que les sept tonnerres se répètent dans l’histoire du 18 juillet 2020 jusqu’à la loi dominicale bientôt à venir. La déception du 18 juillet 2020, étant le premier repère, et la déception de la loi dominicale bientôt à venir, étant le dernier des trois repères de la « Vérité » qui identifient les sept tonnerres à la fin du temps du scellement, sont représentées par la rébellion associée aux vierges folles qui rejettent le message du Lion de la tribu de Juda, lequel rugit maintenant, tandis qu’Il descelle et publie Son message tout autour de la terre, car ce message est le message du Cri de Minuit des derniers jours.</w:t>
      </w:r>
    </w:p>
    <w:p>
      <w:pPr>
        <w:pStyle w:val="ArticleBody"/>
        <w:jc w:val="left"/>
      </w:pPr>
      <w:r>
        <w:rPr>
          <w:rFonts w:ascii="Times New Roman" w:hAnsi="Times New Roman" w:eastAsia="Times New Roman" w:cs="Times New Roman"/>
        </w:rPr>
        <w:t>پەککردنەوە لە سەرەتای کاتی مۆرکردندا، لە 11ی سپتامبری 2001، فریشتەی مکاشفەی بەشی هەژدە دابەزی و لە نێوان چەند شتێکی دیکەدا، تێگەیشتنێکی تەواوتری مانای حەوت ڕعدەکەی ئاشکرا کرد. ئەوەی لەو کاتەدا سەبارەت بە حەوت ڕعدەکان تێگەیشترا، تەنها ئەوە نەبوو کە بزووتنەوەکانی چاکسازی هاوتەریب یەکترن، بەڵکو هەروەها ئەوەش بوو کە کاتێک فریشتەکە لەو وێستگەیەی بزووتنەوەیەکی چاکسازیدا دادەبەزێت، یاسای سەرەکیی پێشبینیی مێژووی تایبەتی خۆی پشتڕاست دەکات.</w:t>
      </w:r>
    </w:p>
    <w:p>
      <w:pPr>
        <w:pStyle w:val="ArticleBody"/>
        <w:jc w:val="left"/>
      </w:pPr>
      <w:r>
        <w:rPr>
          <w:rFonts w:ascii="Leelawadee UI" w:hAnsi="Leelawadee UI" w:eastAsia="Leelawadee UI" w:cs="Leelawadee UI"/>
        </w:rPr>
        <w:t>ការយាងចុះមកនៃទេវទូតក្នុង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ជំពូកទីដប់ប្រាំបី</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បានបញ្ជាក់វិធីសាស្ត្រនៃភ្លៀងចុងក្រោយជា</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ដោយបង្ហាញថា</w:t>
      </w:r>
      <w:r>
        <w:rPr>
          <w:rFonts w:ascii="Times New Roman" w:hAnsi="Times New Roman" w:eastAsia="Times New Roman" w:cs="Times New Roman"/>
        </w:rPr>
        <w:t xml:space="preserve"> </w:t>
      </w:r>
      <w:r>
        <w:rPr>
          <w:rFonts w:ascii="Leelawadee UI" w:hAnsi="Leelawadee UI" w:eastAsia="Leelawadee UI" w:cs="Leelawadee UI"/>
        </w:rPr>
        <w:t>ចលនាដើមកំណើត</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បានគូររូបជាមុននៃចលនាចុងបញ្ចប់</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នៅចុងបញ្ចប់នៃពេលវេលានៃការបោះត្រា</w:t>
      </w:r>
      <w:r>
        <w:rPr>
          <w:rFonts w:ascii="Times New Roman" w:hAnsi="Times New Roman" w:eastAsia="Times New Roman" w:cs="Times New Roman"/>
        </w:rPr>
        <w:t xml:space="preserve"> </w:t>
      </w:r>
      <w:r>
        <w:rPr>
          <w:rFonts w:ascii="Leelawadee UI" w:hAnsi="Leelawadee UI" w:eastAsia="Leelawadee UI" w:cs="Leelawadee UI"/>
        </w:rPr>
        <w:t>មីកាអែលបានយាងចុះមកដើម្បីប្រោសឲ្យឆ្អឹងស្ងួតដែលស្លាប់រស់ឡើងវិញ</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ដែលត្រូវបានតំណាងដោយសាក្សីទាំងពីរ</w:t>
      </w:r>
      <w:r>
        <w:rPr>
          <w:rFonts w:ascii="Times New Roman" w:hAnsi="Times New Roman" w:eastAsia="Times New Roman" w:cs="Times New Roman"/>
        </w:rPr>
        <w:t xml:space="preserve"> </w:t>
      </w:r>
      <w:r>
        <w:rPr>
          <w:rFonts w:ascii="Leelawadee UI" w:hAnsi="Leelawadee UI" w:eastAsia="Leelawadee UI" w:cs="Leelawadee UI"/>
        </w:rPr>
        <w:t>ដែលបានស្លាប់នៅលើផ្លូវនៃទីក្រុងដ៏ធំនោះ</w:t>
      </w:r>
      <w:r>
        <w:rPr>
          <w:rFonts w:ascii="Times New Roman" w:hAnsi="Times New Roman" w:eastAsia="Times New Roman" w:cs="Times New Roman"/>
        </w:rPr>
        <w:t xml:space="preserve"> </w:t>
      </w:r>
      <w:r>
        <w:rPr>
          <w:rFonts w:ascii="Leelawadee UI" w:hAnsi="Leelawadee UI" w:eastAsia="Leelawadee UI" w:cs="Leelawadee UI"/>
        </w:rPr>
        <w:t>គឺសូដុំ</w:t>
      </w:r>
      <w:r>
        <w:rPr>
          <w:rFonts w:ascii="Times New Roman" w:hAnsi="Times New Roman" w:eastAsia="Times New Roman" w:cs="Times New Roman"/>
        </w:rPr>
        <w:t xml:space="preserve"> </w:t>
      </w:r>
      <w:r>
        <w:rPr>
          <w:rFonts w:ascii="Leelawadee UI" w:hAnsi="Leelawadee UI" w:eastAsia="Leelawadee UI" w:cs="Leelawadee UI"/>
        </w:rPr>
        <w:t>និងអេហ្ស៊ីប</w:t>
      </w:r>
      <w:r>
        <w:rPr>
          <w:rFonts w:ascii="Times New Roman" w:hAnsi="Times New Roman" w:eastAsia="Times New Roman" w:cs="Times New Roman"/>
        </w:rPr>
        <w:t xml:space="preserve"> </w:t>
      </w:r>
      <w:r>
        <w:rPr>
          <w:rFonts w:ascii="Leelawadee UI" w:hAnsi="Leelawadee UI" w:eastAsia="Leelawadee UI" w:cs="Leelawadee UI"/>
        </w:rPr>
        <w:t>ជាទីកន្លែងដែលព្រះអម្ចាស់របស់យើងក៏ត្រូវបានឆ្កាងផងដែរ។</w:t>
      </w:r>
      <w:r>
        <w:rPr>
          <w:rFonts w:ascii="Times New Roman" w:hAnsi="Times New Roman" w:eastAsia="Times New Roman" w:cs="Times New Roman"/>
        </w:rPr>
        <w:t xml:space="preserve"> </w:t>
      </w:r>
      <w:r>
        <w:rPr>
          <w:rFonts w:ascii="Leelawadee UI" w:hAnsi="Leelawadee UI" w:eastAsia="Leelawadee UI" w:cs="Leelawadee UI"/>
        </w:rPr>
        <w:t>នៅពេលមីកាអែលបានហៅអ្នកស្លាប់ឲ្យត្រឡប់មករស់វិញ</w:t>
      </w:r>
      <w:r>
        <w:rPr>
          <w:rFonts w:ascii="Times New Roman" w:hAnsi="Times New Roman" w:eastAsia="Times New Roman" w:cs="Times New Roman"/>
        </w:rPr>
        <w:t xml:space="preserve"> </w:t>
      </w:r>
      <w:r>
        <w:rPr>
          <w:rFonts w:ascii="Leelawadee UI" w:hAnsi="Leelawadee UI" w:eastAsia="Leelawadee UI" w:cs="Leelawadee UI"/>
        </w:rPr>
        <w:t>ទ្រង់</w:t>
      </w:r>
      <w:r>
        <w:rPr>
          <w:rFonts w:ascii="Times New Roman" w:hAnsi="Times New Roman" w:eastAsia="Times New Roman" w:cs="Times New Roman"/>
        </w:rPr>
        <w:t xml:space="preserve"> </w:t>
      </w:r>
      <w:r>
        <w:rPr>
          <w:rFonts w:ascii="Leelawadee UI" w:hAnsi="Leelawadee UI" w:eastAsia="Leelawadee UI" w:cs="Leelawadee UI"/>
        </w:rPr>
        <w:t>ក្នុងនាមជាសិង្ហនៃពូជយូដា</w:t>
      </w:r>
      <w:r>
        <w:rPr>
          <w:rFonts w:ascii="Times New Roman" w:hAnsi="Times New Roman" w:eastAsia="Times New Roman" w:cs="Times New Roman"/>
        </w:rPr>
        <w:t xml:space="preserve"> </w:t>
      </w:r>
      <w:r>
        <w:rPr>
          <w:rFonts w:ascii="Leelawadee UI" w:hAnsi="Leelawadee UI" w:eastAsia="Leelawadee UI" w:cs="Leelawadee UI"/>
        </w:rPr>
        <w:t>បានបើកត្រាបង្ហាញថា</w:t>
      </w:r>
      <w:r>
        <w:rPr>
          <w:rFonts w:ascii="Times New Roman" w:hAnsi="Times New Roman" w:eastAsia="Times New Roman" w:cs="Times New Roman"/>
        </w:rPr>
        <w:t xml:space="preserve"> </w:t>
      </w:r>
      <w:r>
        <w:rPr>
          <w:rFonts w:ascii="Leelawadee UI" w:hAnsi="Leelawadee UI" w:eastAsia="Leelawadee UI" w:cs="Leelawadee UI"/>
        </w:rPr>
        <w:t>ផ្គរលាន់ទាំងប្រាំពីរមានប្រវត្តិសាស្ត្រលាក់កំបាំងមួយលើសពីសេចក្តីពិតដែលបានបើកសម្ដែងរួចមកហើយអំពីផ្គរលាន់ទាំងប្រាំពីរ។</w:t>
      </w:r>
    </w:p>
    <w:p>
      <w:pPr>
        <w:pStyle w:val="ArticleBody"/>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বংশের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অমোচিত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সেটিকে</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 xml:space="preserve">, </w:t>
      </w:r>
      <w:r>
        <w:rPr>
          <w:rFonts w:ascii="Nirmala UI" w:hAnsi="Nirmala UI" w:eastAsia="Nirmala UI" w:cs="Nirmala UI"/>
        </w:rPr>
        <w:t>১৯</w:t>
      </w:r>
      <w:r>
        <w:rPr>
          <w:rFonts w:ascii="Times New Roman" w:hAnsi="Times New Roman" w:eastAsia="Times New Roman" w:cs="Times New Roman"/>
        </w:rPr>
        <w:t xml:space="preserve"> </w:t>
      </w:r>
      <w:r>
        <w:rPr>
          <w:rFonts w:ascii="Nirmala UI" w:hAnsi="Nirmala UI" w:eastAsia="Nirmala UI" w:cs="Nirmala UI"/>
        </w:rPr>
        <w:t>এপ্রিল</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পথচিহ্নের</w:t>
      </w:r>
      <w:r>
        <w:rPr>
          <w:rFonts w:ascii="Times New Roman" w:hAnsi="Times New Roman" w:eastAsia="Times New Roman" w:cs="Times New Roman"/>
        </w:rPr>
        <w:t xml:space="preserve"> </w:t>
      </w:r>
      <w:r>
        <w:rPr>
          <w:rFonts w:ascii="Nirmala UI" w:hAnsi="Nirmala UI" w:eastAsia="Nirmala UI" w:cs="Nirmala UI"/>
        </w:rPr>
        <w:t>প্রত্যেকটির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অমোচন</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বিদ্রোহকে</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সত্যও</w:t>
      </w:r>
      <w:r>
        <w:rPr>
          <w:rFonts w:ascii="Times New Roman" w:hAnsi="Times New Roman" w:eastAsia="Times New Roman" w:cs="Times New Roman"/>
        </w:rPr>
        <w:t xml:space="preserve"> </w:t>
      </w:r>
      <w:r>
        <w:rPr>
          <w:rFonts w:ascii="Nirmala UI" w:hAnsi="Nirmala UI" w:eastAsia="Nirmala UI" w:cs="Nirmala UI"/>
        </w:rPr>
        <w:t>অমোচিত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নিরাশা</w:t>
      </w:r>
      <w:r>
        <w:rPr>
          <w:rFonts w:ascii="Times New Roman" w:hAnsi="Times New Roman" w:eastAsia="Times New Roman" w:cs="Times New Roman"/>
        </w:rPr>
        <w:t xml:space="preserve"> </w:t>
      </w:r>
      <w:r>
        <w:rPr>
          <w:rFonts w:ascii="Nirmala UI" w:hAnsi="Nirmala UI" w:eastAsia="Nirmala UI" w:cs="Nirmala UI"/>
        </w:rPr>
        <w:t>বলবৎ</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সুনামির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জুড়ে</w:t>
      </w:r>
      <w:r>
        <w:rPr>
          <w:rFonts w:ascii="Times New Roman" w:hAnsi="Times New Roman" w:eastAsia="Times New Roman" w:cs="Times New Roman"/>
        </w:rPr>
        <w:t xml:space="preserve"> </w:t>
      </w:r>
      <w:r>
        <w:rPr>
          <w:rFonts w:ascii="Nirmala UI" w:hAnsi="Nirmala UI" w:eastAsia="Nirmala UI" w:cs="Nirmala UI"/>
        </w:rPr>
        <w:t>ছড়িয়ে</w:t>
      </w:r>
      <w:r>
        <w:rPr>
          <w:rFonts w:ascii="Times New Roman" w:hAnsi="Times New Roman" w:eastAsia="Times New Roman" w:cs="Times New Roman"/>
        </w:rPr>
        <w:t xml:space="preserve"> </w:t>
      </w:r>
      <w:r>
        <w:rPr>
          <w:rFonts w:ascii="Nirmala UI" w:hAnsi="Nirmala UI" w:eastAsia="Nirmala UI" w:cs="Nirmala UI"/>
        </w:rPr>
        <w:t>পড়বে।</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Naye akaloba na ngai: Kanga maloba ya esakweli ya buku oyo te, mpo ete ntango ekómi pene. Moto oyo azangi boyengebene, tika ete azala kaka na kozanga boyengebene na ye; mpe oyo azali mbindo, tika ete azala kaka mbindo; mpe oyo azali moyengebene, tika ete azala kaka moyengebene; mpe oyo azali mosantu, tika ete azala kaka mosantu. Mpe tala, nazali koya nokinoki; mpe mbano na ngai ezali elongo na ngai, mpo na kofuta moto na moto kolanda ndenge mosala na ye ekozala. Nazali Alfa mpe Omega, ebandeli mpe suka, ya liboso mpe ya nsuka. Emoniseli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quatre-vingt-quatorze</dc:title>
  <dc:subject>Échos des Maccabées : le triomphe de Trump et la voie prophétique vers l’image de la bête</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