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 Jambere Igihumbi Kimwe Magana Cyenda Mirongo Cyenda na Gatanu</w:t>
      </w:r>
    </w:p>
    <w:p>
      <w:pPr>
        <w:pStyle w:val="ArticleSubtitle"/>
        <w:jc w:val="left"/>
      </w:pPr>
      <w:r>
        <w:rPr>
          <w:rFonts w:ascii="Arial" w:hAnsi="Arial" w:eastAsia="Arial" w:cs="Arial"/>
        </w:rPr>
        <w:t>Le chemin vers la loi du dimanche : le rôle de Trump et le déroulement prophétique dans Daniel 11</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L’histoire cachée du verset quarante renferme la lignée de six présidents depuis le temps de la fin en 1989 jusqu’en 2020, lorsque Biden, le septième président, a dérobé la présidence. L’an 2020 marque le commencement d’une histoire cachée, à partir de ce point jusqu’à « Alexandre le Grand », représentant le moment où le septième royaume de la prophétie biblique est établi lors de la loi du dimanche, imminente. Ces dix rois consentent aussitôt à donner leur septième royaume au huitième royaume, qui est issu des sept — la puissance papale. Cette histoire cachée commence avec le septième président et s’achève avec le septième royaume.</w:t>
      </w:r>
    </w:p>
    <w:p>
      <w:pPr>
        <w:pStyle w:val="ArticleBody"/>
        <w:jc w:val="left"/>
      </w:pPr>
      <w:r>
        <w:rPr>
          <w:rFonts w:ascii="Times New Roman" w:hAnsi="Times New Roman" w:eastAsia="Times New Roman" w:cs="Times New Roman"/>
        </w:rPr>
        <w:t>عندما يبيّن التاريخ أنّه ما بين أحشويروش، الذي يمثّل الملك الغني الذي يهيّج اليونان، وبين الإسكندر الأكبر، كان هناك ثمانية ملوك فرس، نجد أنّ التاريخ الخفي بين نهاية الآية الثانية والآية الثالثة يمثّل زمن اختبار صورة الوحش بالعدد ثمانية. وتكون صورة الوحش في الولايات المتحدة قد استقرّت استقرارًا كاملًا عند إنفاذ قانون الأحد، وعند تلك النقطة تصل المملكة السابعة ثم الثامنة. وينتهي الملوك الفرس الثمانية عند الإسكندر الأكبر، ولذلك فإن العدد ثمانية يحدّد زمن اختبار صورة الوحش الذي يختتم عند قانون الأحد.</w:t>
      </w:r>
    </w:p>
    <w:p>
      <w:pPr>
        <w:pStyle w:val="ArticleBody"/>
        <w:jc w:val="left"/>
      </w:pPr>
      <w:r>
        <w:rPr>
          <w:rFonts w:ascii="Times New Roman" w:hAnsi="Times New Roman" w:eastAsia="Times New Roman" w:cs="Times New Roman"/>
        </w:rPr>
        <w:t>Аятҳои даҳ то понздаҳ ба мо хабар медиҳанд, ки давраи озмоиши сурати ҳайвон саввумин аз се нишонае буд, ки тавассути таърихи Маккабиён намояндагӣ шудааст, ва ин саввумин нишона як давраи вақт буд, ки аз соли 161 то милод оғоз ёфта, дар соли 158 то милод ба поён мерасид. Ин давра пас аз нахустин нишонаи соли 167 то милод омад, ки оғози Шӯриши Маккабиёнро дар Мӯдеин муайян мекард, шаҳре ки номи он маънои «эътироз кардан»-ро дорад. Соли 164 то милод пас аз он эътироз дар Мӯдеин омад ва бахшидани дувуми маъбади дувумро муайян мекард. Соли 164 то милод маросими савгандёдкунии дувуми Доналд Трампро ҳамчун ҳаштумин президент аз замони Рейган дар соли 1989 муайян мекунад, ки аз ҷумлаи он ҳафт аст. Савгандёдкунии ӯ дар 20 январи соли 2025 тавассути соли 164 то милод намояндагӣ шудааст, ва маросими аз нав бахшидан, ки он мӯъҷизаи шайтонӣеро ба вуҷуд овард, ки ду ишораро дар бар мегирад ба он ки ҳаштум аз он ҳафт аст.</w:t>
      </w:r>
    </w:p>
    <w:p>
      <w:pPr>
        <w:pStyle w:val="ArticleBody"/>
        <w:jc w:val="left"/>
      </w:pPr>
      <w:r>
        <w:rPr>
          <w:rFonts w:ascii="Times New Roman" w:hAnsi="Times New Roman" w:eastAsia="Times New Roman" w:cs="Times New Roman"/>
        </w:rPr>
        <w:t>Par conséquent, les huit rois de Perse représentent l’histoire de l’alliance des Juifs avec Rome de 161 av. J.-C. jusqu’à 158 av. J.-C., et, ce faisant, fournissent un second témoignage à l’égard du temps d’épreuve de l’image de la bête qui suit l’investiture de Trump en 2025. Le verset deux se poursuit jusqu’à l’élection volée de 2020, où il s’achève jusqu’à ce que le témoignage historique des huit rois de Perse soit appliqué, et ceux-ci trouvent leur application après la seconde investiture de Trump. Une fois que les huit rois de Perse sont superposés à l’histoire comprise entre le verset deux et le verset trois, il subsiste encore une période cachée depuis l’investiture de Biden jusqu’à la seconde investiture de Trump.</w:t>
      </w:r>
    </w:p>
    <w:p>
      <w:pPr>
        <w:pStyle w:val="ArticleBody"/>
        <w:jc w:val="left"/>
      </w:pPr>
      <w:r>
        <w:rPr>
          <w:rFonts w:ascii="Times New Roman" w:hAnsi="Times New Roman" w:eastAsia="Times New Roman" w:cs="Times New Roman"/>
        </w:rPr>
        <w:t>Cette histoire cachée est identifiée dans le chapitre onze de l’Apocalypse, où la bête de l’athéisme met à mort les deux témoins en 2020. Puis, après trois jours et demi symboliques, Michel descend pour ressusciter les deux témoins. Un Trump « ressuscité » a commencé sa troisième campagne présidentielle le 15 novembre 2022, et une « voix dans le désert » ressuscitée a commencé à appeler les cent quarante-quatre mille à la fin de juillet 2023.</w:t>
      </w:r>
    </w:p>
    <w:p>
      <w:pPr>
        <w:pStyle w:val="ArticleBody"/>
        <w:jc w:val="left"/>
      </w:pPr>
      <w:r>
        <w:rPr>
          <w:rFonts w:ascii="Times New Roman" w:hAnsi="Times New Roman" w:eastAsia="Times New Roman" w:cs="Times New Roman"/>
        </w:rPr>
        <w:t>Les versets dix, onze et douze du chapitre onze de Daniel identifient la guerre d’Ukraine qui a commencé en 2014 et qui s’achèvera par une victoire russe, suivie de l’effondrement de l’actuelle confédération russe, comme l’a préfiguré l’effondrement de l’Union soviétique en 1989.</w:t>
      </w:r>
    </w:p>
    <w:p>
      <w:pPr>
        <w:pStyle w:val="ArticleBody"/>
        <w:jc w:val="left"/>
      </w:pPr>
      <w:r>
        <w:rPr>
          <w:rFonts w:ascii="Times New Roman" w:hAnsi="Times New Roman" w:eastAsia="Times New Roman" w:cs="Times New Roman"/>
        </w:rPr>
        <w:t>Les versets treize à quinze mettent en évidence trois lignes de prophétie. La ligne de la guérison de la papauté, qui commence lorsque la prostituée de Tyr sort de sa retraite, est préfigurée par le verset quatorze, et son accomplissement historique est l’an 200 av. J.-C., lorsque la Rome païenne entra dans l’histoire prophétique comme les violents de ton peuple, qui s’élèvent, mais tombent.</w:t>
      </w:r>
    </w:p>
    <w:p>
      <w:pPr>
        <w:pStyle w:val="ArticleBody"/>
        <w:jc w:val="left"/>
      </w:pPr>
      <w:r>
        <w:rPr>
          <w:rFonts w:ascii="Times New Roman" w:hAnsi="Times New Roman" w:eastAsia="Times New Roman" w:cs="Times New Roman"/>
        </w:rPr>
        <w:t>Dans les trois versets, la lignée prophétique du républicanisme apostat est représentée par l’histoire d’Antiochus III, qui préfigure le rôle de Trump en tant que huitième président, c’est-à-dire issu des sept. Les versets identifient également la lignée prophétique du protestantisme apostat telle qu’elle est représentée par l’histoire des Maccabées.</w:t>
      </w:r>
    </w:p>
    <w:p>
      <w:pPr>
        <w:pStyle w:val="ArticleBody"/>
        <w:jc w:val="left"/>
      </w:pPr>
      <w:r>
        <w:rPr>
          <w:rFonts w:ascii="Times New Roman" w:hAnsi="Times New Roman" w:eastAsia="Times New Roman" w:cs="Times New Roman"/>
        </w:rPr>
        <w:t>Línea profética del verdadero cuerno protestante, que comenzó como el movimiento filadelfiano de los milleritas y que termina como el movimiento filadelfiano de los ciento cuarenta y cuatro mil, ha de superponerse también sobre la historia oculta del versículo cuarenta. Los siete truenos de Apocalipsis capítulo diez son un símbolo tanto del movimiento filadelfiano de los milleritas como de los ciento cuarenta y cuatro mil. El sellamiento de la profecía, y el desellamiento de la profecía, son llevados a cabo por Cristo, y cuando Él lo hace, se presenta a Sí mismo como el León de la tribu de Judá. En el capítulo diez, el ángel que la Hermana White dice que no es “menos personaje que Jesucristo”, “clamó con grande voz, como cuando ruge un león: y cuando hubo clamado, siete truenos emitieron sus voces.”</w:t>
      </w:r>
    </w:p>
    <w:p>
      <w:pPr>
        <w:pStyle w:val="ArticleBody"/>
        <w:jc w:val="left"/>
      </w:pPr>
      <w:r>
        <w:rPr>
          <w:rFonts w:ascii="Times New Roman" w:hAnsi="Times New Roman" w:eastAsia="Times New Roman" w:cs="Times New Roman"/>
        </w:rPr>
        <w:t>Le Christ, en tant que Lion de la tribu de Juda, plaça les sept tonnerres dans l’histoire prophétique vers l’an 100, et Il les scella aussitôt, car « quand les sept tonnerres eurent fait entendre leurs voix », Jean « allait écrire ; et » il « entendit du ciel une voix disant » : « Scelle ce qu’ont dit les sept tonnerres, et ne l’écris pas. »</w:t>
      </w:r>
    </w:p>
    <w:p>
      <w:pPr>
        <w:pStyle w:val="ArticleBody"/>
        <w:jc w:val="left"/>
      </w:pPr>
      <w:r>
        <w:rPr>
          <w:rFonts w:ascii="Times New Roman" w:hAnsi="Times New Roman" w:eastAsia="Times New Roman" w:cs="Times New Roman"/>
        </w:rPr>
        <w:t>Kujichua kwa historia iliyofichwa ya aya ya arobaini sasa kunafunguliwa muhuri na Simba wa kabila la Yuda, na katika historia hiyo mstari wa pembe ya kweli ya Kiprotestanti unawakilishwa na ngurumo saba. Sauti ya mtu aliaye nyikani ilipoanza kulia mwezi Julai 2023, Simba wa kabila la Yuda alifunua tena ufunuo mwingine wa kile ambacho “Ngurumo Saba” zinawakilisha.</w:t>
      </w:r>
    </w:p>
    <w:p>
      <w:pPr>
        <w:pStyle w:val="ArticleBody"/>
        <w:jc w:val="left"/>
      </w:pPr>
      <w:r>
        <w:rPr>
          <w:rFonts w:ascii="Times New Roman" w:hAnsi="Times New Roman" w:eastAsia="Times New Roman" w:cs="Times New Roman"/>
        </w:rPr>
        <w:t>Les sept tonnerres représentent l’histoire allant du 18 juillet 2020, lorsque le mouvement des cent quarante-quatre mille fut mis à mort dans les rues, jusqu’à la loi du dimanche qui doit bientôt venir. La ligne des sept tonnerres identifie des « événements » qui se produisent dans cette histoire. La première déception est suivie du message du Cri de Minuit, puis de la loi du dimanche. Lorsque sœur White identifia les sept tonnerres, soit comme l’histoire du premier et du deuxième anges, soit comme des événements futurs, dans les deux représentations elle les identifia comme représentant des « événements ».</w:t>
      </w:r>
    </w:p>
    <w:p>
      <w:pPr>
        <w:pStyle w:val="ArticleBody"/>
        <w:jc w:val="left"/>
      </w:pPr>
      <w:r>
        <w:rPr>
          <w:rFonts w:ascii="Times New Roman" w:hAnsi="Times New Roman" w:eastAsia="Times New Roman" w:cs="Times New Roman"/>
        </w:rPr>
        <w:t>Le message du Cri de Minuit peut sembler être quelque chose qui n’est pas un « événement », mais, dans l’histoire millérite, la réunion de camp d’Exeter, du 12 au 17 août 1844, fut un « événement », avec plusieurs détails connexes s’y rattachant. Pourtant, l’arrivée du message du Cri de Minuit à cette réunion de camp fut aussi un accomplissement de la parabole des dix vierges de Matthieu vingt-cinq. L’« événement » de la réunion de camp d’Exeter fut un accomplissement des sept tonnerres, mais la parabole des dix vierges ne traite pas de ces événements ; elle traite de l’« expérience » des vierges,</w:t>
      </w:r>
    </w:p>
    <w:p>
      <w:pPr>
        <w:pStyle w:val="ArticleScripture"/>
        <w:jc w:val="left"/>
      </w:pPr>
      <w:r>
        <w:rPr>
          <w:rFonts w:ascii="Times New Roman" w:hAnsi="Times New Roman" w:eastAsia="Times New Roman" w:cs="Times New Roman"/>
        </w:rPr>
        <w:t>“Παλαλόγ νγκ σαμπούλονγκ δάλαγα σα Ματέο 25 άι νάγκλαλαράουαν ντιν νγκ καρανάσαν νγκ μγά ταόνγκ Αντβεντίστα.” The Great Controversy, 393.</w:t>
      </w:r>
    </w:p>
    <w:p>
      <w:pPr>
        <w:pStyle w:val="ArticleBody"/>
        <w:jc w:val="left"/>
      </w:pPr>
      <w:r>
        <w:rPr>
          <w:rFonts w:ascii="Times New Roman" w:hAnsi="Times New Roman" w:eastAsia="Times New Roman" w:cs="Times New Roman"/>
        </w:rPr>
        <w:t>De même que les sept tonnerres identifient l’histoire parallèle du mouvement des premier et troisième anges, de même la parabole des dix vierges identifie également les deux histoires parallèles.</w:t>
      </w:r>
    </w:p>
    <w:p>
      <w:pPr>
        <w:pStyle w:val="ArticleScripture"/>
        <w:jc w:val="left"/>
      </w:pPr>
      <w:r>
        <w:rPr>
          <w:rFonts w:ascii="Times New Roman" w:hAnsi="Times New Roman" w:eastAsia="Times New Roman" w:cs="Times New Roman"/>
        </w:rPr>
        <w:t>«Меня часто отсылают к притче о десяти девах, пять из которых были мудрыми, а пять — неразумными. Эта притча исполнилась и исполнится до последней буквы, ибо она имеет особое применение к настоящему времени и, подобно вести третьего ангела, исполнилась и будет оставаться истиной для настоящего времени до самого конца времени». Review and Herald, August 19, 1890.</w:t>
      </w:r>
    </w:p>
    <w:p>
      <w:pPr>
        <w:pStyle w:val="ArticleBody"/>
        <w:jc w:val="left"/>
      </w:pPr>
      <w:r>
        <w:rPr>
          <w:rFonts w:ascii="Times New Roman" w:hAnsi="Times New Roman" w:eastAsia="Times New Roman" w:cs="Times New Roman"/>
        </w:rPr>
        <w:t>Le symbole des sept tonnerres représente les « événements » des histoires parallèles, et les dix vierges représentent l’« expérience » des vierges sages et des vierges folles dans ces deux histoires parallèles. L’expérience millérite, jusqu’en 1856, fut l’expérience de Philadelphie, et l’expérience du mouvement des cent quarante-quatre mille fut l’expérience de Laodicée, jusqu’à peu après juillet 2023. Dans les deux histoires, les vierges sages et les vierges folles seront manifestées à l’arrivée du message du Cri de Minuit, car c’est alors que l’on verra qui avait l’huile de la préparation.</w:t>
      </w:r>
    </w:p>
    <w:p>
      <w:pPr>
        <w:pStyle w:val="ArticleScripture"/>
        <w:jc w:val="left"/>
      </w:pPr>
      <w:r>
        <w:rPr>
          <w:rFonts w:ascii="Times New Roman" w:hAnsi="Times New Roman" w:eastAsia="Times New Roman" w:cs="Times New Roman"/>
        </w:rPr>
        <w:t>« L’état de l’Église représenté par les vierges folles est également évoqué comme l’état de Laodicée. » Review and Herald, 19 août 1890.</w:t>
      </w:r>
    </w:p>
    <w:p>
      <w:pPr>
        <w:pStyle w:val="ArticleBody"/>
        <w:jc w:val="left"/>
      </w:pPr>
      <w:r>
        <w:rPr>
          <w:rFonts w:ascii="Times New Roman" w:hAnsi="Times New Roman" w:eastAsia="Times New Roman" w:cs="Times New Roman"/>
        </w:rPr>
        <w:t>Na ba han a ka jied ban bam ïa ka khubor kaba don ha ka kti jong u Michael, u arkangel uba la hiar ha ka jingïaiñ ba kut jong u Naitung, 2023, kin sah ha ka jinglong jong ka Laodicea; bad kito kiba shim ïa ka kotrit bad bam ïa ka, kin leit noh sha ka jinglong jong ka Philadelphia. Ka jinglong jong ka Laodicea ka pynpaw ïa ka jaitbynriew, lane ïa u briew, na shabar jong uba U Khrist U don, hynrei U dang wad jingïoh rung; bad ka jinglong jong ka Philadelphia la pyni kum ka jingïasoh lang jong ka Jinglong Blei bad ka jinglong briew. Ki hynñiew tylli ki pyrthat ki ithuh ïa ki “jingjia” jong ka lain jong ka shing ba shisha protestant kaba la buh shapoh ka histori ba rieh jong ka dkhot ba sawphew, kaba sdang ha ka 18 tarik, Naitung, 2020 bad kaba kut ha ka Sunday law.</w:t>
      </w:r>
    </w:p>
    <w:p>
      <w:pPr>
        <w:pStyle w:val="ArticleBody"/>
        <w:jc w:val="left"/>
      </w:pPr>
      <w:r>
        <w:rPr>
          <w:rFonts w:ascii="Times New Roman" w:hAnsi="Times New Roman" w:eastAsia="Times New Roman" w:cs="Times New Roman"/>
        </w:rPr>
        <w:t>La parabole des dix vierges identifie « l’expérience » de ceux qui sont appelés à faire partie des cent quarante-quatre mille durant cette même période. Les « événements » qui identifient l’histoire des cent quarante-quatre mille depuis le 18 juillet 2020 jusqu’à la loi du dimanche, ainsi que « l’expérience » des deux classes au cours de cette histoire, s’accompagnent de l’identification de l’œuvre qui fut et qui est assignée dans ces deux histoires parallèles. Cette œuvre est représentée par les anges d’Apocalypse quatorze, et l’œuvre des millérites était représentée par le premier et le deuxième anges, tandis que l’œuvre des cent quarante-quatre mille est représentée par le troisième ange.</w:t>
      </w:r>
    </w:p>
    <w:p>
      <w:pPr>
        <w:pStyle w:val="ArticleScripture"/>
        <w:jc w:val="left"/>
      </w:pPr>
      <w:r>
        <w:rPr>
          <w:rFonts w:ascii="Times New Roman" w:hAnsi="Times New Roman" w:eastAsia="Times New Roman" w:cs="Times New Roman"/>
        </w:rPr>
        <w:t>«Мен қымбатты мүмкіндіктерге ие болып, тәжірибе жинақтадым. Мен бірінші, екінші және үшінші періштелердің хабарларында тәжірибе алдым. Періштелер аспанның ортасында ұшып, дүниеге ескерту хабарын жариялап, жер тарихының соңғы күндерінде өмір сүріп жатқан халыққа тікелей қатысты хабар жеткізушілер ретінде бейнеленген. Ешкім бұл періштелердің даусын естімейді, өйткені олар көктегі әлеммен үйлесімде еңбек етіп жүрген Құдай халқын бейнелейтін рәміз болып табылады. Құдай Рухымен нұрландырылған, ақиқат арқылы қасиеттелген ерлер мен әйелдер осы үш хабарды өз тәртібімен жариялайды». Life Sketches, 429.</w:t>
      </w:r>
    </w:p>
    <w:p>
      <w:pPr>
        <w:pStyle w:val="ArticleBody"/>
        <w:jc w:val="left"/>
      </w:pPr>
      <w:r>
        <w:rPr>
          <w:rFonts w:ascii="Times New Roman" w:hAnsi="Times New Roman" w:eastAsia="Times New Roman" w:cs="Times New Roman"/>
        </w:rPr>
        <w:t>L’ouvrage confié au peuple de Dieu des derniers jours le 11 septembre 2001, au commencement du temps du scellement, est de nouveau confié au peuple de Dieu des derniers jours à la fin du temps du scellement, lorsque Michel est descendu en juillet 2023.</w:t>
      </w:r>
    </w:p>
    <w:p>
      <w:pPr>
        <w:pStyle w:val="ArticleScripture"/>
        <w:jc w:val="left"/>
      </w:pPr>
      <w:r>
        <w:rPr>
          <w:rFonts w:ascii="Times New Roman" w:hAnsi="Times New Roman" w:eastAsia="Times New Roman" w:cs="Times New Roman"/>
        </w:rPr>
        <w:t>“Jean vit ‘un autre ange descendre du ciel, ayant une grande puissance; et toute la terre fut illuminée de sa gloire.’ Apocalypse 18:1. Cette œuvre est la voix du peuple de Dieu proclamant au monde un message d’avertissement.” The 1888 Materials, 926.</w:t>
      </w:r>
    </w:p>
    <w:p>
      <w:pPr>
        <w:pStyle w:val="ArticleBody"/>
        <w:jc w:val="left"/>
      </w:pPr>
      <w:r>
        <w:rPr>
          <w:rFonts w:ascii="Times New Roman" w:hAnsi="Times New Roman" w:eastAsia="Times New Roman" w:cs="Times New Roman"/>
        </w:rPr>
        <w:t>Comme pour les « événements » représentés par les sept tonnerres, et l’« expérience » représentée par les dix vierges, l’œuvre des trois anges représente deux histoires parallèles.</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黙示録</w:t>
      </w:r>
      <w:r>
        <w:rPr>
          <w:rFonts w:ascii="Times New Roman" w:hAnsi="Times New Roman" w:eastAsia="Times New Roman" w:cs="Times New Roman"/>
        </w:rPr>
        <w:t>14</w:t>
      </w:r>
      <w:r>
        <w:rPr>
          <w:rFonts w:ascii="Microsoft YaHei" w:hAnsi="Microsoft YaHei" w:eastAsia="Microsoft YaHei" w:cs="Microsoft YaHei"/>
        </w:rPr>
        <w:t>章</w:t>
      </w:r>
      <w:r>
        <w:rPr>
          <w:rFonts w:ascii="MS Gothic" w:hAnsi="MS Gothic" w:eastAsia="MS Gothic" w:cs="MS Gothic"/>
        </w:rPr>
        <w:t>の</w:t>
      </w:r>
      <w:r>
        <w:rPr>
          <w:rFonts w:ascii="Microsoft YaHei" w:hAnsi="Microsoft YaHei" w:eastAsia="Microsoft YaHei" w:cs="Microsoft YaHei"/>
        </w:rPr>
        <w:t>諸</w:t>
      </w:r>
      <w:r>
        <w:rPr>
          <w:rFonts w:ascii="MS Gothic" w:hAnsi="MS Gothic" w:eastAsia="MS Gothic" w:cs="MS Gothic"/>
        </w:rPr>
        <w:t>メッセージに</w:t>
      </w:r>
      <w:r>
        <w:rPr>
          <w:rFonts w:ascii="Microsoft YaHei" w:hAnsi="Microsoft YaHei" w:eastAsia="Microsoft YaHei" w:cs="Microsoft YaHei"/>
        </w:rPr>
        <w:t>、預言</w:t>
      </w:r>
      <w:r>
        <w:rPr>
          <w:rFonts w:ascii="MS Gothic" w:hAnsi="MS Gothic" w:eastAsia="MS Gothic" w:cs="MS Gothic"/>
        </w:rPr>
        <w:t>の</w:t>
      </w:r>
      <w:r>
        <w:rPr>
          <w:rFonts w:ascii="Microsoft YaHei" w:hAnsi="Microsoft YaHei" w:eastAsia="Microsoft YaHei" w:cs="Microsoft YaHei"/>
        </w:rPr>
        <w:t>流</w:t>
      </w:r>
      <w:r>
        <w:rPr>
          <w:rFonts w:ascii="MS Gothic" w:hAnsi="MS Gothic" w:eastAsia="MS Gothic" w:cs="MS Gothic"/>
        </w:rPr>
        <w:t>れの</w:t>
      </w:r>
      <w:r>
        <w:rPr>
          <w:rFonts w:ascii="Microsoft YaHei" w:hAnsi="Microsoft YaHei" w:eastAsia="Microsoft YaHei" w:cs="Microsoft YaHei"/>
        </w:rPr>
        <w:t>中</w:t>
      </w:r>
      <w:r>
        <w:rPr>
          <w:rFonts w:ascii="MS Gothic" w:hAnsi="MS Gothic" w:eastAsia="MS Gothic" w:cs="MS Gothic"/>
        </w:rPr>
        <w:t>でその</w:t>
      </w:r>
      <w:r>
        <w:rPr>
          <w:rFonts w:ascii="Microsoft YaHei" w:hAnsi="Microsoft YaHei" w:eastAsia="Microsoft YaHei" w:cs="Microsoft YaHei"/>
        </w:rPr>
        <w:t>位置</w:t>
      </w:r>
      <w:r>
        <w:rPr>
          <w:rFonts w:ascii="MS Gothic" w:hAnsi="MS Gothic" w:eastAsia="MS Gothic" w:cs="MS Gothic"/>
        </w:rPr>
        <w:t>をお</w:t>
      </w:r>
      <w:r>
        <w:rPr>
          <w:rFonts w:ascii="Microsoft YaHei" w:hAnsi="Microsoft YaHei" w:eastAsia="Microsoft YaHei" w:cs="Microsoft YaHei"/>
        </w:rPr>
        <w:t>与</w:t>
      </w:r>
      <w:r>
        <w:rPr>
          <w:rFonts w:ascii="MS Gothic" w:hAnsi="MS Gothic" w:eastAsia="MS Gothic" w:cs="MS Gothic"/>
        </w:rPr>
        <w:t>えになったのであり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働</w:t>
      </w:r>
      <w:r>
        <w:rPr>
          <w:rFonts w:ascii="MS Gothic" w:hAnsi="MS Gothic" w:eastAsia="MS Gothic" w:cs="MS Gothic"/>
        </w:rPr>
        <w:t>きはこの</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終結</w:t>
      </w:r>
      <w:r>
        <w:rPr>
          <w:rFonts w:ascii="MS Gothic" w:hAnsi="MS Gothic" w:eastAsia="MS Gothic" w:cs="MS Gothic"/>
        </w:rPr>
        <w:t>に</w:t>
      </w:r>
      <w:r>
        <w:rPr>
          <w:rFonts w:ascii="Microsoft YaHei" w:hAnsi="Microsoft YaHei" w:eastAsia="Microsoft YaHei" w:cs="Microsoft YaHei"/>
        </w:rPr>
        <w:t>至</w:t>
      </w:r>
      <w:r>
        <w:rPr>
          <w:rFonts w:ascii="MS Gothic" w:hAnsi="MS Gothic" w:eastAsia="MS Gothic" w:cs="MS Gothic"/>
        </w:rPr>
        <w:t>るまでやむことがない</w:t>
      </w:r>
      <w:r>
        <w:rPr>
          <w:rFonts w:ascii="Times New Roman" w:hAnsi="Times New Roman" w:eastAsia="Times New Roman" w:cs="Times New Roman"/>
        </w:rPr>
        <w:t>.</w:t>
      </w:r>
      <w:r>
        <w:rPr>
          <w:rFonts w:ascii="Microsoft YaHei" w:hAnsi="Microsoft YaHei" w:eastAsia="Microsoft YaHei" w:cs="Microsoft YaHei"/>
        </w:rPr>
        <w:t>第一天使</w:t>
      </w:r>
      <w:r>
        <w:rPr>
          <w:rFonts w:ascii="MS Gothic" w:hAnsi="MS Gothic" w:eastAsia="MS Gothic" w:cs="MS Gothic"/>
        </w:rPr>
        <w:t>と</w:t>
      </w:r>
      <w:r>
        <w:rPr>
          <w:rFonts w:ascii="Microsoft YaHei" w:hAnsi="Microsoft YaHei" w:eastAsia="Microsoft YaHei" w:cs="Microsoft YaHei"/>
        </w:rPr>
        <w:t>第二天使</w:t>
      </w:r>
      <w:r>
        <w:rPr>
          <w:rFonts w:ascii="MS Gothic" w:hAnsi="MS Gothic" w:eastAsia="MS Gothic" w:cs="MS Gothic"/>
        </w:rPr>
        <w:t>のメッセージは</w:t>
      </w:r>
      <w:r>
        <w:rPr>
          <w:rFonts w:ascii="Microsoft YaHei" w:hAnsi="Microsoft YaHei" w:eastAsia="Microsoft YaHei" w:cs="Microsoft YaHei"/>
        </w:rPr>
        <w:t>、</w:t>
      </w:r>
      <w:r>
        <w:rPr>
          <w:rFonts w:ascii="MS Gothic" w:hAnsi="MS Gothic" w:eastAsia="MS Gothic" w:cs="MS Gothic"/>
        </w:rPr>
        <w:t>なおこの</w:t>
      </w:r>
      <w:r>
        <w:rPr>
          <w:rFonts w:ascii="Microsoft YaHei" w:hAnsi="Microsoft YaHei" w:eastAsia="Microsoft YaHei" w:cs="Microsoft YaHei"/>
        </w:rPr>
        <w:t>時</w:t>
      </w:r>
      <w:r>
        <w:rPr>
          <w:rFonts w:ascii="MS Gothic" w:hAnsi="MS Gothic" w:eastAsia="MS Gothic" w:cs="MS Gothic"/>
        </w:rPr>
        <w:t>のための</w:t>
      </w:r>
      <w:r>
        <w:rPr>
          <w:rFonts w:ascii="Microsoft YaHei" w:hAnsi="Microsoft YaHei" w:eastAsia="Microsoft YaHei" w:cs="Microsoft YaHei"/>
        </w:rPr>
        <w:t>真理</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後</w:t>
      </w:r>
      <w:r>
        <w:rPr>
          <w:rFonts w:ascii="MS Gothic" w:hAnsi="MS Gothic" w:eastAsia="MS Gothic" w:cs="MS Gothic"/>
        </w:rPr>
        <w:t>に</w:t>
      </w:r>
      <w:r>
        <w:rPr>
          <w:rFonts w:ascii="Microsoft YaHei" w:hAnsi="Microsoft YaHei" w:eastAsia="Microsoft YaHei" w:cs="Microsoft YaHei"/>
        </w:rPr>
        <w:t>続</w:t>
      </w:r>
      <w:r>
        <w:rPr>
          <w:rFonts w:ascii="MS Gothic" w:hAnsi="MS Gothic" w:eastAsia="MS Gothic" w:cs="MS Gothic"/>
        </w:rPr>
        <w:t>くこのメッセージと</w:t>
      </w:r>
      <w:r>
        <w:rPr>
          <w:rFonts w:ascii="Microsoft YaHei" w:hAnsi="Microsoft YaHei" w:eastAsia="Microsoft YaHei" w:cs="Microsoft YaHei"/>
        </w:rPr>
        <w:t>並行</w:t>
      </w:r>
      <w:r>
        <w:rPr>
          <w:rFonts w:ascii="MS Gothic" w:hAnsi="MS Gothic" w:eastAsia="MS Gothic" w:cs="MS Gothic"/>
        </w:rPr>
        <w:t>して</w:t>
      </w:r>
      <w:r>
        <w:rPr>
          <w:rFonts w:ascii="Microsoft YaHei" w:hAnsi="Microsoft YaHei" w:eastAsia="Microsoft YaHei" w:cs="Microsoft YaHei"/>
        </w:rPr>
        <w:t>進</w:t>
      </w:r>
      <w:r>
        <w:rPr>
          <w:rFonts w:ascii="MS Gothic" w:hAnsi="MS Gothic" w:eastAsia="MS Gothic" w:cs="MS Gothic"/>
        </w:rPr>
        <w:t>むべきものである</w:t>
      </w:r>
      <w:r>
        <w:rPr>
          <w:rFonts w:ascii="Times New Roman" w:hAnsi="Times New Roman" w:eastAsia="Times New Roman" w:cs="Times New Roman"/>
        </w:rPr>
        <w:t>.</w:t>
      </w:r>
      <w:r>
        <w:rPr>
          <w:rFonts w:ascii="Microsoft YaHei" w:hAnsi="Microsoft YaHei" w:eastAsia="Microsoft YaHei" w:cs="Microsoft YaHei"/>
        </w:rPr>
        <w:t>第三天使</w:t>
      </w:r>
      <w:r>
        <w:rPr>
          <w:rFonts w:ascii="MS Gothic" w:hAnsi="MS Gothic" w:eastAsia="MS Gothic" w:cs="MS Gothic"/>
        </w:rPr>
        <w:t>は</w:t>
      </w:r>
      <w:r>
        <w:rPr>
          <w:rFonts w:ascii="Microsoft YaHei" w:hAnsi="Microsoft YaHei" w:eastAsia="Microsoft YaHei" w:cs="Microsoft YaHei"/>
        </w:rPr>
        <w:t>大声</w:t>
      </w:r>
      <w:r>
        <w:rPr>
          <w:rFonts w:ascii="MS Gothic" w:hAnsi="MS Gothic" w:eastAsia="MS Gothic" w:cs="MS Gothic"/>
        </w:rPr>
        <w:t>をもってその</w:t>
      </w:r>
      <w:r>
        <w:rPr>
          <w:rFonts w:ascii="Microsoft YaHei" w:hAnsi="Microsoft YaHei" w:eastAsia="Microsoft YaHei" w:cs="Microsoft YaHei"/>
        </w:rPr>
        <w:t>警告</w:t>
      </w:r>
      <w:r>
        <w:rPr>
          <w:rFonts w:ascii="MS Gothic" w:hAnsi="MS Gothic" w:eastAsia="MS Gothic" w:cs="MS Gothic"/>
        </w:rPr>
        <w:t>を</w:t>
      </w:r>
      <w:r>
        <w:rPr>
          <w:rFonts w:ascii="Microsoft YaHei" w:hAnsi="Microsoft YaHei" w:eastAsia="Microsoft YaHei" w:cs="Microsoft YaHei"/>
        </w:rPr>
        <w:t>宣</w:t>
      </w:r>
      <w:r>
        <w:rPr>
          <w:rFonts w:ascii="MS Gothic" w:hAnsi="MS Gothic" w:eastAsia="MS Gothic" w:cs="MS Gothic"/>
        </w:rPr>
        <w:t>べ</w:t>
      </w:r>
      <w:r>
        <w:rPr>
          <w:rFonts w:ascii="Microsoft YaHei" w:hAnsi="Microsoft YaHei" w:eastAsia="Microsoft YaHei" w:cs="Microsoft YaHei"/>
        </w:rPr>
        <w:t>伝</w:t>
      </w:r>
      <w:r>
        <w:rPr>
          <w:rFonts w:ascii="MS Gothic" w:hAnsi="MS Gothic" w:eastAsia="MS Gothic" w:cs="MS Gothic"/>
        </w:rPr>
        <w:t>える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これらのことの</w:t>
      </w:r>
      <w:r>
        <w:rPr>
          <w:rFonts w:ascii="Microsoft YaHei" w:hAnsi="Microsoft YaHei" w:eastAsia="Microsoft YaHei" w:cs="Microsoft YaHei"/>
        </w:rPr>
        <w:t>後、</w:t>
      </w:r>
      <w:r>
        <w:rPr>
          <w:rFonts w:ascii="MS Gothic" w:hAnsi="MS Gothic" w:eastAsia="MS Gothic" w:cs="MS Gothic"/>
        </w:rPr>
        <w:t>わたしは</w:t>
      </w:r>
      <w:r>
        <w:rPr>
          <w:rFonts w:ascii="Microsoft YaHei" w:hAnsi="Microsoft YaHei" w:eastAsia="Microsoft YaHei" w:cs="Microsoft YaHei"/>
        </w:rPr>
        <w:t>、</w:t>
      </w:r>
      <w:r>
        <w:rPr>
          <w:rFonts w:ascii="MS Gothic" w:hAnsi="MS Gothic" w:eastAsia="MS Gothic" w:cs="MS Gothic"/>
        </w:rPr>
        <w:t>もうひとりの</w:t>
      </w:r>
      <w:r>
        <w:rPr>
          <w:rFonts w:ascii="Microsoft YaHei" w:hAnsi="Microsoft YaHei" w:eastAsia="Microsoft YaHei" w:cs="Microsoft YaHei"/>
        </w:rPr>
        <w:t>御使</w:t>
      </w:r>
      <w:r>
        <w:rPr>
          <w:rFonts w:ascii="MS Gothic" w:hAnsi="MS Gothic" w:eastAsia="MS Gothic" w:cs="MS Gothic"/>
        </w:rPr>
        <w:t>いが</w:t>
      </w:r>
      <w:r>
        <w:rPr>
          <w:rFonts w:ascii="Microsoft YaHei" w:hAnsi="Microsoft YaHei" w:eastAsia="Microsoft YaHei" w:cs="Microsoft YaHei"/>
        </w:rPr>
        <w:t>大</w:t>
      </w:r>
      <w:r>
        <w:rPr>
          <w:rFonts w:ascii="MS Gothic" w:hAnsi="MS Gothic" w:eastAsia="MS Gothic" w:cs="MS Gothic"/>
        </w:rPr>
        <w:t>いなる</w:t>
      </w:r>
      <w:r>
        <w:rPr>
          <w:rFonts w:ascii="Microsoft YaHei" w:hAnsi="Microsoft YaHei" w:eastAsia="Microsoft YaHei" w:cs="Microsoft YaHei"/>
        </w:rPr>
        <w:t>権威</w:t>
      </w:r>
      <w:r>
        <w:rPr>
          <w:rFonts w:ascii="MS Gothic" w:hAnsi="MS Gothic" w:eastAsia="MS Gothic" w:cs="MS Gothic"/>
        </w:rPr>
        <w:t>を</w:t>
      </w:r>
      <w:r>
        <w:rPr>
          <w:rFonts w:ascii="Microsoft YaHei" w:hAnsi="Microsoft YaHei" w:eastAsia="Microsoft YaHei" w:cs="Microsoft YaHei"/>
        </w:rPr>
        <w:t>帯</w:t>
      </w:r>
      <w:r>
        <w:rPr>
          <w:rFonts w:ascii="MS Gothic" w:hAnsi="MS Gothic" w:eastAsia="MS Gothic" w:cs="MS Gothic"/>
        </w:rPr>
        <w:t>びて</w:t>
      </w:r>
      <w:r>
        <w:rPr>
          <w:rFonts w:ascii="Microsoft YaHei" w:hAnsi="Microsoft YaHei" w:eastAsia="Microsoft YaHei" w:cs="Microsoft YaHei"/>
        </w:rPr>
        <w:t>天</w:t>
      </w:r>
      <w:r>
        <w:rPr>
          <w:rFonts w:ascii="MS Gothic" w:hAnsi="MS Gothic" w:eastAsia="MS Gothic" w:cs="MS Gothic"/>
        </w:rPr>
        <w:t>から</w:t>
      </w:r>
      <w:r>
        <w:rPr>
          <w:rFonts w:ascii="Microsoft YaHei" w:hAnsi="Microsoft YaHei" w:eastAsia="Microsoft YaHei" w:cs="Microsoft YaHei"/>
        </w:rPr>
        <w:t>下</w:t>
      </w:r>
      <w:r>
        <w:rPr>
          <w:rFonts w:ascii="MS Gothic" w:hAnsi="MS Gothic" w:eastAsia="MS Gothic" w:cs="MS Gothic"/>
        </w:rPr>
        <w:t>って</w:t>
      </w:r>
      <w:r>
        <w:rPr>
          <w:rFonts w:ascii="Microsoft YaHei" w:hAnsi="Microsoft YaHei" w:eastAsia="Microsoft YaHei" w:cs="Microsoft YaHei"/>
        </w:rPr>
        <w:t>来</w:t>
      </w:r>
      <w:r>
        <w:rPr>
          <w:rFonts w:ascii="MS Gothic" w:hAnsi="MS Gothic" w:eastAsia="MS Gothic" w:cs="MS Gothic"/>
        </w:rPr>
        <w:t>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地</w:t>
      </w:r>
      <w:r>
        <w:rPr>
          <w:rFonts w:ascii="MS Gothic" w:hAnsi="MS Gothic" w:eastAsia="MS Gothic" w:cs="MS Gothic"/>
        </w:rPr>
        <w:t>はその</w:t>
      </w:r>
      <w:r>
        <w:rPr>
          <w:rFonts w:ascii="Microsoft YaHei" w:hAnsi="Microsoft YaHei" w:eastAsia="Microsoft YaHei" w:cs="Microsoft YaHei"/>
        </w:rPr>
        <w:t>栄光</w:t>
      </w:r>
      <w:r>
        <w:rPr>
          <w:rFonts w:ascii="MS Gothic" w:hAnsi="MS Gothic" w:eastAsia="MS Gothic" w:cs="MS Gothic"/>
        </w:rPr>
        <w:t>によって</w:t>
      </w:r>
      <w:r>
        <w:rPr>
          <w:rFonts w:ascii="Microsoft YaHei" w:hAnsi="Microsoft YaHei" w:eastAsia="Microsoft YaHei" w:cs="Microsoft YaHei"/>
        </w:rPr>
        <w:t>明</w:t>
      </w:r>
      <w:r>
        <w:rPr>
          <w:rFonts w:ascii="MS Gothic" w:hAnsi="MS Gothic" w:eastAsia="MS Gothic" w:cs="MS Gothic"/>
        </w:rPr>
        <w:t>るくされた</w:t>
      </w:r>
      <w:r>
        <w:rPr>
          <w:rFonts w:ascii="Microsoft YaHei" w:hAnsi="Microsoft YaHei" w:eastAsia="Microsoft YaHei" w:cs="Microsoft YaHei"/>
        </w:rPr>
        <w:t>』</w:t>
      </w:r>
      <w:r>
        <w:rPr>
          <w:rFonts w:ascii="MS Gothic" w:hAnsi="MS Gothic" w:eastAsia="MS Gothic" w:cs="MS Gothic"/>
        </w:rPr>
        <w:t>とヨハネは</w:t>
      </w:r>
      <w:r>
        <w:rPr>
          <w:rFonts w:ascii="Microsoft YaHei" w:hAnsi="Microsoft YaHei" w:eastAsia="Microsoft YaHei" w:cs="Microsoft YaHei"/>
        </w:rPr>
        <w:t>言</w:t>
      </w:r>
      <w:r>
        <w:rPr>
          <w:rFonts w:ascii="MS Gothic" w:hAnsi="MS Gothic" w:eastAsia="MS Gothic" w:cs="MS Gothic"/>
        </w:rPr>
        <w:t>った</w:t>
      </w:r>
      <w:r>
        <w:rPr>
          <w:rFonts w:ascii="Times New Roman" w:hAnsi="Times New Roman" w:eastAsia="Times New Roman" w:cs="Times New Roman"/>
        </w:rPr>
        <w:t>.</w:t>
      </w:r>
      <w:r>
        <w:rPr>
          <w:rFonts w:ascii="MS Gothic" w:hAnsi="MS Gothic" w:eastAsia="MS Gothic" w:cs="MS Gothic"/>
        </w:rPr>
        <w:t>この</w:t>
      </w:r>
      <w:r>
        <w:rPr>
          <w:rFonts w:ascii="Microsoft YaHei" w:hAnsi="Microsoft YaHei" w:eastAsia="Microsoft YaHei" w:cs="Microsoft YaHei"/>
        </w:rPr>
        <w:t>照明</w:t>
      </w:r>
      <w:r>
        <w:rPr>
          <w:rFonts w:ascii="MS Gothic" w:hAnsi="MS Gothic" w:eastAsia="MS Gothic" w:cs="MS Gothic"/>
        </w:rPr>
        <w:t>のうちに</w:t>
      </w:r>
      <w:r>
        <w:rPr>
          <w:rFonts w:ascii="Microsoft YaHei" w:hAnsi="Microsoft YaHei" w:eastAsia="Microsoft YaHei" w:cs="Microsoft YaHei"/>
        </w:rPr>
        <w:t>、三</w:t>
      </w:r>
      <w:r>
        <w:rPr>
          <w:rFonts w:ascii="MS Gothic" w:hAnsi="MS Gothic" w:eastAsia="MS Gothic" w:cs="MS Gothic"/>
        </w:rPr>
        <w:t>つのメッセージすべての</w:t>
      </w:r>
      <w:r>
        <w:rPr>
          <w:rFonts w:ascii="Microsoft YaHei" w:hAnsi="Microsoft YaHei" w:eastAsia="Microsoft YaHei" w:cs="Microsoft YaHei"/>
        </w:rPr>
        <w:t>光</w:t>
      </w:r>
      <w:r>
        <w:rPr>
          <w:rFonts w:ascii="MS Gothic" w:hAnsi="MS Gothic" w:eastAsia="MS Gothic" w:cs="MS Gothic"/>
        </w:rPr>
        <w:t>が</w:t>
      </w:r>
      <w:r>
        <w:rPr>
          <w:rFonts w:ascii="Microsoft YaHei" w:hAnsi="Microsoft YaHei" w:eastAsia="Microsoft YaHei" w:cs="Microsoft YaHei"/>
        </w:rPr>
        <w:t>結合</w:t>
      </w:r>
      <w:r>
        <w:rPr>
          <w:rFonts w:ascii="MS Gothic" w:hAnsi="MS Gothic" w:eastAsia="MS Gothic" w:cs="MS Gothic"/>
        </w:rPr>
        <w:t>されている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The 1888 Materials, 804.</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पंद्रह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मक्काबी</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गणतंत्रवाद</w:t>
      </w:r>
      <w:r>
        <w:rPr>
          <w:rFonts w:ascii="Times New Roman" w:hAnsi="Times New Roman" w:eastAsia="Times New Roman" w:cs="Times New Roman"/>
        </w:rPr>
        <w:t xml:space="preserve"> (</w:t>
      </w:r>
      <w:r>
        <w:rPr>
          <w:rFonts w:ascii="Nirmala UI" w:hAnsi="Nirmala UI" w:eastAsia="Nirmala UI" w:cs="Nirmala UI"/>
        </w:rPr>
        <w:t>अन्तियोकुस</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लुटेरे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कार्यवाही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भविष्यद्वाणीगत</w:t>
      </w:r>
      <w:r>
        <w:rPr>
          <w:rFonts w:ascii="Times New Roman" w:hAnsi="Times New Roman" w:eastAsia="Times New Roman" w:cs="Times New Roman"/>
        </w:rPr>
        <w:t xml:space="preserve"> </w:t>
      </w:r>
      <w:r>
        <w:rPr>
          <w:rFonts w:ascii="Nirmala UI" w:hAnsi="Nirmala UI" w:eastAsia="Nirmala UI" w:cs="Nirmala UI"/>
        </w:rPr>
        <w:t>रेखाएँ</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घटनाओं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प्रोटेस्टेंट</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मुहरबंद</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जाए।</w:t>
      </w:r>
    </w:p>
    <w:p>
      <w:pPr>
        <w:pStyle w:val="ArticleBody"/>
        <w:jc w:val="left"/>
      </w:pPr>
      <w:r>
        <w:rPr>
          <w:rFonts w:ascii="Times New Roman" w:hAnsi="Times New Roman" w:eastAsia="Times New Roman" w:cs="Times New Roman"/>
        </w:rPr>
        <w:t>Kuondolewa kwa muhuri wa ngurumo saba mwishoni mwa wakati wa kutiwa muhuri kwa wale mia moja arobaini na nne elfu, jambo lililofananishwa kabla na kuondolewa kwa muhuri wa ngurumo saba mwanzoni mwa wakati wa kutiwa muhuri, kunapaswa kutumiwa (mstari juu ya mstari) kwa sehemu ile ya kitabu cha Danieli inayohusu siku za mwisho, na sehemu hiyo ni historia iliyofichika ya aya ya arobaini. Wakati kuondolewa huko kwa muhuri kutakapokamilishwa kikamilifu, kama kunavyowakilishwa na kufunguliwa kwa muhuri wa saba, Mungu atamwaga moto wa Roho Wake Mtakatifu juu ya wale mia moja arobaini na nne elfu, kama alivyofanya kwa wanafunzi wakati wa Pentekoste. Pentekoste inapatana na sheria ya Jumapili inayokuja upesi.</w:t>
      </w:r>
    </w:p>
    <w:p>
      <w:pPr>
        <w:pStyle w:val="ArticleScripture"/>
        <w:jc w:val="left"/>
      </w:pPr>
      <w:r>
        <w:rPr>
          <w:rFonts w:ascii="Times New Roman" w:hAnsi="Times New Roman" w:eastAsia="Times New Roman" w:cs="Times New Roman"/>
        </w:rPr>
        <w:t>«Ман бо орзуи самимӣ ба он замоне менигарам, ки воқеаҳои рӯзи Пантикост бо қудрате ҳатто бузургтар аз он маврид такрор хоҳанд шуд. Юҳанно мегӯяд: “Фариштаи дигареро дидам, ки аз осмон нозил мешуд, ва қудрати азим дошт; ва замин аз ҷалоли ӯ равшан гардид.” Он гоҳ, чунон ки дар айёми Пантикост буд, мардум ҳақиқатро хоҳанд шунид, ки ба онҳо гуфта мешавад, ҳар кас ба забони худ.»</w:t>
      </w:r>
    </w:p>
    <w:p>
      <w:pPr>
        <w:pStyle w:val="ArticleScripture"/>
        <w:jc w:val="left"/>
      </w:pPr>
      <w:r>
        <w:rPr>
          <w:rFonts w:ascii="Times New Roman" w:hAnsi="Times New Roman" w:eastAsia="Times New Roman" w:cs="Times New Roman"/>
        </w:rPr>
        <w:t>“Gud kan inda nytt liv i varje själ som uppriktigt önskar tjäna honom, och han kan röra vid läpparna med ett glödande kol från altaret och göra dem vältaliga i hans lov. Tusentals röster skall uppfyllas av kraft att förkunna de underbara sanningarna i Guds ord. Den stammande tungan skall lösas, och de blyga skall göras starka till att frimodigt bära vittnesbörd om sanningen. Må Herren hjälpa sitt folk att rena själens tempel från varje orenhet och att bevara en så nära förbindelse med honom att de må bli delaktiga av det sena regnet när det utgjuts.” Review and Herald, 20 juli 1886.</w:t>
      </w:r>
    </w:p>
    <w:p>
      <w:pPr>
        <w:pStyle w:val="ArticleBody"/>
        <w:jc w:val="left"/>
      </w:pPr>
      <w:r>
        <w:rPr>
          <w:rFonts w:ascii="Times New Roman" w:hAnsi="Times New Roman" w:eastAsia="Times New Roman" w:cs="Times New Roman"/>
        </w:rPr>
        <w:t>Qepheni ya kipindi cha kutiwa muhuri inaonyesha mwisho wa kipindi cha kutiwa muhuri. Hapo mwanzo mvua ya masika ilinyeshwa kwa kipimo, na mwishoni inanyeshwa bila kipimo. Malaika aliyeshuka tarehe 11 Septemba, 2001 ndiye malaika yuleyule aliyeshuka mwishoni mwa Julai, 2023. Historia ya Pentekoste ilianza katika ufufuo wa Kristo, na mwisho wa utimilifu mkamilifu wa Pentekoste uko katika ufufuo wa wale mia moja arobaini na nne elfu.</w:t>
      </w:r>
    </w:p>
    <w:p>
      <w:pPr>
        <w:pStyle w:val="ArticleScripture"/>
        <w:jc w:val="left"/>
      </w:pPr>
      <w:r>
        <w:rPr>
          <w:rFonts w:ascii="Times New Roman" w:hAnsi="Times New Roman" w:eastAsia="Times New Roman" w:cs="Times New Roman"/>
        </w:rPr>
        <w:t>« L’acte par lequel le Christ souffla sur ses disciples le Saint-Esprit et leur communiqua sa paix n’était que comme quelques gouttes avant l’abondante ondée qui devait être accordée au jour de la Pentecôte. » Spirit of Prophecy, volume 3, 243.</w:t>
      </w:r>
    </w:p>
    <w:p>
      <w:pPr>
        <w:pStyle w:val="ArticleBody"/>
        <w:jc w:val="left"/>
      </w:pPr>
      <w:r>
        <w:rPr>
          <w:rFonts w:ascii="Times New Roman" w:hAnsi="Times New Roman" w:eastAsia="Times New Roman" w:cs="Times New Roman"/>
        </w:rPr>
        <w:t>Kristus alipulizia wanafunzi Wake baada ya kufufuka Kwake, mara tu baada ya kuwa amepaa kwenda kwa Baba Yake. Aliposhuka kutoka kukutana na Baba Yake, aliwatokea wanafunzi na akawapulizia “matone machache” yaliyotangulia “manyunyu mengi ya Pentekoste.” Matone machache yanawakilisha mwanzo wa wakati wa kutiwa muhuri, na manyunyu mengi yanawakilisha mwisho wake. Mwanzo wa wakati wa kutiwa muhuri unarudiwa mwishoni, na kama vile Kristo alivyowapulizia wanafunzi Wake mwanzoni mwa kipindi cha Pentekoste, ndivyo alivyowapulizia watu Wake wa siku za mwisho mwishoni mwa kipindi hicho.</w:t>
      </w:r>
    </w:p>
    <w:p>
      <w:pPr>
        <w:pStyle w:val="ArticleScripture"/>
        <w:jc w:val="left"/>
      </w:pPr>
      <w:r>
        <w:rPr>
          <w:rFonts w:ascii="Times New Roman" w:hAnsi="Times New Roman" w:eastAsia="Times New Roman" w:cs="Times New Roman"/>
        </w:rPr>
        <w:t>« Les ossements desséchés ont besoin que le Saint-Esprit de Dieu souffle sur eux, afin qu’ils entrent en action, comme par une résurrection d’entre les morts. » Bible Training School, 1er décembre 1903.</w:t>
      </w:r>
    </w:p>
    <w:p>
      <w:pPr>
        <w:pStyle w:val="ArticleBody"/>
        <w:jc w:val="left"/>
      </w:pPr>
      <w:r>
        <w:rPr>
          <w:rFonts w:ascii="Times New Roman" w:hAnsi="Times New Roman" w:eastAsia="Times New Roman" w:cs="Times New Roman"/>
        </w:rPr>
        <w:t>La mort des deux témoins comprend le fait que ceux qui ont proclamé le faux message de Nashville et du 18 juillet 2020 l’ont fait en tant que Laodicéens. La résurrection des ossements desséchés représente une transition de l’état de Laodicée, qui est un état de mort, à l’état de Philadelphie, qui est la vie. Le souffle qui produit la résurrection et la transition est un message prophétique.</w:t>
      </w:r>
    </w:p>
    <w:p>
      <w:pPr>
        <w:pStyle w:val="ArticleScripture"/>
        <w:jc w:val="left"/>
      </w:pPr>
      <w:r>
        <w:rPr>
          <w:rFonts w:ascii="Times New Roman" w:hAnsi="Times New Roman" w:eastAsia="Times New Roman" w:cs="Times New Roman"/>
        </w:rPr>
        <w:t>«Quelle puissance devons-nous recevoir de Dieu pour que des cœurs glacés, n’ayant qu’une religion légaliste, puissent voir les choses meilleures qui leur ont été réservées — Christ et sa justice ! Il fallait un message vivifiant pour donner la vie aux ossements desséchés.» Manuscript Releases, vol. 12, p. 205.</w:t>
      </w:r>
    </w:p>
    <w:p>
      <w:pPr>
        <w:pStyle w:val="ArticleBody"/>
        <w:jc w:val="left"/>
      </w:pPr>
      <w:r>
        <w:rPr>
          <w:rFonts w:ascii="Times New Roman" w:hAnsi="Times New Roman" w:eastAsia="Times New Roman" w:cs="Times New Roman"/>
        </w:rPr>
        <w:t>Ang yugto sa pagitan ng pagkabuhay na mag-uli ni Cristo ay nahati sa dalawang panahon: ang una ay apatnapung araw, nang Siya’y saka umakyat sa langit, na sinundan ng sampung araw bago ang Pentecostes. Ang apatnapu ay sagisag ng ilang, gayundin ang tatlo at kalahating araw o ang isang libo at dalawang daan at animnapung taon o mga araw.</w:t>
      </w:r>
    </w:p>
    <w:p>
      <w:pPr>
        <w:pStyle w:val="ArticleBody"/>
        <w:jc w:val="left"/>
      </w:pPr>
      <w:r>
        <w:rPr>
          <w:rFonts w:ascii="Nirmala UI" w:hAnsi="Nirmala UI" w:eastAsia="Nirmala UI" w:cs="Nirmala UI"/>
        </w:rPr>
        <w:t>જુલાઈ</w:t>
      </w:r>
      <w:r>
        <w:rPr>
          <w:rFonts w:ascii="Times New Roman" w:hAnsi="Times New Roman" w:eastAsia="Times New Roman" w:cs="Times New Roman"/>
        </w:rPr>
        <w:t xml:space="preserve"> </w:t>
      </w:r>
      <w:r>
        <w:rPr>
          <w:rFonts w:ascii="Nirmala UI" w:hAnsi="Nirmala UI" w:eastAsia="Nirmala UI" w:cs="Nirmala UI"/>
        </w:rPr>
        <w:t>૨૦૨૩માં</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મીખાઈલ</w:t>
      </w:r>
      <w:r>
        <w:rPr>
          <w:rFonts w:ascii="Times New Roman" w:hAnsi="Times New Roman" w:eastAsia="Times New Roman" w:cs="Times New Roman"/>
        </w:rPr>
        <w:t xml:space="preserve"> </w:t>
      </w:r>
      <w:r>
        <w:rPr>
          <w:rFonts w:ascii="Nirmala UI" w:hAnsi="Nirmala UI" w:eastAsia="Nirmala UI" w:cs="Nirmala UI"/>
        </w:rPr>
        <w:t>અવતર્યા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રસ્તાઓમાં</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મરણના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અઢી</w:t>
      </w:r>
      <w:r>
        <w:rPr>
          <w:rFonts w:ascii="Times New Roman" w:hAnsi="Times New Roman" w:eastAsia="Times New Roman" w:cs="Times New Roman"/>
        </w:rPr>
        <w:t xml:space="preserve"> </w:t>
      </w:r>
      <w:r>
        <w:rPr>
          <w:rFonts w:ascii="Nirmala UI" w:hAnsi="Nirmala UI" w:eastAsia="Nirmala UI" w:cs="Nirmala UI"/>
        </w:rPr>
        <w:t>દિવસોનો</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કારણ</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ખ્રિસ્તે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લાખ</w:t>
      </w:r>
      <w:r>
        <w:rPr>
          <w:rFonts w:ascii="Times New Roman" w:hAnsi="Times New Roman" w:eastAsia="Times New Roman" w:cs="Times New Roman"/>
        </w:rPr>
        <w:t xml:space="preserve"> </w:t>
      </w:r>
      <w:r>
        <w:rPr>
          <w:rFonts w:ascii="Nirmala UI" w:hAnsi="Nirmala UI" w:eastAsia="Nirmala UI" w:cs="Nirmala UI"/>
        </w:rPr>
        <w:t>ચુંમાલીસ</w:t>
      </w:r>
      <w:r>
        <w:rPr>
          <w:rFonts w:ascii="Times New Roman" w:hAnsi="Times New Roman" w:eastAsia="Times New Roman" w:cs="Times New Roman"/>
        </w:rPr>
        <w:t xml:space="preserve"> </w:t>
      </w:r>
      <w:r>
        <w:rPr>
          <w:rFonts w:ascii="Nirmala UI" w:hAnsi="Nirmala UI" w:eastAsia="Nirmala UI" w:cs="Nirmala UI"/>
        </w:rPr>
        <w:t>હજાર</w:t>
      </w:r>
      <w:r>
        <w:rPr>
          <w:rFonts w:ascii="Times New Roman" w:hAnsi="Times New Roman" w:eastAsia="Times New Roman" w:cs="Times New Roman"/>
        </w:rPr>
        <w:t xml:space="preserve"> </w:t>
      </w:r>
      <w:r>
        <w:rPr>
          <w:rFonts w:ascii="Nirmala UI" w:hAnsi="Nirmala UI" w:eastAsia="Nirmala UI" w:cs="Nirmala UI"/>
        </w:rPr>
        <w:t>લોકોમાં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દૈવિકતાને</w:t>
      </w:r>
      <w:r>
        <w:rPr>
          <w:rFonts w:ascii="Times New Roman" w:hAnsi="Times New Roman" w:eastAsia="Times New Roman" w:cs="Times New Roman"/>
        </w:rPr>
        <w:t xml:space="preserve"> </w:t>
      </w:r>
      <w:r>
        <w:rPr>
          <w:rFonts w:ascii="Nirmala UI" w:hAnsi="Nirmala UI" w:eastAsia="Nirmala UI" w:cs="Nirmala UI"/>
        </w:rPr>
        <w:t>માનવતાથી</w:t>
      </w:r>
      <w:r>
        <w:rPr>
          <w:rFonts w:ascii="Times New Roman" w:hAnsi="Times New Roman" w:eastAsia="Times New Roman" w:cs="Times New Roman"/>
        </w:rPr>
        <w:t xml:space="preserve"> </w:t>
      </w:r>
      <w:r>
        <w:rPr>
          <w:rFonts w:ascii="Nirmala UI" w:hAnsi="Nirmala UI" w:eastAsia="Nirmala UI" w:cs="Nirmala UI"/>
        </w:rPr>
        <w:t>જોડવાના</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શરૂઆત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કાર્યનું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પેન્ટેકોસ્ટ</w:t>
      </w:r>
      <w:r>
        <w:rPr>
          <w:rFonts w:ascii="Times New Roman" w:hAnsi="Times New Roman" w:eastAsia="Times New Roman" w:cs="Times New Roman"/>
        </w:rPr>
        <w:t xml:space="preserve"> </w:t>
      </w:r>
      <w:r>
        <w:rPr>
          <w:rFonts w:ascii="Nirmala UI" w:hAnsi="Nirmala UI" w:eastAsia="Nirmala UI" w:cs="Nirmala UI"/>
        </w:rPr>
        <w:t>પહેલાંના</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દિવસો</w:t>
      </w:r>
      <w:r>
        <w:rPr>
          <w:rFonts w:ascii="Times New Roman" w:hAnsi="Times New Roman" w:eastAsia="Times New Roman" w:cs="Times New Roman"/>
        </w:rPr>
        <w:t xml:space="preserve"> </w:t>
      </w:r>
      <w:r>
        <w:rPr>
          <w:rFonts w:ascii="Nirmala UI" w:hAnsi="Nirmala UI" w:eastAsia="Nirmala UI" w:cs="Nirmala UI"/>
        </w:rPr>
        <w:t>દ્વારા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પાપ</w:t>
      </w:r>
      <w:r>
        <w:rPr>
          <w:rFonts w:ascii="Times New Roman" w:hAnsi="Times New Roman" w:eastAsia="Times New Roman" w:cs="Times New Roman"/>
        </w:rPr>
        <w:t xml:space="preserve"> </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ભાઈઓ</w:t>
      </w:r>
      <w:r>
        <w:rPr>
          <w:rFonts w:ascii="Times New Roman" w:hAnsi="Times New Roman" w:eastAsia="Times New Roman" w:cs="Times New Roman"/>
        </w:rPr>
        <w:t xml:space="preserve"> </w:t>
      </w:r>
      <w:r>
        <w:rPr>
          <w:rFonts w:ascii="Nirmala UI" w:hAnsi="Nirmala UI" w:eastAsia="Nirmala UI" w:cs="Nirmala UI"/>
        </w:rPr>
        <w:t>વચ્ચે</w:t>
      </w:r>
      <w:r>
        <w:rPr>
          <w:rFonts w:ascii="Times New Roman" w:hAnsi="Times New Roman" w:eastAsia="Times New Roman" w:cs="Times New Roman"/>
        </w:rPr>
        <w:t xml:space="preserve"> </w:t>
      </w:r>
      <w:r>
        <w:rPr>
          <w:rFonts w:ascii="Nirmala UI" w:hAnsi="Nirmala UI" w:eastAsia="Nirmala UI" w:cs="Nirmala UI"/>
        </w:rPr>
        <w:t>એકતા</w:t>
      </w:r>
      <w:r>
        <w:rPr>
          <w:rFonts w:ascii="Times New Roman" w:hAnsi="Times New Roman" w:eastAsia="Times New Roman" w:cs="Times New Roman"/>
        </w:rPr>
        <w:t xml:space="preserve"> </w:t>
      </w:r>
      <w:r>
        <w:rPr>
          <w:rFonts w:ascii="Nirmala UI" w:hAnsi="Nirmala UI" w:eastAsia="Nirmala UI" w:cs="Nirmala UI"/>
        </w:rPr>
        <w:t>સ્થાપિત</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દસ</w:t>
      </w:r>
      <w:r>
        <w:rPr>
          <w:rFonts w:ascii="Times New Roman" w:hAnsi="Times New Roman" w:eastAsia="Times New Roman" w:cs="Times New Roman"/>
        </w:rPr>
        <w:t xml:space="preserve"> </w:t>
      </w:r>
      <w:r>
        <w:rPr>
          <w:rFonts w:ascii="Nirmala UI" w:hAnsi="Nirmala UI" w:eastAsia="Nirmala UI" w:cs="Nirmala UI"/>
        </w:rPr>
        <w:t>પરીક્ષણની</w:t>
      </w:r>
      <w:r>
        <w:rPr>
          <w:rFonts w:ascii="Times New Roman" w:hAnsi="Times New Roman" w:eastAsia="Times New Roman" w:cs="Times New Roman"/>
        </w:rPr>
        <w:t xml:space="preserve"> </w:t>
      </w:r>
      <w:r>
        <w:rPr>
          <w:rFonts w:ascii="Nirmala UI" w:hAnsi="Nirmala UI" w:eastAsia="Nirmala UI" w:cs="Nirmala UI"/>
        </w:rPr>
        <w:t>પ્રક્રિયાનું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પરીક્ષણની</w:t>
      </w:r>
      <w:r>
        <w:rPr>
          <w:rFonts w:ascii="Times New Roman" w:hAnsi="Times New Roman" w:eastAsia="Times New Roman" w:cs="Times New Roman"/>
        </w:rPr>
        <w:t xml:space="preserve"> </w:t>
      </w:r>
      <w:r>
        <w:rPr>
          <w:rFonts w:ascii="Nirmala UI" w:hAnsi="Nirmala UI" w:eastAsia="Nirmala UI" w:cs="Nirmala UI"/>
        </w:rPr>
        <w:t>પ્રક્રિયા</w:t>
      </w:r>
      <w:r>
        <w:rPr>
          <w:rFonts w:ascii="Times New Roman" w:hAnsi="Times New Roman" w:eastAsia="Times New Roman" w:cs="Times New Roman"/>
        </w:rPr>
        <w:t xml:space="preserve"> </w:t>
      </w:r>
      <w:r>
        <w:rPr>
          <w:rFonts w:ascii="Nirmala UI" w:hAnsi="Nirmala UI" w:eastAsia="Nirmala UI" w:cs="Nirmala UI"/>
        </w:rPr>
        <w:t>પેન્ટેકોસ્ટે</w:t>
      </w:r>
      <w:r>
        <w:rPr>
          <w:rFonts w:ascii="Times New Roman" w:hAnsi="Times New Roman" w:eastAsia="Times New Roman" w:cs="Times New Roman"/>
        </w:rPr>
        <w:t xml:space="preserve"> </w:t>
      </w:r>
      <w:r>
        <w:rPr>
          <w:rFonts w:ascii="Nirmala UI" w:hAnsi="Nirmala UI" w:eastAsia="Nirmala UI" w:cs="Nirmala UI"/>
        </w:rPr>
        <w:t>પૂર્ણ</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રવિવારના</w:t>
      </w:r>
      <w:r>
        <w:rPr>
          <w:rFonts w:ascii="Times New Roman" w:hAnsi="Times New Roman" w:eastAsia="Times New Roman" w:cs="Times New Roman"/>
        </w:rPr>
        <w:t xml:space="preserve"> </w:t>
      </w:r>
      <w:r>
        <w:rPr>
          <w:rFonts w:ascii="Nirmala UI" w:hAnsi="Nirmala UI" w:eastAsia="Nirmala UI" w:cs="Nirmala UI"/>
        </w:rPr>
        <w:t>કાનૂનનું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cette même période historique, au verset quarante, où huit rois perses et l’histoire de l’alliance entre les Juifs et Rome représentent le processus d’épreuve de l’image de la bête, le processus d’épreuve des vierges est illustré dans les dix jours qui conduisent à la Pentecôte. Les cornes apostates du protestantisme et du républicanisme s’unissent, dans cette histoire, pour former l’image de la bête, tandis que la véritable corne protestante unit son humanité à la Divinité du Christ, formant ainsi l’image du Christ dans un processus qui sépare deux classes d’adorateurs.</w:t>
      </w:r>
    </w:p>
    <w:p>
      <w:pPr>
        <w:pStyle w:val="ArticleBody"/>
        <w:jc w:val="left"/>
      </w:pPr>
      <w:r>
        <w:rPr>
          <w:rFonts w:ascii="Times New Roman" w:hAnsi="Times New Roman" w:eastAsia="Times New Roman" w:cs="Times New Roman"/>
        </w:rPr>
        <w:t>Les événements historiques représentés comme sept tonnerres sont descellés dans l’histoire représentée par les versets treize à quinze de Daniel onze, et ensemble ils sont mis en parallèle avec l’histoire cachée du verset quarante, laquelle s’achève à la loi dominicale imminente, où le temps de grâce prend fin pour les observateurs du sabbat.</w:t>
      </w:r>
    </w:p>
    <w:p>
      <w:pPr>
        <w:pStyle w:val="ArticleScripture"/>
        <w:jc w:val="left"/>
      </w:pPr>
      <w:r>
        <w:rPr>
          <w:rFonts w:ascii="Times New Roman" w:hAnsi="Times New Roman" w:eastAsia="Times New Roman" w:cs="Times New Roman"/>
        </w:rPr>
        <w:t>« De plus, ces paraboles enseignent qu’il ne doit y avoir aucun temps de grâce après le jugement. Lorsque l’œuvre de l’Évangile est achevée, la séparation entre les bons et les méchants s’ensuit immédiatement, et la destinée de chaque catégorie est fixée pour toujours. » Christ’s Object Lessons, 123.</w:t>
      </w:r>
    </w:p>
    <w:p>
      <w:pPr>
        <w:pStyle w:val="ArticleBody"/>
        <w:jc w:val="left"/>
      </w:pPr>
      <w:r>
        <w:rPr>
          <w:rFonts w:ascii="Times New Roman" w:hAnsi="Times New Roman" w:eastAsia="Times New Roman" w:cs="Times New Roman"/>
        </w:rPr>
        <w:t>La séparation des sages et des insensés, des Laodicéens et des Philadelphiens, ou du blé et de l’ivraie, est accomplie par les anges.</w:t>
      </w:r>
    </w:p>
    <w:p>
      <w:pPr>
        <w:pStyle w:val="ArticleScripture"/>
        <w:jc w:val="left"/>
      </w:pPr>
      <w:r>
        <w:rPr>
          <w:rFonts w:ascii="Times New Roman" w:hAnsi="Times New Roman" w:eastAsia="Times New Roman" w:cs="Times New Roman"/>
        </w:rPr>
        <w:t>“Deixem crescer juntos o joio e o trigo até à ceifa. Então são os anjos que fazem a obra de separação.” Mensagens Escolhidas, livro 2, 69.</w:t>
      </w:r>
    </w:p>
    <w:p>
      <w:pPr>
        <w:pStyle w:val="ArticleBody"/>
        <w:jc w:val="left"/>
      </w:pPr>
      <w:r>
        <w:rPr>
          <w:rFonts w:ascii="Times New Roman" w:hAnsi="Times New Roman" w:eastAsia="Times New Roman" w:cs="Times New Roman"/>
        </w:rPr>
        <w:t>Mesajul care este desigilat chiar înainte de încheierea timpului de probă identifică lucrarea poporului lui Dumnezeu, așa cum este reprezentată de îngeri. Mesajul cuprins în aceste articole este acum publicat în întreaga lume în peste șaizeci de limbi. Acest lucru se împlinește acum chiar înainte de încheierea timpului de probă, și este lucrarea poporului lui Dumnezeu din zilele de pe urmă să prezinte acest mesaj. Mesajul identifică evenimentele reprezentate ca șapte tunete, iar lucrarea de a înțelege și de a prezenta mesajul produce experiența fecioarelor înțelepte.</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“Na visão da noite, passou diante de mim uma cena muito impressionante. Vi uma imensa bola de fogo cair entre algumas belas mansões, causando-lhes destruição instantânea. Ouvi alguém dizer: ‘Sabíamos que os juízos de Deus viriam sobre a terra, mas não sabíamos que viriam tão depressa.’ Outros, com voz angustiada, diziam: ‘Vós sabíeis! Por que, então, não nos dissestes? Nós não sabíamos.’ De todos os lados ouvi palavras semelhantes de reprovação.”</w:t>
      </w:r>
    </w:p>
    <w:p>
      <w:pPr>
        <w:pStyle w:val="ArticleScripture"/>
        <w:jc w:val="left"/>
      </w:pPr>
      <w:r>
        <w:rPr>
          <w:rFonts w:ascii="Times New Roman" w:hAnsi="Times New Roman" w:eastAsia="Times New Roman" w:cs="Times New Roman"/>
        </w:rPr>
        <w:t>« Dans une grande détresse, je me suis réveillée. Je me rendormis, et il me sembla que j’étais au milieu d’une grande assemblée. Une personne investie d’autorité s’adressait à l’assistance, devant laquelle était déployée une carte du monde. Il dit que cette carte représentait la vigne de Dieu, qui devait être cultivée. À mesure que la lumière du ciel brillait sur quelqu’un, celui-ci devait en refléter la clarté vers les autres. Des lumières devaient être allumées en de nombreux lieux, et de ces lumières d’autres lumières encore devaient être allumées. »</w:t>
      </w:r>
    </w:p>
    <w:p>
      <w:pPr>
        <w:pStyle w:val="ArticleScripture"/>
        <w:jc w:val="left"/>
      </w:pPr>
      <w:r>
        <w:rPr>
          <w:rFonts w:ascii="Times New Roman" w:hAnsi="Times New Roman" w:eastAsia="Times New Roman" w:cs="Times New Roman"/>
        </w:rPr>
        <w:t>“An dà chur-a-mach na briathran a-rithist: ‘Is sibhse salann na talmhainn: ach ma chaill an salann a bhlas, ciod leis an saillear e? cha’n eil e uaith sin suas math air son ni air bith, ach gu bhi air a thilgeadh a mach, agus air a shaltairt fo chasan dhaoine. Is sibhse solus an t-saoghail. Cha’n fhaodar baile a tha suidhichte air sliabh fholach. Ni mò a lasas daoine coinneal, agus a chuireas iad i fo bhuiseal, ach air coinnleir; agus bheir i solus dhoibhsan uile a tha anns an tigh. Guma h-ann mar sin a dhealraicheas ur solus am fianuis dhaoine, chum as gu’m faic iad ur deadh oibre, agus gu’n toir iad glòir do’r n-Athair a ta air neamh.’ Mata 5:13–16.</w:t>
      </w:r>
    </w:p>
    <w:p>
      <w:pPr>
        <w:pStyle w:val="ArticleScripture"/>
        <w:jc w:val="left"/>
      </w:pPr>
      <w:r>
        <w:rPr>
          <w:rFonts w:ascii="Times New Roman" w:hAnsi="Times New Roman" w:eastAsia="Times New Roman" w:cs="Times New Roman"/>
        </w:rPr>
        <w:t>« Je vis des jets de lumière resplendissant des villes et des villages, ainsi que des hauteurs et des lieux bas de la terre. La parole de Dieu était obéie, et, en conséquence, des mémoriaux s’élevaient pour Lui dans chaque ville et dans chaque village. Sa vérité était proclamée dans le monde entier. »</w:t>
      </w:r>
    </w:p>
    <w:p>
      <w:pPr>
        <w:pStyle w:val="ArticleScripture"/>
        <w:jc w:val="left"/>
      </w:pPr>
      <w:r>
        <w:rPr>
          <w:rFonts w:ascii="Times New Roman" w:hAnsi="Times New Roman" w:eastAsia="Times New Roman" w:cs="Times New Roman"/>
        </w:rPr>
        <w:t>«Puis cette carte fut enlevée, et une autre fut mise à sa place. Sur celle-ci, la lumière ne brillait que de quelques endroits. Le reste du monde était dans les ténèbres, avec seulement une faible lueur çà et là. Notre Instructeur dit : “Ces ténèbres sont le résultat de ce que les hommes ont suivi leur propre voie. Ils ont chéri des tendances héréditaires et cultivées au mal. Ils ont fait du doute, de la critique, et de l’accusation l’occupation principale de leur vie. Leur cœur n’est pas droit devant Dieu. Ils ont caché leur lumière sous le boisseau.”»</w:t>
      </w:r>
    </w:p>
    <w:p>
      <w:pPr>
        <w:pStyle w:val="ArticleScripture"/>
        <w:jc w:val="left"/>
      </w:pPr>
      <w:r>
        <w:rPr>
          <w:rFonts w:ascii="Times New Roman" w:hAnsi="Times New Roman" w:eastAsia="Times New Roman" w:cs="Times New Roman"/>
        </w:rPr>
        <w:t>« Si chaque soldat du Christ avait fait son devoir, si chaque sentinelle sur les murailles de Sion avait fait retentir de la trompette un son distinct, le monde aurait pu déjà entendre le message d’avertissement. Mais l’œuvre a des années de retard. Pendant que les hommes ont dormi, Satan nous a devancés. »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 Jambere Igihumbi Kimwe Magana Cyenda Mirongo Cyenda na Gatanu</dc:title>
  <dc:subject>Le chemin vers la loi du dimanche : le rôle de Trump et le déroulement prophétique dans Daniel 11</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