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ایک سو ستانوے نمبر</w:t>
      </w:r>
    </w:p>
    <w:p>
      <w:pPr>
        <w:pStyle w:val="ArticleSubtitle"/>
        <w:jc w:val="left"/>
      </w:pPr>
      <w:r>
        <w:rPr>
          <w:rFonts w:ascii="Arial" w:hAnsi="Arial" w:eastAsia="Arial" w:cs="Arial"/>
        </w:rPr>
        <w:t>Le Déploiement prophétique : le second rassemblement du Christ et le rôle eschatologique de l’islam dans le récit de l’Apocalypse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Nous identifions à présent que l’un des événements représentés par les sept tonnerres est l’œuvre par laquelle Christ rassemble son peuple une seconde fois, œuvre qu’il a commencé à accomplir en juillet 2023. L’histoire millérite indique que cette œuvre s’accomplit sur fond de guerre de l’islam comme arrière-plan du message.</w:t>
      </w:r>
    </w:p>
    <w:p>
      <w:pPr>
        <w:pStyle w:val="ArticleBody"/>
        <w:jc w:val="left"/>
      </w:pPr>
      <w:r>
        <w:rPr>
          <w:rFonts w:ascii="Times New Roman" w:hAnsi="Times New Roman" w:eastAsia="Times New Roman" w:cs="Times New Roman"/>
        </w:rPr>
        <w:t>L’message est la Révélation d’Jésus-Christ, qui est descellée juste avant qu’le temps d’grâce se ferme, mais ce message est porté par (placé dans l’contexte de) l’message du troisième malheur. Au moment même où l’Seigneur étendait Sa main une seconde fois en 1849, Sœur White commentait l’ébranlement des nations en colère, lequel est un symbole de l’islam.</w:t>
      </w:r>
    </w:p>
    <w:p>
      <w:pPr>
        <w:pStyle w:val="ArticleScripture"/>
        <w:jc w:val="left"/>
      </w:pPr>
      <w:r>
        <w:rPr>
          <w:rFonts w:ascii="Times New Roman" w:hAnsi="Times New Roman" w:eastAsia="Times New Roman" w:cs="Times New Roman"/>
        </w:rPr>
        <w:t>« Le 16 décembre 1848, le Seigneur me donna une vision de l’ébranlement des puissances des cieux. Je vis que, lorsque le Seigneur dit “ciel”, en donnant les signes rapportés par Matthieu, Marc et Luc, Il entendait bien le ciel, et que, lorsqu’Il dit “terre”, Il entendait bien la terre. Les puissances du ciel sont le soleil, la lune et les étoiles. Elles gouvernent dans les cieux. Les puissances de la terre sont celles qui gouvernent sur la terre. Les puissances du ciel seront ébranlées à la voix de Dieu. Alors le soleil, la lune et les étoiles seront déplacés de leurs places. Ils ne disparaîtront pas, mais seront ébranlés par la voix de Dieu. »</w:t>
      </w:r>
    </w:p>
    <w:p>
      <w:pPr>
        <w:pStyle w:val="ArticleScripture"/>
        <w:jc w:val="left"/>
      </w:pPr>
      <w:r>
        <w:rPr>
          <w:rFonts w:ascii="Times New Roman" w:hAnsi="Times New Roman" w:eastAsia="Times New Roman" w:cs="Times New Roman"/>
        </w:rPr>
        <w:t>«Oblaci tamni i teški navukoše se i sudariše jedan o drugi. Atmosfera se razdvojila i povukla; tada smo mogli pogledati naviše kroz otvoren prostor u Orionu, odakle je došao glas Božji. Sveti Grad sići će kroz taj otvoreni prostor. Vidjela sam da se sile zemlje sada potresaju i da događaji dolaze redom. Rat, i glasovi o ratovima, mač, glad i pomor najprije potresaju sile zemlje, a zatim će glas Božji potresti sunce, mjesec i zvijezde, i ovu zemlju također. Vidjela sam da potresanje sila u Evropi nije, kako neki uče, potresanje sila nebeskih, nego je to potresanje gnjevnih naroda.» Early Writings, 41.</w:t>
      </w:r>
    </w:p>
    <w:p>
      <w:pPr>
        <w:pStyle w:val="ArticleBody"/>
        <w:jc w:val="left"/>
      </w:pPr>
      <w:r>
        <w:rPr>
          <w:rFonts w:ascii="Times New Roman" w:hAnsi="Times New Roman" w:eastAsia="Times New Roman" w:cs="Times New Roman"/>
        </w:rPr>
        <w:t>Het is door de geschiedschrijvers bevestigd dat hetgeen in 1848 de volken van Europa deed beven, de krijgsverrichtingen van de legers van de islam waren; want profetisch worden zij gesymboliseerd als de macht die de volken vertoornt. In het eerste getuigenis van de Heere, dat Hij in de geschiedenis van 1840 tot 1844 ten tweeden male Zijn hand uitstrekte, kwam de boodschap van de Middernachtsroep aan op de kampbijeenkomst te Exeter. Vandaar uit ging die boodschap tot 22 oktober 1844 als een vloedgolf over de oostelijke zeekust van de Verenigde Staten. Die beweging was vooraf uitgebeeld door Christus’ triomfantelijke intocht in Jeruzalem, en het was een ezel die Christus Jeruzalem binnen droeg.</w:t>
      </w:r>
    </w:p>
    <w:p>
      <w:pPr>
        <w:pStyle w:val="ArticleBody"/>
        <w:jc w:val="left"/>
      </w:pPr>
      <w:r>
        <w:rPr>
          <w:rFonts w:ascii="Times New Roman" w:hAnsi="Times New Roman" w:eastAsia="Times New Roman" w:cs="Times New Roman"/>
        </w:rPr>
        <w:t>Nin asɛm a wɔfrɛ no Anadwo Mfinimfini Nteɛm no gyina hɔ ma adiyisɛm nkrasɛm no nyinaa a ɛfa Yesu Kristo Adiyisɛm ho, nanso wɔde saa Adiyisɛm no asi Islam a ɛyɛ awerɛhow a ɛto so abiɛsa no mu, a ɛma amanaman no bo fuw, efisɛ ɛyɛ Islam na ɛsoa nkrasɛm a ɛyɛ Yesu Kristo Adiyisɛm no. Yesu ne Yuda abusua no Gyata, na ɔde ne ho akyekyere nkrasɛm a ɛfa “afurum” no ho.</w:t>
      </w:r>
    </w:p>
    <w:p>
      <w:pPr>
        <w:pStyle w:val="ArticleScripture"/>
        <w:jc w:val="left"/>
      </w:pPr>
      <w:r>
        <w:rPr>
          <w:rFonts w:ascii="Times New Roman" w:hAnsi="Times New Roman" w:eastAsia="Times New Roman" w:cs="Times New Roman"/>
        </w:rPr>
        <w:t>Yuda, sen, kardeşlerinin öveceği kişisin; elin düşmanlarının boynunda olacaktır; babanın oğulları senin önünde eğilecektir. Yuda genç bir aslandır; avdan, oğlum, yukarı çıktın; çömeldi, aslan gibi yattı, yaşlı aslan gibi; onu kim ayağa kaldıracaktır? Asa Yuda’dan ayrılmayacak, ne de onun ayakları arasından yasa koyucu, Şilo gelinceye kadar; halkların toplanışı da ona olacaktır. Sıpasını asmaya, dişi eşeğinin yavrusunu seçkin asmaya bağlar; giysilerini şarapta, elbiselerini üzüm kanında yıkamıştır. Gözleri şaraptan kırmızı, dişleri sütten beyaz olacaktır. Yaratılış 49:8–12.</w:t>
      </w:r>
    </w:p>
    <w:p>
      <w:pPr>
        <w:pStyle w:val="ArticleBody"/>
        <w:jc w:val="left"/>
      </w:pPr>
      <w:r>
        <w:rPr>
          <w:rFonts w:ascii="Times New Roman" w:hAnsi="Times New Roman" w:eastAsia="Times New Roman" w:cs="Times New Roman"/>
        </w:rPr>
        <w:t>Nɗi ko e Yahuuda “kawtal yimɓe” woƴi. Almasiihu, e mo woni Yahuuda, ko kanko kadi woni “ndebbam,” e “ndebbam ɓurɗam cuɓaaɗam” ɗum haɓɓaama e “ɓiɗɗo mbaala.” “Kolte” makko lootaama e “ndiyam inabojam,” ɗum woni “ƴiiƴam inabojam.” Almasiihu fuɗɗii yaafaade ƴiiƴam makko e Getsemaane, nde mo semti ƴiiƴam, e Getsemaane maana mum ko “masinorde nebbam zeytuun.” Gila Getsemaane haa e leggal palaaɗe ngal, o yaafii ƴiiƴam mum ɗam ngalaaɗam ngam hawritude yimɓe fuu to hoore makko.</w:t>
      </w:r>
    </w:p>
    <w:p>
      <w:pPr>
        <w:pStyle w:val="ArticleScripture"/>
        <w:jc w:val="left"/>
      </w:pPr>
      <w:r>
        <w:rPr>
          <w:rFonts w:ascii="Myanmar Text" w:hAnsi="Myanmar Text" w:eastAsia="Myanmar Text" w:cs="Myanmar Text"/>
        </w:rPr>
        <w:t>ယခုကမ္ဘာ၏တရားစီရင်ခြင်း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ဤကမ္ဘာ၏မင်းသည်</w:t>
      </w:r>
      <w:r>
        <w:rPr>
          <w:rFonts w:ascii="Times New Roman" w:hAnsi="Times New Roman" w:eastAsia="Times New Roman" w:cs="Times New Roman"/>
        </w:rPr>
        <w:t xml:space="preserve"> </w:t>
      </w:r>
      <w:r>
        <w:rPr>
          <w:rFonts w:ascii="Myanmar Text" w:hAnsi="Myanmar Text" w:eastAsia="Myanmar Text" w:cs="Myanmar Text"/>
        </w:rPr>
        <w:t>ပြင်ပသို့</w:t>
      </w:r>
      <w:r>
        <w:rPr>
          <w:rFonts w:ascii="Times New Roman" w:hAnsi="Times New Roman" w:eastAsia="Times New Roman" w:cs="Times New Roman"/>
        </w:rPr>
        <w:t xml:space="preserve"> </w:t>
      </w:r>
      <w:r>
        <w:rPr>
          <w:rFonts w:ascii="Myanmar Text" w:hAnsi="Myanmar Text" w:eastAsia="Myanmar Text" w:cs="Myanmar Text"/>
        </w:rPr>
        <w:t>ပစ်ချခြင်းခံရလိမ့်မည်။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မြှောက်တင်ခြင်းကိုခံရလျှင်</w:t>
      </w:r>
      <w:r>
        <w:rPr>
          <w:rFonts w:ascii="Times New Roman" w:hAnsi="Times New Roman" w:eastAsia="Times New Roman" w:cs="Times New Roman"/>
        </w:rPr>
        <w:t xml:space="preserve"> </w:t>
      </w:r>
      <w:r>
        <w:rPr>
          <w:rFonts w:ascii="Myanmar Text" w:hAnsi="Myanmar Text" w:eastAsia="Myanmar Text" w:cs="Myanmar Text"/>
        </w:rPr>
        <w:t>လူအပေါင်းတို့ကို</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ဆွဲဆောင်မည်။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မိန့်တော်မူသည်မှာ</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အဘယ်သို့သော</w:t>
      </w:r>
      <w:r>
        <w:rPr>
          <w:rFonts w:ascii="Times New Roman" w:hAnsi="Times New Roman" w:eastAsia="Times New Roman" w:cs="Times New Roman"/>
        </w:rPr>
        <w:t xml:space="preserve"> </w:t>
      </w:r>
      <w:r>
        <w:rPr>
          <w:rFonts w:ascii="Myanmar Text" w:hAnsi="Myanmar Text" w:eastAsia="Myanmar Text" w:cs="Myanmar Text"/>
        </w:rPr>
        <w:t>သေခြင်းဖြင့်</w:t>
      </w:r>
      <w:r>
        <w:rPr>
          <w:rFonts w:ascii="Times New Roman" w:hAnsi="Times New Roman" w:eastAsia="Times New Roman" w:cs="Times New Roman"/>
        </w:rPr>
        <w:t xml:space="preserve"> </w:t>
      </w:r>
      <w:r>
        <w:rPr>
          <w:rFonts w:ascii="Myanmar Text" w:hAnsi="Myanmar Text" w:eastAsia="Myanmar Text" w:cs="Myanmar Text"/>
        </w:rPr>
        <w:t>သေရမည်ကို</w:t>
      </w:r>
      <w:r>
        <w:rPr>
          <w:rFonts w:ascii="Times New Roman" w:hAnsi="Times New Roman" w:eastAsia="Times New Roman" w:cs="Times New Roman"/>
        </w:rPr>
        <w:t xml:space="preserve"> </w:t>
      </w:r>
      <w:r>
        <w:rPr>
          <w:rFonts w:ascii="Myanmar Text" w:hAnsi="Myanmar Text" w:eastAsia="Myanmar Text" w:cs="Myanmar Text"/>
        </w:rPr>
        <w:t>ဖော်ပြခြင်းဖြစ်၏။</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12:31–33</w:t>
      </w:r>
      <w:r>
        <w:rPr>
          <w:rFonts w:ascii="Myanmar Text" w:hAnsi="Myanmar Text" w:eastAsia="Myanmar Text" w:cs="Myanmar Text"/>
        </w:rPr>
        <w:t>။</w:t>
      </w:r>
    </w:p>
    <w:p>
      <w:pPr>
        <w:pStyle w:val="ArticleBody"/>
        <w:jc w:val="left"/>
      </w:pPr>
      <w:r>
        <w:rPr>
          <w:rFonts w:ascii="Times New Roman" w:hAnsi="Times New Roman" w:eastAsia="Times New Roman" w:cs="Times New Roman"/>
        </w:rPr>
        <w:t>Ուստի Քրիստոսի՝ բոլոր մարդկանց Իրեն մոտ ձգելու գործը երկաստիճան ընթացք է, որովհետև Նա նախ հավաքում է «Իսրայելի վտարանդիներին», ապա նրանց գործածում է որպես դրոշ՝ Իր մյուս հոտը ձգելու համար։</w:t>
      </w:r>
    </w:p>
    <w:p>
      <w:pPr>
        <w:pStyle w:val="ArticleScripture"/>
        <w:jc w:val="left"/>
      </w:pPr>
      <w:r>
        <w:rPr>
          <w:rFonts w:ascii="Times New Roman" w:hAnsi="Times New Roman" w:eastAsia="Times New Roman" w:cs="Times New Roman"/>
        </w:rPr>
        <w:t>Mi ne amɛ nyɛla ŋun, ni m bɛ mi pɛri, la mi pɛri mɔ bɛ mi. Ŋmɛ nɛ bɛ mi la, mɔ m bɛ ŋmɛ; ni m teeri m yɛlimu pɛri la. La pɛri tɔŋɔ mɔ ka m na, ba ka taara tɛŋa ŋmɛn laa ni; ba mɔ, m yiɛli ka m kɛri ba, la ba bɛ n yeli maa, la ba naa li nyɛ taara yen, ni nyɛla yen. John 10:14–16.</w:t>
      </w:r>
    </w:p>
    <w:p>
      <w:pPr>
        <w:pStyle w:val="ArticleBody"/>
        <w:jc w:val="left"/>
      </w:pPr>
      <w:r>
        <w:rPr>
          <w:rFonts w:ascii="Times New Roman" w:hAnsi="Times New Roman" w:eastAsia="Times New Roman" w:cs="Times New Roman"/>
        </w:rPr>
        <w:t>One hundred and forty-four thousandngar “sheep” ta, angna ama ingmai uamang. “Other sheep” ta, ama flock ong ong ta, Babilonna grong re∙baangon, uamangna ensign ko nikgen aro knagenchimode. Ama ensign ko, jean ama sheep rang ong∙a, chinggipa ong∙atna skang, uamangko gnigipa changna aganpilta. Ia rongtalgipa itihasni line, Daniel chapter eleven ni verse thirteen chetal fifteen baksa meligrika, aro uni gimin verse forty ni donnugipa itihas baksa melia. Ian kakketgipa Protestant horn ni line ko mesoka, jean apostate Protestant horn ni itihasni ning∙o, apostate Republican horn aro whore of Tyre ni sokbaani baksa, verse forty-one ni Sunday law ni skang skang runa. Kakketgipa Protestant horn ni line, one hundred and forty-four thousand rang seal ong∙aniko mesokgipa itihasko mangmang ong∙ja, indiba message koba mesoka.</w:t>
      </w:r>
    </w:p>
    <w:p>
      <w:pPr>
        <w:pStyle w:val="ArticleBody"/>
        <w:jc w:val="left"/>
      </w:pPr>
      <w:r>
        <w:rPr>
          <w:rFonts w:ascii="Times New Roman" w:hAnsi="Times New Roman" w:eastAsia="Times New Roman" w:cs="Times New Roman"/>
        </w:rPr>
        <w:t>“Israeilin hûrhuina” chu a ni a, Jeremiahin a sawi angin “mi nuihmangho inkhâwma” tih nên a inkalh a; emaw Johanan Thupuan bung 2 leh 3-ah, Smurna leh Philadelphia kohhrante an nih chuan a sawi angin “Setana sinakok” tih nên a inkalh bawk. Philadelphia miho chu Thupuan bung 7-a “sang za li leh sang li sawmli pali” an ni a, Smurna chu bung thuhmunah “mipung tam tak,” chhiar zât loh an ni. Ni hnuhnungah tlante pawl hnihte chu mi dâwtte, Setana sinakok-a awmte, Pathian mite an nih angin an inchhâl a, Juda an nih an ti avângin, an chungah inkalhna an nei.</w:t>
      </w:r>
    </w:p>
    <w:p>
      <w:pPr>
        <w:pStyle w:val="ArticleBody"/>
        <w:jc w:val="left"/>
      </w:pPr>
      <w:r>
        <w:rPr>
          <w:rFonts w:ascii="Times New Roman" w:hAnsi="Times New Roman" w:eastAsia="Times New Roman" w:cs="Times New Roman"/>
        </w:rPr>
        <w:t>Lagolago la lonaka la ’nete la Boprostanta le akaretša kgang yeo e lego gona magareng ga bona le batho ba kgwerano ya pele bao ka nako yeo ba tlogelwago ba fetwa. Historing yona yeo, ba botegago le bona ba sa le kgang le lagolago la Boprostanta bja bohlanogi le Bokatholika. Dihlopha tšeo tše tharo tša bodumedi di emela noga, sebata, le moporofeta wa maaka mo maemong a manyenyane ka gare ga lagolago la lonaka la ’nete la Boprostanta.</w:t>
      </w:r>
    </w:p>
    <w:p>
      <w:pPr>
        <w:pStyle w:val="ArticleScripture"/>
        <w:jc w:val="left"/>
      </w:pPr>
      <w:r>
        <w:rPr>
          <w:rFonts w:ascii="Times New Roman" w:hAnsi="Times New Roman" w:eastAsia="Times New Roman" w:cs="Times New Roman"/>
        </w:rPr>
        <w:t>“Mi vide la chiesa nominale e gli Avventisti nominali, simili a Giuda, ci avrebbero traditi ai cattolici per ottenerne l’influenza al fine di venire contro la verità. I santi allora saranno un popolo oscuro, poco conosciuto dai cattolici; ma le chiese e gli Avventisti nominali che conoscono la nostra fede e le nostre usanze (poiché ci odiavano a motivo del sabato, perché non potevano confutarlo) tradiranno i santi e li denunceranno ai cattolici come coloro che non tengono conto delle istituzioni del popolo; cioè, che osservano il sabato e non tengono conto della domenica.” Spalding and Magan, 1, 2.</w:t>
      </w:r>
    </w:p>
    <w:p>
      <w:pPr>
        <w:pStyle w:val="ArticleBody"/>
        <w:jc w:val="left"/>
      </w:pPr>
      <w:r>
        <w:rPr>
          <w:rFonts w:ascii="Times New Roman" w:hAnsi="Times New Roman" w:eastAsia="Times New Roman" w:cs="Times New Roman"/>
        </w:rPr>
        <w:t>Nous avons déjà traité ce passage, et ce faisant, nous avons relevé que l’expression « Église de nom » et l’expression « Adventiste de nom » auraient eu une signification et une application différentes lorsque Sœur White traça ces paroles. Pourtant, les prophètes parlèrent davantage pour les derniers jours que pour leur propre époque historique ; ainsi, dans ce passage, l’Église de nom des derniers jours serait le protestantisme apostat. Le mot « nominal » signifie « de nom seulement ».</w:t>
      </w:r>
    </w:p>
    <w:p>
      <w:pPr>
        <w:pStyle w:val="ArticleBody"/>
        <w:jc w:val="left"/>
      </w:pPr>
      <w:r>
        <w:rPr>
          <w:rFonts w:ascii="Microsoft YaHei" w:hAnsi="Microsoft YaHei" w:eastAsia="Microsoft YaHei" w:cs="Microsoft YaHei"/>
        </w:rPr>
        <w:t>所谓的新教会在</w:t>
      </w:r>
      <w:r>
        <w:rPr>
          <w:rFonts w:ascii="Times New Roman" w:hAnsi="Times New Roman" w:eastAsia="Times New Roman" w:cs="Times New Roman"/>
        </w:rPr>
        <w:t>1844</w:t>
      </w:r>
      <w:r>
        <w:rPr>
          <w:rFonts w:ascii="Microsoft YaHei" w:hAnsi="Microsoft YaHei" w:eastAsia="Microsoft YaHei" w:cs="Microsoft YaHei"/>
        </w:rPr>
        <w:t>年停止了对罗马的抗议</w:t>
      </w:r>
      <w:r>
        <w:rPr>
          <w:rFonts w:ascii="Times New Roman" w:hAnsi="Times New Roman" w:eastAsia="Times New Roman" w:cs="Times New Roman"/>
        </w:rPr>
        <w:t>;</w:t>
      </w: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他们背逆了凭着信心进入至圣所</w:t>
      </w:r>
      <w:r>
        <w:rPr>
          <w:rFonts w:ascii="Times New Roman" w:hAnsi="Times New Roman" w:eastAsia="Times New Roman" w:cs="Times New Roman"/>
        </w:rPr>
        <w:t>——</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他们本可以认明第七日安息日才是正确的敬拜之日</w:t>
      </w:r>
      <w:r>
        <w:rPr>
          <w:rFonts w:ascii="Times New Roman" w:hAnsi="Times New Roman" w:eastAsia="Times New Roman" w:cs="Times New Roman"/>
        </w:rPr>
        <w:t>.</w:t>
      </w:r>
      <w:r>
        <w:rPr>
          <w:rFonts w:ascii="Microsoft YaHei" w:hAnsi="Microsoft YaHei" w:eastAsia="Microsoft YaHei" w:cs="Microsoft YaHei"/>
        </w:rPr>
        <w:t>相反</w:t>
      </w:r>
      <w:r>
        <w:rPr>
          <w:rFonts w:ascii="Times New Roman" w:hAnsi="Times New Roman" w:eastAsia="Times New Roman" w:cs="Times New Roman"/>
        </w:rPr>
        <w:t>,</w:t>
      </w:r>
      <w:r>
        <w:rPr>
          <w:rFonts w:ascii="Microsoft YaHei" w:hAnsi="Microsoft YaHei" w:eastAsia="Microsoft YaHei" w:cs="Microsoft YaHei"/>
        </w:rPr>
        <w:t>他们保留了对太阳的崇拜</w:t>
      </w:r>
      <w:r>
        <w:rPr>
          <w:rFonts w:ascii="Times New Roman" w:hAnsi="Times New Roman" w:eastAsia="Times New Roman" w:cs="Times New Roman"/>
        </w:rPr>
        <w:t>,</w:t>
      </w:r>
      <w:r>
        <w:rPr>
          <w:rFonts w:ascii="Microsoft YaHei" w:hAnsi="Microsoft YaHei" w:eastAsia="Microsoft YaHei" w:cs="Microsoft YaHei"/>
        </w:rPr>
        <w:t>而这正是天主教的印记</w:t>
      </w:r>
      <w:r>
        <w:rPr>
          <w:rFonts w:ascii="Times New Roman" w:hAnsi="Times New Roman" w:eastAsia="Times New Roman" w:cs="Times New Roman"/>
        </w:rPr>
        <w:t>.</w:t>
      </w:r>
      <w:r>
        <w:rPr>
          <w:rFonts w:ascii="Microsoft YaHei" w:hAnsi="Microsoft YaHei" w:eastAsia="Microsoft YaHei" w:cs="Microsoft YaHei"/>
        </w:rPr>
        <w:t>既然你已经接受了她权柄的象征</w:t>
      </w:r>
      <w:r>
        <w:rPr>
          <w:rFonts w:ascii="Times New Roman" w:hAnsi="Times New Roman" w:eastAsia="Times New Roman" w:cs="Times New Roman"/>
        </w:rPr>
        <w:t>——</w:t>
      </w:r>
      <w:r>
        <w:rPr>
          <w:rFonts w:ascii="Microsoft YaHei" w:hAnsi="Microsoft YaHei" w:eastAsia="Microsoft YaHei" w:cs="Microsoft YaHei"/>
        </w:rPr>
        <w:t>罗马教会一再指出</w:t>
      </w:r>
      <w:r>
        <w:rPr>
          <w:rFonts w:ascii="Times New Roman" w:hAnsi="Times New Roman" w:eastAsia="Times New Roman" w:cs="Times New Roman"/>
        </w:rPr>
        <w:t>,</w:t>
      </w:r>
      <w:r>
        <w:rPr>
          <w:rFonts w:ascii="Microsoft YaHei" w:hAnsi="Microsoft YaHei" w:eastAsia="Microsoft YaHei" w:cs="Microsoft YaHei"/>
        </w:rPr>
        <w:t>这象征就是她将</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中敬拜之日从第七日安息日改为星期日的权柄</w:t>
      </w:r>
      <w:r>
        <w:rPr>
          <w:rFonts w:ascii="Times New Roman" w:hAnsi="Times New Roman" w:eastAsia="Times New Roman" w:cs="Times New Roman"/>
        </w:rPr>
        <w:t>——</w:t>
      </w:r>
      <w:r>
        <w:rPr>
          <w:rFonts w:ascii="Microsoft YaHei" w:hAnsi="Microsoft YaHei" w:eastAsia="Microsoft YaHei" w:cs="Microsoft YaHei"/>
        </w:rPr>
        <w:t>那么</w:t>
      </w:r>
      <w:r>
        <w:rPr>
          <w:rFonts w:ascii="Times New Roman" w:hAnsi="Times New Roman" w:eastAsia="Times New Roman" w:cs="Times New Roman"/>
        </w:rPr>
        <w:t>,</w:t>
      </w:r>
      <w:r>
        <w:rPr>
          <w:rFonts w:ascii="Microsoft YaHei" w:hAnsi="Microsoft YaHei" w:eastAsia="Microsoft YaHei" w:cs="Microsoft YaHei"/>
        </w:rPr>
        <w:t>要</w:t>
      </w:r>
      <w:r>
        <w:rPr>
          <w:rFonts w:ascii="Times New Roman" w:hAnsi="Times New Roman" w:eastAsia="Times New Roman" w:cs="Times New Roman"/>
        </w:rPr>
        <w:t>“</w:t>
      </w:r>
      <w:r>
        <w:rPr>
          <w:rFonts w:ascii="Microsoft YaHei" w:hAnsi="Microsoft YaHei" w:eastAsia="Microsoft YaHei" w:cs="Microsoft YaHei"/>
        </w:rPr>
        <w:t>抗议</w:t>
      </w:r>
      <w:r>
        <w:rPr>
          <w:rFonts w:ascii="Times New Roman" w:hAnsi="Times New Roman" w:eastAsia="Times New Roman" w:cs="Times New Roman"/>
        </w:rPr>
        <w:t>”</w:t>
      </w:r>
      <w:r>
        <w:rPr>
          <w:rFonts w:ascii="Microsoft YaHei" w:hAnsi="Microsoft YaHei" w:eastAsia="Microsoft YaHei" w:cs="Microsoft YaHei"/>
        </w:rPr>
        <w:t>罗马就是不可能的</w:t>
      </w:r>
      <w:r>
        <w:rPr>
          <w:rFonts w:ascii="Times New Roman" w:hAnsi="Times New Roman" w:eastAsia="Times New Roman" w:cs="Times New Roman"/>
        </w:rPr>
        <w:t>;</w:t>
      </w:r>
      <w:r>
        <w:rPr>
          <w:rFonts w:ascii="Microsoft YaHei" w:hAnsi="Microsoft YaHei" w:eastAsia="Microsoft YaHei" w:cs="Microsoft YaHei"/>
        </w:rPr>
        <w:t>而这正是</w:t>
      </w:r>
      <w:r>
        <w:rPr>
          <w:rFonts w:ascii="Times New Roman" w:hAnsi="Times New Roman" w:eastAsia="Times New Roman" w:cs="Times New Roman"/>
        </w:rPr>
        <w:t>“</w:t>
      </w:r>
      <w:r>
        <w:rPr>
          <w:rFonts w:ascii="Microsoft YaHei" w:hAnsi="Microsoft YaHei" w:eastAsia="Microsoft YaHei" w:cs="Microsoft YaHei"/>
        </w:rPr>
        <w:t>新教徒</w:t>
      </w:r>
      <w:r>
        <w:rPr>
          <w:rFonts w:ascii="Times New Roman" w:hAnsi="Times New Roman" w:eastAsia="Times New Roman" w:cs="Times New Roman"/>
        </w:rPr>
        <w:t>”</w:t>
      </w:r>
      <w:r>
        <w:rPr>
          <w:rFonts w:ascii="Microsoft YaHei" w:hAnsi="Microsoft YaHei" w:eastAsia="Microsoft YaHei" w:cs="Microsoft YaHei"/>
        </w:rPr>
        <w:t>一词唯一的定义</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adventistes de nom» sont ceux qui professent être adventistes du septième jour, mais ils sont aussi désignés comme Judas, symbole d’un disciple qui a trahi sa profession. L’Église adventiste nominale du septième jour haïra les «saints», et alors ces saints «seront» «un peuple obscur». Ils haïssent les saints obscurs «à cause du sabbat», vérité qu’ils ne peuvent «réfuter». Dans l’histoire de Sister White, la vérité du sabbat était le sabbat du septième jour; mais elle est le type de la vérité du sabbat des derniers jours, qui ne peut être réfutée, et il s’agit de la doctrine qui fut d’abord rejetée par l’adventisme laodicéen du septième jour lors de sa rébellion en 1863. Cette doctrine fut la première vérité fondamentale découverte par William Miller, et elle représente les vérités fondamentales de l’adventisme dans lesquelles les adventistes de nom refusent de marcher, comme le représentent les anciens sentiers de Jérémie. Cette vérité du sabbat, ce sont les «sept temps» de Lévitique vingt-six.</w:t>
      </w:r>
    </w:p>
    <w:p>
      <w:pPr>
        <w:pStyle w:val="ArticleBody"/>
        <w:jc w:val="left"/>
      </w:pPr>
      <w:r>
        <w:rPr>
          <w:rFonts w:ascii="Times New Roman" w:hAnsi="Times New Roman" w:eastAsia="Times New Roman" w:cs="Times New Roman"/>
        </w:rPr>
        <w:t>Garis Protestanisme sejati yang terdiri dari Filadelfia dan Smirna dikhianati oleh mereka yang digambarkan sebagai Yudas. Yudas bersepakat untuk mengkhianati Yesus tiga kali, dengan demikian menandai suatu pengkhianatan progresif yang mendahului dan berakhir di salib. Ayat enam belas dari Daniel sebelas melambangkan undang-undang hari Minggu, yang ditipologikan oleh salib. Karena itu, dalam ayat-ayat yang mengarah kepada undang-undang hari Minggu pada ayat enam belas, yang juga merupakan undang-undang hari Minggu pada ayat empat puluh satu, suatu pengkhianatan tiga langkah didatangkan atas orang-orang kudus pada akhir zaman. Pengkhianatan itu terjadi selama masa ketika Tuhan sedang menghimpunkan panji akhir zaman-Nya untuk kedua kalinya.</w:t>
      </w:r>
    </w:p>
    <w:p>
      <w:pPr>
        <w:pStyle w:val="ArticleScripture"/>
        <w:jc w:val="left"/>
      </w:pPr>
      <w:r>
        <w:rPr>
          <w:rFonts w:ascii="Times New Roman" w:hAnsi="Times New Roman" w:eastAsia="Times New Roman" w:cs="Times New Roman"/>
        </w:rPr>
        <w:t>And n’on pasen there will be a root of Jesse, who will stand as an ensign to the peoples; to him the Gentiles will seek: and his rest will be glorious. And it will come to pass in that day, that the Lord will set his hand again the second time to recover the remnant of his people, who will be left, from Assyria, and from Egypt, and from Pathros, and from Cush, and from Elam, and from Shinar, and from Hamath, and from the islands of the sea. And he will set up an ensign for the nations, and will assemble the outcasts of Israel, and gather together the dispersed of Judah from the four corners of the earth. The envy also of Ephraim will depart, and the adversaries of Judah will be cut off: Ephraim will not envy Judah, and Judah will not vex Ephraim. But they will fly upon the shoulders of the Philistines toward the west; they will spoil those of the east together: they will lay their hand upon Edom and Moab; and the children of Ammon will obey them. Isaiah 11:10–14.</w:t>
      </w:r>
    </w:p>
    <w:p>
      <w:pPr>
        <w:pStyle w:val="ArticleBody"/>
        <w:jc w:val="left"/>
      </w:pPr>
      <w:r>
        <w:rPr>
          <w:rFonts w:ascii="Times New Roman" w:hAnsi="Times New Roman" w:eastAsia="Times New Roman" w:cs="Times New Roman"/>
        </w:rPr>
        <w:t>Aisaya ya fayyace yanayin tarihin wannan nassi a aya ta goma da furucin nan, “a waccan rana.” Saboda haka, an riga an tantance waccan “rana” a ayoyin da suka gabaci aya ta goma. Sa’ad da muka bi diddigin wannan keɓaɓɓiyar ruwayar annabci baya zuwa ga nassin da yake ba mu damar gane lokacin da “waccan rana” take, sai mu kai ga aya ta ɗaya ta sura ta goma.</w:t>
      </w:r>
    </w:p>
    <w:p>
      <w:pPr>
        <w:pStyle w:val="ArticleScripture"/>
        <w:jc w:val="left"/>
      </w:pPr>
      <w:r>
        <w:rPr>
          <w:rFonts w:ascii="Times New Roman" w:hAnsi="Times New Roman" w:eastAsia="Times New Roman" w:cs="Times New Roman"/>
        </w:rPr>
        <w:t>Voué sa malheur à ceux qui prononcent des décrets iniques, et qui rédigent les prescriptions oppressives qu’ils ont établies. Ésaïe 10:1.</w:t>
      </w:r>
    </w:p>
    <w:p>
      <w:pPr>
        <w:pStyle w:val="ArticleBody"/>
        <w:jc w:val="left"/>
      </w:pPr>
      <w:r>
        <w:rPr>
          <w:rFonts w:ascii="Times New Roman" w:hAnsi="Times New Roman" w:eastAsia="Times New Roman" w:cs="Times New Roman"/>
        </w:rPr>
        <w:t>Sista White e tilma evangelie “unrighteous decree” ya ndzimana leyi tanihi nawu wa Sonto lowu nga eku teni hi ku hatlisa:</w:t>
      </w:r>
    </w:p>
    <w:p>
      <w:pPr>
        <w:pStyle w:val="ArticleScripture"/>
        <w:jc w:val="left"/>
      </w:pP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মূর্তিপূজার</w:t>
      </w:r>
      <w:r>
        <w:rPr>
          <w:rFonts w:ascii="Times New Roman" w:hAnsi="Times New Roman" w:eastAsia="Times New Roman" w:cs="Times New Roman"/>
        </w:rPr>
        <w:t xml:space="preserve"> </w:t>
      </w:r>
      <w:r>
        <w:rPr>
          <w:rFonts w:ascii="Nirmala UI" w:hAnsi="Nirmala UI" w:eastAsia="Nirmala UI" w:cs="Nirmala UI"/>
        </w:rPr>
        <w:t>সাবাথ</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দুরার</w:t>
      </w:r>
      <w:r>
        <w:rPr>
          <w:rFonts w:ascii="Times New Roman" w:hAnsi="Times New Roman" w:eastAsia="Times New Roman" w:cs="Times New Roman"/>
        </w:rPr>
        <w:t xml:space="preserve"> </w:t>
      </w:r>
      <w:r>
        <w:rPr>
          <w:rFonts w:ascii="Nirmala UI" w:hAnsi="Nirmala UI" w:eastAsia="Nirmala UI" w:cs="Nirmala UI"/>
        </w:rPr>
        <w:t>সমতলে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স্বর্ণমূর্তি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নবূখদ্</w:t>
      </w:r>
      <w:r>
        <w:rPr>
          <w:rFonts w:ascii="Times New Roman" w:hAnsi="Times New Roman" w:eastAsia="Times New Roman" w:cs="Times New Roman"/>
        </w:rPr>
        <w:t>‌</w:t>
      </w:r>
      <w:r>
        <w:rPr>
          <w:rFonts w:ascii="Nirmala UI" w:hAnsi="Nirmala UI" w:eastAsia="Nirmala UI" w:cs="Nirmala UI"/>
        </w:rPr>
        <w:t>নৎসর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ফরমান</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মূর্তির</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উপাসনা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প্রথাকে</w:t>
      </w:r>
      <w:r>
        <w:rPr>
          <w:rFonts w:ascii="Times New Roman" w:hAnsi="Times New Roman" w:eastAsia="Times New Roman" w:cs="Times New Roman"/>
        </w:rPr>
        <w:t xml:space="preserve"> </w:t>
      </w:r>
      <w:r>
        <w:rPr>
          <w:rFonts w:ascii="Nirmala UI" w:hAnsi="Nirmala UI" w:eastAsia="Nirmala UI" w:cs="Nirmala UI"/>
        </w:rPr>
        <w:t>সম্মান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কারাবাস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মৃত্যুদণ্ডে</w:t>
      </w:r>
      <w:r>
        <w:rPr>
          <w:rFonts w:ascii="Times New Roman" w:hAnsi="Times New Roman" w:eastAsia="Times New Roman" w:cs="Times New Roman"/>
        </w:rPr>
        <w:t xml:space="preserve"> </w:t>
      </w:r>
      <w:r>
        <w:rPr>
          <w:rFonts w:ascii="Nirmala UI" w:hAnsi="Nirmala UI" w:eastAsia="Nirmala UI" w:cs="Nirmala UI"/>
        </w:rPr>
        <w:t>দণ্ডিত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সাবাথ</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w:t>
      </w:r>
      <w:r>
        <w:rPr>
          <w:rFonts w:ascii="Nirmala UI" w:hAnsi="Nirmala UI" w:eastAsia="Nirmala UI" w:cs="Nirmala UI"/>
        </w:rPr>
        <w:t>ধিক্</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অন্যায়</w:t>
      </w:r>
      <w:r>
        <w:rPr>
          <w:rFonts w:ascii="Times New Roman" w:hAnsi="Times New Roman" w:eastAsia="Times New Roman" w:cs="Times New Roman"/>
        </w:rPr>
        <w:t xml:space="preserve"> </w:t>
      </w:r>
      <w:r>
        <w:rPr>
          <w:rFonts w:ascii="Nirmala UI" w:hAnsi="Nirmala UI" w:eastAsia="Nirmala UI" w:cs="Nirmala UI"/>
        </w:rPr>
        <w:t>বিধান</w:t>
      </w:r>
      <w:r>
        <w:rPr>
          <w:rFonts w:ascii="Times New Roman" w:hAnsi="Times New Roman" w:eastAsia="Times New Roman" w:cs="Times New Roman"/>
        </w:rPr>
        <w:t xml:space="preserve"> </w:t>
      </w:r>
      <w:r>
        <w:rPr>
          <w:rFonts w:ascii="Nirmala UI" w:hAnsi="Nirmala UI" w:eastAsia="Nirmala UI" w:cs="Nirmala UI"/>
        </w:rPr>
        <w:t>প্রণয়ন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দুঃসহ</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নির্ধারণ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[Isaiah 10:1]</w:t>
      </w:r>
      <w:r>
        <w:rPr>
          <w:rFonts w:ascii="Nirmala UI" w:hAnsi="Nirmala UI" w:eastAsia="Nirmala UI" w:cs="Nirmala UI"/>
        </w:rPr>
        <w:t>।</w:t>
      </w:r>
      <w:r>
        <w:rPr>
          <w:rFonts w:ascii="Times New Roman" w:hAnsi="Times New Roman" w:eastAsia="Times New Roman" w:cs="Times New Roman"/>
        </w:rPr>
        <w:t xml:space="preserve"> [Zephaniah 1:14–18]” Manuscript Releases, volume 14, 92.</w:t>
      </w:r>
    </w:p>
    <w:p>
      <w:pPr>
        <w:pStyle w:val="ArticleBody"/>
        <w:jc w:val="left"/>
      </w:pPr>
      <w:r>
        <w:rPr>
          <w:rFonts w:ascii="Times New Roman" w:hAnsi="Times New Roman" w:eastAsia="Times New Roman" w:cs="Times New Roman"/>
        </w:rPr>
        <w:t>Le contexte dans lequel le Seigneur rassemble son peuple une seconde fois s’inscrit dans l’histoire de la crise imminente de la loi du dimanche, car au verset douze du chapitre dix, Ésaïe parle du Seigneur achevant une œuvre parmi son peuple avant d’exercer son jugement exécutif lors du décret inique, lequel est la loi du dimanche.</w:t>
      </w:r>
    </w:p>
    <w:p>
      <w:pPr>
        <w:pStyle w:val="ArticleScripture"/>
        <w:jc w:val="left"/>
      </w:pPr>
      <w:r>
        <w:rPr>
          <w:rFonts w:ascii="Times New Roman" w:hAnsi="Times New Roman" w:eastAsia="Times New Roman" w:cs="Times New Roman"/>
        </w:rPr>
        <w:t>Awo, e bɛba sɛ, sɛ Awurade ayɛ n’adwuma nyinaa wɔ bepɔw Sion ne Yerusalem so no, mɛtwe Asiriahene no koma ahantan mu aba no ne n’aniwa a ɛkorɔn anuonyam no aso. Yesaia 10:12.</w:t>
      </w:r>
    </w:p>
    <w:p>
      <w:pPr>
        <w:pStyle w:val="ArticleBody"/>
        <w:jc w:val="left"/>
      </w:pPr>
      <w:r>
        <w:rPr>
          <w:rFonts w:ascii="Times New Roman" w:hAnsi="Times New Roman" w:eastAsia="Times New Roman" w:cs="Times New Roman"/>
        </w:rPr>
        <w:t>“Opus super Sion et super Ierusalem”, quod Dominus “perficit” antequam poena papatus ad legem dominicalem incipiat, est obsignatio centum quadraginta quattuor milium. In capite nono Ezechielis, vir cum atramentario scriptoris pertransit Ierusalem, signum imponens iis “qui gemunt et clamant propter omnes abominationes quae fiunt in terra” et in ecclesia. Hoc opus complectitur etiam processum quo Dominus dispersos Israelis secundo congregat. Eos congregat ex quattuor angulis terrae, et “quattuor anguli terrae” per octo regiones geographicas repraesentantur. Octonarius est symbolum probationis imaginis bestiae, atque ita demonstrat ultimam congregationem eorum qui signum erant fieri eo tempore accidere quo probatio imaginis bestiae in terra peragitur.</w:t>
      </w:r>
    </w:p>
    <w:p>
      <w:pPr>
        <w:pStyle w:val="ArticleBody"/>
        <w:jc w:val="left"/>
      </w:pPr>
      <w:r>
        <w:rPr>
          <w:rFonts w:ascii="Times New Roman" w:hAnsi="Times New Roman" w:eastAsia="Times New Roman" w:cs="Times New Roman"/>
        </w:rPr>
        <w:t>“</w:t>
      </w:r>
      <w:r>
        <w:rPr>
          <w:rFonts w:ascii="Nirmala UI" w:hAnsi="Nirmala UI" w:eastAsia="Nirmala UI" w:cs="Nirmala UI"/>
        </w:rPr>
        <w:t>એફ્રાયિમ</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ઈર્ષ્યા</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યહૂદાએ</w:t>
      </w:r>
      <w:r>
        <w:rPr>
          <w:rFonts w:ascii="Times New Roman" w:hAnsi="Times New Roman" w:eastAsia="Times New Roman" w:cs="Times New Roman"/>
        </w:rPr>
        <w:t>” “</w:t>
      </w:r>
      <w:r>
        <w:rPr>
          <w:rFonts w:ascii="Nirmala UI" w:hAnsi="Nirmala UI" w:eastAsia="Nirmala UI" w:cs="Nirmala UI"/>
        </w:rPr>
        <w:t>એફ્રાયિમને</w:t>
      </w:r>
      <w:r>
        <w:rPr>
          <w:rFonts w:ascii="Times New Roman" w:hAnsi="Times New Roman" w:eastAsia="Times New Roman" w:cs="Times New Roman"/>
        </w:rPr>
        <w:t xml:space="preserve"> </w:t>
      </w:r>
      <w:r>
        <w:rPr>
          <w:rFonts w:ascii="Nirmala UI" w:hAnsi="Nirmala UI" w:eastAsia="Nirmala UI" w:cs="Nirmala UI"/>
        </w:rPr>
        <w:t>સતાવવો</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એકતા</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વિરોધીઓ</w:t>
      </w:r>
      <w:r>
        <w:rPr>
          <w:rFonts w:ascii="Times New Roman" w:hAnsi="Times New Roman" w:eastAsia="Times New Roman" w:cs="Times New Roman"/>
        </w:rPr>
        <w:t xml:space="preserve"> </w:t>
      </w:r>
      <w:r>
        <w:rPr>
          <w:rFonts w:ascii="Nirmala UI" w:hAnsi="Nirmala UI" w:eastAsia="Nirmala UI" w:cs="Nirmala UI"/>
        </w:rPr>
        <w:t>નષ્ટ</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અનુસાર</w:t>
      </w:r>
      <w:r>
        <w:rPr>
          <w:rFonts w:ascii="Times New Roman" w:hAnsi="Times New Roman" w:eastAsia="Times New Roman" w:cs="Times New Roman"/>
        </w:rPr>
        <w:t xml:space="preserve">, </w:t>
      </w:r>
      <w:r>
        <w:rPr>
          <w:rFonts w:ascii="Nirmala UI" w:hAnsi="Nirmala UI" w:eastAsia="Nirmala UI" w:cs="Nirmala UI"/>
        </w:rPr>
        <w:t>ભૂતપૂર્વ</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યુદાસ</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શૈતાનના</w:t>
      </w:r>
      <w:r>
        <w:rPr>
          <w:rFonts w:ascii="Times New Roman" w:hAnsi="Times New Roman" w:eastAsia="Times New Roman" w:cs="Times New Roman"/>
        </w:rPr>
        <w:t xml:space="preserve"> </w:t>
      </w:r>
      <w:r>
        <w:rPr>
          <w:rFonts w:ascii="Nirmala UI" w:hAnsi="Nirmala UI" w:eastAsia="Nirmala UI" w:cs="Nirmala UI"/>
        </w:rPr>
        <w:t>સભામંડળ</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ઉપહાસ</w:t>
      </w:r>
      <w:r>
        <w:rPr>
          <w:rFonts w:ascii="Times New Roman" w:hAnsi="Times New Roman" w:eastAsia="Times New Roman" w:cs="Times New Roman"/>
        </w:rPr>
        <w:t xml:space="preserve"> </w:t>
      </w:r>
      <w:r>
        <w:rPr>
          <w:rFonts w:ascii="Nirmala UI" w:hAnsi="Nirmala UI" w:eastAsia="Nirmala UI" w:cs="Nirmala UI"/>
        </w:rPr>
        <w:t>કરનારાઓની</w:t>
      </w:r>
      <w:r>
        <w:rPr>
          <w:rFonts w:ascii="Times New Roman" w:hAnsi="Times New Roman" w:eastAsia="Times New Roman" w:cs="Times New Roman"/>
        </w:rPr>
        <w:t xml:space="preserve"> </w:t>
      </w:r>
      <w:r>
        <w:rPr>
          <w:rFonts w:ascii="Nirmala UI" w:hAnsi="Nirmala UI" w:eastAsia="Nirmala UI" w:cs="Nirmala UI"/>
        </w:rPr>
        <w:t>સભા</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મિલરાઇટ</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પ્રોટેસ્ટન્ટો</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યહૂદીઓ</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નિરાશાના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નષ્ટ</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યર્મિયા</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આદેશ</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કદી</w:t>
      </w:r>
      <w:r>
        <w:rPr>
          <w:rFonts w:ascii="Times New Roman" w:hAnsi="Times New Roman" w:eastAsia="Times New Roman" w:cs="Times New Roman"/>
        </w:rPr>
        <w:t xml:space="preserve"> </w:t>
      </w:r>
      <w:r>
        <w:rPr>
          <w:rFonts w:ascii="Nirmala UI" w:hAnsi="Nirmala UI" w:eastAsia="Nirmala UI" w:cs="Nirmala UI"/>
        </w:rPr>
        <w:t>ઉપહાસ</w:t>
      </w:r>
      <w:r>
        <w:rPr>
          <w:rFonts w:ascii="Times New Roman" w:hAnsi="Times New Roman" w:eastAsia="Times New Roman" w:cs="Times New Roman"/>
        </w:rPr>
        <w:t xml:space="preserve"> </w:t>
      </w:r>
      <w:r>
        <w:rPr>
          <w:rFonts w:ascii="Nirmala UI" w:hAnsi="Nirmala UI" w:eastAsia="Nirmala UI" w:cs="Nirmala UI"/>
        </w:rPr>
        <w:t>કરનારાઓની</w:t>
      </w:r>
      <w:r>
        <w:rPr>
          <w:rFonts w:ascii="Times New Roman" w:hAnsi="Times New Roman" w:eastAsia="Times New Roman" w:cs="Times New Roman"/>
        </w:rPr>
        <w:t xml:space="preserve"> </w:t>
      </w:r>
      <w:r>
        <w:rPr>
          <w:rFonts w:ascii="Nirmala UI" w:hAnsi="Nirmala UI" w:eastAsia="Nirmala UI" w:cs="Nirmala UI"/>
        </w:rPr>
        <w:t>સભામાં</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શકશે</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પસ્તાવો</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Ho tloha ka la 18 Phupu 2020 ho isa molaong oa Sontaha, Morena o bokella batho ba Hae ba mehleng ea bofelo lekhetlo la bobeli. O ba bokella ho tsoa lefatšeng lohle, nakong eo A phethelang mosebetsi oa Hae kaofela holim’a Juda le Jerusalema. Nakong eo ea ho tiisoa, batho ba Molimo ba mehleng ea bofelo ba tla ba ba sa hlahelleng, empa leha ho le joalo ba tla tobana le kopano e meraro e hanyetsang mosebetsi oa bona.</w:t>
      </w:r>
    </w:p>
    <w:p>
      <w:pPr>
        <w:pStyle w:val="ArticleBody"/>
        <w:jc w:val="left"/>
      </w:pPr>
      <w:r>
        <w:rPr>
          <w:rFonts w:ascii="Times New Roman" w:hAnsi="Times New Roman" w:eastAsia="Times New Roman" w:cs="Times New Roman"/>
        </w:rPr>
        <w:t>Le catholicisme est la bête de l’union triple, et l’une de ses filles est la catégorie que Sœur White identifie comme l’Église nominale. Elles représentent le faux prophète. Les adventistes laodicéens nominaux, représentés par Judas, sont le dragon dans cette représentation. La rébellion de 1863 était préfigurée par la rébellion de l’ancien Israël au premier Kadès, lorsqu’ils choisirent de rejeter le message de Josué et de Caleb et de retourner en Égypte. L’Égypte est un symbole du dragon.</w:t>
      </w:r>
    </w:p>
    <w:p>
      <w:pPr>
        <w:pStyle w:val="ArticleScripture"/>
        <w:jc w:val="left"/>
      </w:pPr>
      <w:r>
        <w:rPr>
          <w:rFonts w:ascii="Times New Roman" w:hAnsi="Times New Roman" w:eastAsia="Times New Roman" w:cs="Times New Roman"/>
        </w:rPr>
        <w:t>Tama na tagata, ia e faasaga atu i lou mata ia Farao le tupu o Aikupito, ma vavalo atu e faasaga ia te ia, ma Aikupito uma lava; ia e tautala atu, ma faapea atu, O loo faapea mai le Alii le Atua; Faauta, ou te tetee ia te oe, Farao le tupu o Aikupito, le tarako tele o loo taoto i totonu o ona vaitafe, o lē ua faapea mai, O loʻu vaitafe e aʻu lava ia, ma ua ou faia mo aʻu lava. Esekielu 29:2, 3.</w:t>
      </w:r>
    </w:p>
    <w:p>
      <w:pPr>
        <w:pStyle w:val="ArticleBody"/>
        <w:jc w:val="left"/>
      </w:pPr>
      <w:r>
        <w:rPr>
          <w:rFonts w:ascii="Nirmala UI" w:hAnsi="Nirmala UI" w:eastAsia="Nirmala UI" w:cs="Nirmala UI"/>
        </w:rPr>
        <w:t>ನೀಡಲಾದ</w:t>
      </w:r>
      <w:r>
        <w:rPr>
          <w:rFonts w:ascii="Times New Roman" w:hAnsi="Times New Roman" w:eastAsia="Times New Roman" w:cs="Times New Roman"/>
        </w:rPr>
        <w:t xml:space="preserve"> </w:t>
      </w:r>
      <w:r>
        <w:rPr>
          <w:rFonts w:ascii="Nirmala UI" w:hAnsi="Nirmala UI" w:eastAsia="Nirmala UI" w:cs="Nirmala UI"/>
        </w:rPr>
        <w:t>ಪಠ್ಯದಲ್ಲಿನ</w:t>
      </w:r>
      <w:r>
        <w:rPr>
          <w:rFonts w:ascii="Times New Roman" w:hAnsi="Times New Roman" w:eastAsia="Times New Roman" w:cs="Times New Roman"/>
        </w:rPr>
        <w:t xml:space="preserve"> “ff”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ಗುರಿ</w:t>
      </w:r>
      <w:r>
        <w:rPr>
          <w:rFonts w:ascii="Times New Roman" w:hAnsi="Times New Roman" w:eastAsia="Times New Roman" w:cs="Times New Roman"/>
        </w:rPr>
        <w:t xml:space="preserve"> </w:t>
      </w:r>
      <w:r>
        <w:rPr>
          <w:rFonts w:ascii="Nirmala UI" w:hAnsi="Nirmala UI" w:eastAsia="Nirmala UI" w:cs="Nirmala UI"/>
        </w:rPr>
        <w:t>ಭಾಷೆ</w:t>
      </w:r>
      <w:r>
        <w:rPr>
          <w:rFonts w:ascii="Times New Roman" w:hAnsi="Times New Roman" w:eastAsia="Times New Roman" w:cs="Times New Roman"/>
        </w:rPr>
        <w:t xml:space="preserve"> </w:t>
      </w:r>
      <w:r>
        <w:rPr>
          <w:rFonts w:ascii="Nirmala UI" w:hAnsi="Nirmala UI" w:eastAsia="Nirmala UI" w:cs="Nirmala UI"/>
        </w:rPr>
        <w:t>ಯಾವುದು</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ಸ್ಪಷ್ಟವಾಗಿಲ್ಲ</w:t>
      </w:r>
      <w:r>
        <w:rPr>
          <w:rFonts w:ascii="Times New Roman" w:hAnsi="Times New Roman" w:eastAsia="Times New Roman" w:cs="Times New Roman"/>
        </w:rPr>
        <w:t xml:space="preserve">. </w:t>
      </w:r>
      <w:r>
        <w:rPr>
          <w:rFonts w:ascii="Nirmala UI" w:hAnsi="Nirmala UI" w:eastAsia="Nirmala UI" w:cs="Nirmala UI"/>
        </w:rPr>
        <w:t>ದಯವಿಟ್ಟು</w:t>
      </w:r>
      <w:r>
        <w:rPr>
          <w:rFonts w:ascii="Times New Roman" w:hAnsi="Times New Roman" w:eastAsia="Times New Roman" w:cs="Times New Roman"/>
        </w:rPr>
        <w:t xml:space="preserve"> </w:t>
      </w:r>
      <w:r>
        <w:rPr>
          <w:rFonts w:ascii="Nirmala UI" w:hAnsi="Nirmala UI" w:eastAsia="Nirmala UI" w:cs="Nirmala UI"/>
        </w:rPr>
        <w:t>ಗುರಿ</w:t>
      </w:r>
      <w:r>
        <w:rPr>
          <w:rFonts w:ascii="Times New Roman" w:hAnsi="Times New Roman" w:eastAsia="Times New Roman" w:cs="Times New Roman"/>
        </w:rPr>
        <w:t xml:space="preserve"> </w:t>
      </w:r>
      <w:r>
        <w:rPr>
          <w:rFonts w:ascii="Nirmala UI" w:hAnsi="Nirmala UI" w:eastAsia="Nirmala UI" w:cs="Nirmala UI"/>
        </w:rPr>
        <w:t>ಭಾಷೆಯನ್ನು</w:t>
      </w:r>
      <w:r>
        <w:rPr>
          <w:rFonts w:ascii="Times New Roman" w:hAnsi="Times New Roman" w:eastAsia="Times New Roman" w:cs="Times New Roman"/>
        </w:rPr>
        <w:t xml:space="preserve"> </w:t>
      </w:r>
      <w:r>
        <w:rPr>
          <w:rFonts w:ascii="Nirmala UI" w:hAnsi="Nirmala UI" w:eastAsia="Nirmala UI" w:cs="Nirmala UI"/>
        </w:rPr>
        <w:t>ತಿಳಿಸಿ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Em 18 de julho de 2020, os “adversários de Judá” foram “eliminados”, e o templo dos cento e quarenta e quatro mil foi estabelecido. Restava apenas que o templo fosse purificado, em preparação para que o Mensageiro do Concerto viesse subitamente ao Seu templo. O templo da história milerita foi erigido ao longo de quarenta e seis anos, desde 1798 até 1844. No primeiro desapontamento de 19 de abril de 1844, os protestantes foram eliminados e passaram a fazer parte da sinagoga de Satanás, a assembleia dos escarnecedores, uma filha de Roma. Desse ponto até 22 de outubro de 1844, ocorreu um processo de purificação em preparação para que os fiéis seguissem Cristo ao Lugar Santíssimo, a fim de que Ele realizasse a obra de unir a Sua divindade à humanidade deles.</w:t>
      </w:r>
    </w:p>
    <w:p>
      <w:pPr>
        <w:pStyle w:val="ArticleBody"/>
        <w:jc w:val="left"/>
      </w:pPr>
      <w:r>
        <w:rPr>
          <w:rFonts w:ascii="Times New Roman" w:hAnsi="Times New Roman" w:eastAsia="Times New Roman" w:cs="Times New Roman"/>
        </w:rPr>
        <w:t>L’histoire de la véritable corne protestante, qui est rassemblée une seconde fois juste avant le décret inique, afin qu’elle soit l’enseigne dont Dieu se sert pour appeler hors de Babylone Son autre troupeau, se déroule dans la même période où les cornes républicaine et protestante apostates s’unissent, commettant une fornication spirituelle, devenant ainsi une seule chair, ou un seul temple, lequel est l’image de la bête. Le temple de Dieu forme simultanément l’image de Christ.</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Palabra que vino de Jehová a Jeremías, diciendo: Ponte a la puerta de la casa de Jehová, y proclama allí esta palabra, y di: Oíd palabra de Jehová, todos los de Judá que entráis por estas puertas para adorar a Jehová. Así ha dicho Jehová de los ejércitos, Dios de Israel: Enmendad vuestros caminos y vuestras obras, y os haré morar en este lugar. No confiéis en palabras mentirosas, diciendo: Templo de Jehová, templo de Jehová, templo de Jehová es este. Porque si de veras enmendáis vuestros caminos y vuestras obras; si de veras hacéis justicia entre el hombre y su prójimo; si no oprimís al extranjero, al huérfano y a la viuda, ni derramáis sangre inocente en este lugar, ni andáis en pos de dioses ajenos para vuestro mal, entonces os haré morar en este lugar, en la tierra que di a vuestros padres, por los siglos de los siglos. He aquí, vosotros confiáis en palabras mentirosas que no aprovechan. ¿Hurtaréis, mataréis, cometeréis adulterio, juraréis en falso, ofreceréis incienso a Baal, y andaréis en pos de dioses ajenos que no conocéis, y vendréis y os pondréis delante de mí en esta casa, sobre la cual es invocado mi nombre, y diréis: Somos librados para hacer todas estas abominaciones? ¿Es esta casa, sobre la cual es invocado mi nombre, cueva de ladrones delante de vuestros ojos? He aquí que también yo lo he visto, dice Jehová.</w:t>
      </w:r>
    </w:p>
    <w:p>
      <w:pPr>
        <w:pStyle w:val="ArticleScripture"/>
        <w:jc w:val="left"/>
      </w:pPr>
      <w:r>
        <w:rPr>
          <w:rFonts w:ascii="Times New Roman" w:hAnsi="Times New Roman" w:eastAsia="Times New Roman" w:cs="Times New Roman"/>
        </w:rPr>
        <w:t>Mais allez maintenant jusqu’au lieu qui était à moi, à Silo, où j’avais d’abord fait résider mon nom, et voyez ce que je lui ai fait à cause de la méchanceté de mon peuple d’Israël. Et maintenant, parce que vous avez commis toutes ces actions, dit l’Éternel, et que je vous ai parlé, me levant de bon matin et parlant, mais que vous n’avez pas écouté; et que je vous ai appelés, mais que vous n’avez pas répondu; c’est pourquoi je ferai à cette maison, qui est appelée de mon nom, en laquelle vous vous confiez, et au lieu que je vous ai donné, à vous et à vos pères, comme j’ai fait à Silo. Et je vous rejetterai loin de ma face, comme j’ai rejeté tous vos frères, toute la postérité d’Éphraïm. Toi donc, n’intercède pas pour ce peuple, n’élève pour eux ni cri ni prière, et ne fais pas d’intercession auprès de moi; car je ne t’écouterai pas. Ne vois-tu pas ce qu’ils font dans les villes de Juda et dans les rues de Jérusalem? Jérémie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ستانوے نمبر</dc:title>
  <dc:subject>Le Déploiement prophétique : le second rassemblement du Christ et le rôle eschatologique de l’islam dans le récit de l’Apocalypse</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