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dix-neuf</w:t>
      </w:r>
    </w:p>
    <w:p>
      <w:pPr>
        <w:pStyle w:val="ArticleSubtitle"/>
        <w:jc w:val="left"/>
      </w:pPr>
      <w:r>
        <w:rPr>
          <w:rFonts w:ascii="Nirmala UI" w:hAnsi="Nirmala UI" w:eastAsia="Nirmala UI" w:cs="Nirmala UI"/>
        </w:rPr>
        <w:t>దానియేలు</w:t>
      </w:r>
      <w:r>
        <w:rPr>
          <w:rFonts w:ascii="Arial" w:hAnsi="Arial" w:eastAsia="Arial" w:cs="Arial"/>
        </w:rPr>
        <w:t xml:space="preserve"> </w:t>
      </w:r>
      <w:r>
        <w:rPr>
          <w:rFonts w:ascii="Nirmala UI" w:hAnsi="Nirmala UI" w:eastAsia="Nirmala UI" w:cs="Nirmala UI"/>
        </w:rPr>
        <w:t>గ్రంథంలో</w:t>
      </w:r>
      <w:r>
        <w:rPr>
          <w:rFonts w:ascii="Arial" w:hAnsi="Arial" w:eastAsia="Arial" w:cs="Arial"/>
        </w:rPr>
        <w:t xml:space="preserve"> ‘</w:t>
      </w:r>
      <w:r>
        <w:rPr>
          <w:rFonts w:ascii="Nirmala UI" w:hAnsi="Nirmala UI" w:eastAsia="Nirmala UI" w:cs="Nirmala UI"/>
        </w:rPr>
        <w:t>గంట</w:t>
      </w:r>
      <w:r>
        <w:rPr>
          <w:rFonts w:ascii="Arial" w:hAnsi="Arial" w:eastAsia="Arial" w:cs="Arial"/>
        </w:rPr>
        <w:t xml:space="preserve">’ </w:t>
      </w:r>
      <w:r>
        <w:rPr>
          <w:rFonts w:ascii="Nirmala UI" w:hAnsi="Nirmala UI" w:eastAsia="Nirmala UI" w:cs="Nirmala UI"/>
        </w:rPr>
        <w:t>అనే</w:t>
      </w:r>
      <w:r>
        <w:rPr>
          <w:rFonts w:ascii="Arial" w:hAnsi="Arial" w:eastAsia="Arial" w:cs="Arial"/>
        </w:rPr>
        <w:t xml:space="preserve"> </w:t>
      </w:r>
      <w:r>
        <w:rPr>
          <w:rFonts w:ascii="Nirmala UI" w:hAnsi="Nirmala UI" w:eastAsia="Nirmala UI" w:cs="Nirmala UI"/>
        </w:rPr>
        <w:t>పదం</w:t>
      </w:r>
      <w:r>
        <w:rPr>
          <w:rFonts w:ascii="Arial" w:hAnsi="Arial" w:eastAsia="Arial" w:cs="Arial"/>
        </w:rPr>
        <w:t xml:space="preserve"> </w:t>
      </w:r>
      <w:r>
        <w:rPr>
          <w:rFonts w:ascii="Nirmala UI" w:hAnsi="Nirmala UI" w:eastAsia="Nirmala UI" w:cs="Nirmala UI"/>
        </w:rPr>
        <w:t>యొక్క</w:t>
      </w:r>
      <w:r>
        <w:rPr>
          <w:rFonts w:ascii="Arial" w:hAnsi="Arial" w:eastAsia="Arial" w:cs="Arial"/>
        </w:rPr>
        <w:t xml:space="preserve"> </w:t>
      </w:r>
      <w:r>
        <w:rPr>
          <w:rFonts w:ascii="Nirmala UI" w:hAnsi="Nirmala UI" w:eastAsia="Nirmala UI" w:cs="Nirmala UI"/>
        </w:rPr>
        <w:t>ప్రవచనాత్మక</w:t>
      </w:r>
      <w:r>
        <w:rPr>
          <w:rFonts w:ascii="Arial" w:hAnsi="Arial" w:eastAsia="Arial" w:cs="Arial"/>
        </w:rPr>
        <w:t xml:space="preserve"> </w:t>
      </w:r>
      <w:r>
        <w:rPr>
          <w:rFonts w:ascii="Nirmala UI" w:hAnsi="Nirmala UI" w:eastAsia="Nirmala UI" w:cs="Nirmala UI"/>
        </w:rPr>
        <w:t>ప్రాముఖ్యత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El término “hora”, que en el Antiguo Testamento se encuentra únicamente en el libro de Daniel, está siempre asociado con algún tipo de juicio. En el capítulo tres representa la ley dominical, con el énfasis puesto en el estandarte representado por Sadrac, Mesac y Abed-nego.</w:t>
      </w:r>
    </w:p>
    <w:p>
      <w:pPr>
        <w:pStyle w:val="ArticleBody"/>
        <w:jc w:val="left"/>
      </w:pPr>
      <w:r>
        <w:rPr>
          <w:rFonts w:ascii="Times New Roman" w:hAnsi="Times New Roman" w:eastAsia="Times New Roman" w:cs="Times New Roman"/>
        </w:rPr>
        <w:t>Na sura ya nne, kinawakilisha kuja kwa onyo la ujumbe wa malaika wa kwanza katika mwaka wa 1798. Neno hilo lilipotumiwa mara ya pili katika sura ya nne, liliwakilisha kufunguliwa kwa hukumu ya uchunguzi mnamo Oktoba 22, 1844. Katika sura ya nne, matumizi hayo mawili ya neno “saa” yanawakilisha historia ya jumbe za malaika wa kwanza na wa pili kuanzia 1798 hadi 1844. Historia hiyo ndiyo historia ya ngurumo saba za Ufunuo kumi. Ngurumo saba zinawakilishwa na nyakati mbili ambazo neno “saa” limetumiwa katika sura ya nne, na kwa hiyo pia zinawakilisha historia ya malaika wa tatu tangu 1989 hadi sheria ya Jumapili iliyo karibu kuja.</w:t>
      </w:r>
    </w:p>
    <w:p>
      <w:pPr>
        <w:pStyle w:val="ArticleBody"/>
        <w:jc w:val="left"/>
      </w:pPr>
      <w:r>
        <w:rPr>
          <w:rFonts w:ascii="Times New Roman" w:hAnsi="Times New Roman" w:eastAsia="Times New Roman" w:cs="Times New Roman"/>
        </w:rPr>
        <w:t>Mfandini ya vumbirhi, rito leri nge “awara” ri tlhela ri yimela nawu wa Sonto, kambe nkatsakanyo wa kona kwalaho wu le ku heleni ka mfumo wa vutsevu wa vuprofeta bya Bibele, ku nga United States, tanihi leswi swi fanekiseriwaka hi ku hela ka mfumo wo sungula wa vuprofeta bya Bibele, Babilona. Eka mfandini ya vunharhu, nkatsakanyo a wu ri ehenhla ka xifungo endzeni ka ndzilo, kambe eka mfandini ya vuntlhanu nkatsakanyo wu le henhla ka makumu ya Belxatsara ni vuavanyisi bya yena byo karhi, hambiswiritano Daniyele eku heteleleni wa nghena emhakeni a fanekisela xifungo.</w:t>
      </w:r>
    </w:p>
    <w:p>
      <w:pPr>
        <w:pStyle w:val="ArticleBody"/>
        <w:jc w:val="left"/>
      </w:pPr>
      <w:r>
        <w:rPr>
          <w:rFonts w:ascii="Times New Roman" w:hAnsi="Times New Roman" w:eastAsia="Times New Roman" w:cs="Times New Roman"/>
        </w:rPr>
        <w:t>Pa langzà dî Domenia, a vegnen rapresentadis la “ore” de dedicazion di Nabucodonosor e la muart di Belsatsar. La “ore”, rapresentade tant che la vierzidure dal judicî tal capitul cuatri, e identifique la vierzidure dal judicî investigatîf ai 22 di otubar dal 1844, e e identifique ancje la vierzidure dal judicî esecutîf te langzà de Domenia. Sedi che si trati de vierzidure dai libris dal judicî tal santuari celest ai 22 di otubar dal 1844, o dal inizi dal judicî di Diu menât sore chei che a àn rifiudât la salvezze, tal inizi dal judicî esecutîf te langzà de Domenia l’aviertiment pal judicî che si svicine, in ducj e doi i câs, al è rapresentât in Daniel capitul cuatri de prime volte che la peraule “ore” e je doprade; e il scomençâ efetîf di cualsisei dai doi gjenars di judicî al è rapresentât de seconde volte che la peraule “ore” e je doprade tal capitul cuatri.</w:t>
      </w:r>
    </w:p>
    <w:p>
      <w:pPr>
        <w:pStyle w:val="ArticleBody"/>
        <w:jc w:val="left"/>
      </w:pPr>
      <w:r>
        <w:rPr>
          <w:rFonts w:ascii="Times New Roman" w:hAnsi="Times New Roman" w:eastAsia="Times New Roman" w:cs="Times New Roman"/>
        </w:rPr>
        <w:t>Даниелийн хэрэглэсэн “цаг” хэмээх үгийн дүрмийн нэр томьёо нь энэ нь “олон утгат үг” гэсэн явдал юм. Олон утгат үг гэдэг нь өөр өөр тодорхойлолттой боловч тэдгээрийг нэг ижил ангиллын дор хамтад нь авч үзэж болох үг юм. Даниел “цаг” хэмээх үгийг хэрэглэсэн таван тохиолдол бүгд шүүлттэй холбоотой боловч тэдгээр нь Бурханы өшөөт шүүлтийн, өөрөөр хэлбэл Түүний гүйцэтгэгч шүүлтийн, эсвэл хэн аврагдах, хэн аврагдахгүйг Тэр тогтоож буй Бурханы мөрдөн шалгах шүүлтийн өөр өөр талуудыг тус тус хөнддөг. 1844 оны 10 дугаар сарын 22-нд эхэлсэн мөрдөн шалгах шүүлт ч бай, эсвэл удахгүй гарах Ням гаргийн хуулиар эхлэх гүйцэтгэгч шүүлт ч бай, аль аль шүүлт нь шинж чанарын хувьд шатлан өрнөдөг. Бурханы өшөөт, өөрөөр хэлбэл гүйцэтгэгч шүүлт нь Ням гаргийн хуулиар эхэлж, улмаар аажмаар ширүүссээр, эцэст нь хүний шалгалтын хугацааны хаалт болон долоон сүүлчийн гай гамшигт хүрдэг.</w:t>
      </w:r>
    </w:p>
    <w:p>
      <w:pPr>
        <w:pStyle w:val="ArticleBody"/>
        <w:jc w:val="left"/>
      </w:pPr>
      <w:r>
        <w:rPr>
          <w:rFonts w:ascii="Times New Roman" w:hAnsi="Times New Roman" w:eastAsia="Times New Roman" w:cs="Times New Roman"/>
        </w:rPr>
        <w:t>Danyel suura shanitti “saʼaa” jedhu fayyadamuudhaan murtii raawwachiisummaa Waaqayyoo, duʼa Belshazzar fi xumura saba inni bulchaa tureen bakka buufame, ibsa.</w:t>
      </w:r>
    </w:p>
    <w:p>
      <w:pPr>
        <w:pStyle w:val="ArticleScripture"/>
        <w:jc w:val="left"/>
      </w:pPr>
      <w:r>
        <w:rPr>
          <w:rFonts w:ascii="Times New Roman" w:hAnsi="Times New Roman" w:eastAsia="Times New Roman" w:cs="Times New Roman"/>
        </w:rPr>
        <w:t>Une même heure, les doigts d’une main d’homme apparurent et écrivirent, en face du chandelier, sur le plâtre de la muraille du palais du roi ; et le roi vit l’extrémité de la main qui écrivait. Daniel 5:5.</w:t>
      </w:r>
    </w:p>
    <w:p>
      <w:pPr>
        <w:pStyle w:val="ArticleBody"/>
        <w:jc w:val="left"/>
      </w:pPr>
      <w:r>
        <w:rPr>
          <w:rFonts w:ascii="Times New Roman" w:hAnsi="Times New Roman" w:eastAsia="Times New Roman" w:cs="Times New Roman"/>
        </w:rPr>
        <w:t>The executive judgment begins at the Sunday law, which is also represented by Nebuchadnezzar’s dedication of the golden image, but that “hour” is more about the deliverance of God’s people in the crisis that is brought about at the Sunday law. The executive judgment of the whore of Tyre, and also of the United States begins at the Sunday law, which is the “hour” that is a symbol of judgment in the book of Daniel.</w:t>
      </w:r>
    </w:p>
    <w:p>
      <w:pPr>
        <w:pStyle w:val="ArticleScripture"/>
        <w:jc w:val="left"/>
      </w:pPr>
      <w:r>
        <w:rPr>
          <w:rFonts w:ascii="Times New Roman" w:hAnsi="Times New Roman" w:eastAsia="Times New Roman" w:cs="Times New Roman"/>
        </w:rPr>
        <w:t>Na nikasikia sauti nyingine kutoka mbinguni, ikisema, Tokeni kwake, enyi watu wangu, msishiriki dhambi zake, wala msipokee mapigo yake. Kwa maana dhambi zake zimefika hata mbinguni, naye Mungu amekumbuka maovu yake. Mlipeni kama yeye alivyowalipa ninyi, mkamrudishie mara mbili sawasawa na matendo yake; katika kikombe alichokijaza, mjazieni mara mbili. Kadiri alivyojitukuza, na kuishi katika anasa, kadiri iyo hiyo mpeni mateso na huzuni; kwa maana asema moyoni mwake, Nimeketi malkia, wala mimi si mjane, wala sitaona huzuni kamwe. Kwa sababu hiyo mapigo yake yatakuja siku moja, mauti, na maombolezo, na njaa; naye atateketezwa kabisa kwa moto; kwa maana Bwana Mungu amhukumuye ni hodari. Na wafalme wa dunia, wale waliofanya uasherati naye na kuishi katika anasa pamoja naye, watalia kwa ajili yake, na kumwombolezea, watakapoiona moshi wa kuungua kwake, wakisimama mbali kwa sababu ya hofu ya mateso yake, wakisema, Ole! Ole, mji ule mkuu, Babeli, mji ule wenye nguvu! Kwa maana katika saa moja hukumu yako imekuja. Ufunuo 18:4–10.</w:t>
      </w:r>
    </w:p>
    <w:p>
      <w:pPr>
        <w:pStyle w:val="ArticleBody"/>
        <w:jc w:val="left"/>
      </w:pPr>
      <w:r>
        <w:rPr>
          <w:rFonts w:ascii="Times New Roman" w:hAnsi="Times New Roman" w:eastAsia="Times New Roman" w:cs="Times New Roman"/>
        </w:rPr>
        <w:t>La loi dominicale aux États-Unis, qui marque le commencement du jugement exécutif, lequel est lui aussi progressif, commence à « l’heure » où les enfants de Dieu qui sont encore à Babylone sont appelés à en sortir par l’enseigne. C’est « l’heure » où le jugement vient sur « cette grande ville, Babylone ». Son jugement, représenté par le mot « heure », couvre la période durant laquelle les autres brebis de Dieu sont appelées à sortir de Babylone.</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ठहरेगी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एलाम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शिनार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11:10–12.</w:t>
      </w:r>
    </w:p>
    <w:p>
      <w:pPr>
        <w:pStyle w:val="ArticleBody"/>
        <w:jc w:val="left"/>
      </w:pPr>
      <w:r>
        <w:rPr>
          <w:rFonts w:ascii="Times New Roman" w:hAnsi="Times New Roman" w:eastAsia="Times New Roman" w:cs="Times New Roman"/>
        </w:rPr>
        <w:t>Le Seigneur appela un peuple à sortir de Babylone dans le mouvement du premier ange en 1844, et le second ange de cette histoire doit être répété dans les derniers jours, lorsque « le Seigneur étendra de nouveau sa main, une seconde fois, pour racheter le reste de son peuple ». Le reste du peuple qu’Il appelle « de nouveau » à sortir n’est pas l’étendard, car l’étendard est la « racine d’Isaï », qui se dresse comme l’« étendard » que « les nations recherchent ». Une seconde fois, Dieu appellera les nations à sortir de Babylone.</w:t>
      </w:r>
    </w:p>
    <w:p>
      <w:pPr>
        <w:pStyle w:val="ArticleBody"/>
        <w:jc w:val="left"/>
      </w:pPr>
      <w:r>
        <w:rPr>
          <w:rFonts w:ascii="Times New Roman" w:hAnsi="Times New Roman" w:eastAsia="Times New Roman" w:cs="Times New Roman"/>
        </w:rPr>
        <w:t>Il le fera en rassemblant d’abord « les bannis d’Israël », qui sont « les dispersés de Juda », et qui viennent « des quatre coins de la terre », lorsqu’ils seront réunis à la fin de trois jours et demi passés à gésir morts dans la rue d’Apocalypse chapitre onze, laquelle traverse la vallée des ossements morts et desséchés d’Ézéchiel.</w:t>
      </w:r>
    </w:p>
    <w:p>
      <w:pPr>
        <w:pStyle w:val="ArticleBody"/>
        <w:jc w:val="left"/>
      </w:pPr>
      <w:r>
        <w:rPr>
          <w:rFonts w:ascii="Times New Roman" w:hAnsi="Times New Roman" w:eastAsia="Times New Roman" w:cs="Times New Roman"/>
        </w:rPr>
        <w:t>L’« heure » où commence le jugement exécutif contre « Babylone », cette « grande ville », est la même « heure » que celle du « grand tremblement de terre » d’Apocalypse onze. Le jugement exécutif de Dieu commence à cette « heure », car, dans le chapitre onze de l’Apocalypse, sept mille personnes sont tuées à l’« heure » du tremblement de terre. Ces sept mille étaient représentés par les « hommes les plus vaillants » de Nebucadnetsar, qui périrent en jetant Shadrac, Méshac et Abed-Nego dans la fournaise qui avait été chauffée « sept fois » au-delà de la normale. Dans la Révolution française, les « sept mille » représentaient la royauté de France, ou ses hommes puissants. Non seulement Belshatsar fut mis à mort au chapitre cinq, mais son armée fut détruite. L’« heure » de la loi du dimanche marque le début de la persécution représentée par le fait que le peuple de Dieu est jeté dans la fournaise, mais elle marque aussi le commencement du jugement exécutif de Dieu contre la grande ville, Babylone.</w:t>
      </w:r>
    </w:p>
    <w:p>
      <w:pPr>
        <w:pStyle w:val="ArticleBody"/>
        <w:jc w:val="left"/>
      </w:pPr>
      <w:r>
        <w:rPr>
          <w:rFonts w:ascii="Times New Roman" w:hAnsi="Times New Roman" w:eastAsia="Times New Roman" w:cs="Times New Roman"/>
        </w:rPr>
        <w:t>It is ek so die “uur” van die groot aardbewing in Openbaring hoofstuk elf, wanneer die tevore dooie bene wat deur die dier uit die afgrond op die straat gedood is, as ’n vaandel na die hemel opgehef word. Daar is dit ook dieselfde “uur” waarin die derde Wee, wat ook die sewende basuin is, geblaas word. Die sewende basuin is die derde Wee, en die doel van daardie finale Wee-basuin is nie alleen om oordeel te bring oor dié wat Sondagsaanbidding afdwing nie, maar ook om die nasies vertoornd te maak. Die derde Wee, die sewende basuin, en die vertoorning van die nasies, is almal simbole wat die profetiese rol van Islam aanspreek, en hulle word almal in die “uur” van die groot aardbewing geplaas.</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शत्रुओं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दसवाँ</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भयभीत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युगानुयुग</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चौबीसों</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दण्डवत्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सर्वशक्तिमान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धन्यवाद</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प्रतिफल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11:12–18</w:t>
      </w:r>
      <w:r>
        <w:rPr>
          <w:rFonts w:ascii="Nirmala UI" w:hAnsi="Nirmala UI" w:eastAsia="Nirmala UI" w:cs="Nirmala UI"/>
        </w:rPr>
        <w:t>।</w:t>
      </w:r>
    </w:p>
    <w:p>
      <w:pPr>
        <w:pStyle w:val="ArticleBody"/>
        <w:jc w:val="left"/>
      </w:pP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हड्डियाँ</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चढ़</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बजना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नाचना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हेरोदियास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w:t>
      </w:r>
      <w:r>
        <w:rPr>
          <w:rFonts w:ascii="Nirmala UI" w:hAnsi="Nirmala UI" w:eastAsia="Nirmala UI" w:cs="Nirmala UI"/>
        </w:rPr>
        <w:t>देवता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अश्तारोत</w:t>
      </w:r>
      <w:r>
        <w:rPr>
          <w:rFonts w:ascii="Times New Roman" w:hAnsi="Times New Roman" w:eastAsia="Times New Roman" w:cs="Times New Roman"/>
        </w:rPr>
        <w:t xml:space="preserve"> </w:t>
      </w:r>
      <w:r>
        <w:rPr>
          <w:rFonts w:ascii="Nirmala UI" w:hAnsi="Nirmala UI" w:eastAsia="Nirmala UI" w:cs="Nirmala UI"/>
        </w:rPr>
        <w:t>उपवन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w:t>
      </w:r>
      <w:r>
        <w:rPr>
          <w:rFonts w:ascii="Nirmala UI" w:hAnsi="Nirmala UI" w:eastAsia="Nirmala UI" w:cs="Nirmala UI"/>
        </w:rPr>
        <w:t>देवता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Por tanto, en aquel tiempo se acercaron ciertos caldeos y acusaron a los judíos. Hablaron y dijeron al rey Nabucodonosor: ¡Oh rey, vive para siempre! Tú, oh rey, has promulgado un decreto: que todo hombre que oiga el son de la bocina, flauta, arpa, sacabuche, salterio y dulzaina, y toda clase de música, se postre y adore la imagen de oro; y que cualquiera que no se postre y adore, sea echado en medio de un horno de fuego ardiendo. Hay ciertos judíos, a quienes has puesto sobre los negocios de la provincia de Babilonia, Sadrac, Mesac y Abed-nego; estos hombres, oh rey, no te han hecho caso: no sirven a tus dioses ni adoran la imagen de oro que tú has levantado. Daniel 3:8–12.</w:t>
      </w:r>
    </w:p>
    <w:p>
      <w:pPr>
        <w:pStyle w:val="ArticleBody"/>
        <w:jc w:val="left"/>
      </w:pPr>
      <w:r>
        <w:rPr>
          <w:rFonts w:ascii="Times New Roman" w:hAnsi="Times New Roman" w:eastAsia="Times New Roman" w:cs="Times New Roman"/>
        </w:rPr>
        <w:t>Orom “hour” o‘sha paytda Shadrax, Meshax va Abednegoning dushmanlari ularning hayvonning belgisini qabul qilishdan bosh tortganini ko‘rdilar va so‘ng belgilangan hukmni ijro etish uchun shohga iltimos bilan murojaat qildilar. O‘sha “hour”da yer hayvoniga ro‘baro‘ bo‘ladigan silkinish bo‘lgan yakshanba qonuni (zilzila) qarshisida Navuxadnazarнинг g‘azabi va qahri namoyon bo‘ladi.</w:t>
      </w:r>
    </w:p>
    <w:p>
      <w:pPr>
        <w:pStyle w:val="ArticleScripture"/>
        <w:jc w:val="left"/>
      </w:pPr>
      <w:r>
        <w:rPr>
          <w:rFonts w:ascii="Times New Roman" w:hAnsi="Times New Roman" w:eastAsia="Times New Roman" w:cs="Times New Roman"/>
        </w:rPr>
        <w:t>آن‌گاه نبوکدنصر در خشم و غضب خود فرمان داد که شدرک، میشک، و عبدنغو را بیاورند. پس این مردان را به حضور پادشاه آوردند. دانیال ۳:۱۳.</w:t>
      </w:r>
    </w:p>
    <w:p>
      <w:pPr>
        <w:pStyle w:val="ArticleBody"/>
        <w:jc w:val="left"/>
      </w:pPr>
      <w:r>
        <w:rPr>
          <w:rFonts w:ascii="Times New Roman" w:hAnsi="Times New Roman" w:eastAsia="Times New Roman" w:cs="Times New Roman"/>
        </w:rPr>
        <w:t>La persécution exercée contre les deux témoins de Dieu (Shadrac, Méshac et Abed-Nego) est mise en œuvre lorsqu’ils refusent de se prosterner, ou, comme l’indique l’Apocalypse onze, lorsqu’ils se tiennent sur leurs pieds.</w:t>
      </w:r>
    </w:p>
    <w:p>
      <w:pPr>
        <w:pStyle w:val="ArticleScripture"/>
        <w:jc w:val="left"/>
      </w:pPr>
      <w:r>
        <w:rPr>
          <w:rFonts w:ascii="Times New Roman" w:hAnsi="Times New Roman" w:eastAsia="Times New Roman" w:cs="Times New Roman"/>
        </w:rPr>
        <w:t>Na baada ya siku tatu na nusu, Roho ya uzima itokayo kwa Mungu ikaingia ndani yao, nao wakasimama kwa miguu yao; hofu kuu ikawapata wale waliowaona. Nao wakasikia sauti kuu kutoka mbinguni, ikiwaambia, Njoni huku juu. Nao wakapanda kwenda mbinguni katika wingu; na adui zao wakawaona. Ufunuo 11:11, 12.</w:t>
      </w:r>
    </w:p>
    <w:p>
      <w:pPr>
        <w:pStyle w:val="ArticleBody"/>
        <w:jc w:val="left"/>
      </w:pPr>
      <w:r>
        <w:rPr>
          <w:rFonts w:ascii="Times New Roman" w:hAnsi="Times New Roman" w:eastAsia="Times New Roman" w:cs="Times New Roman"/>
        </w:rPr>
        <w:t>Refusant de se prosterner, ils se tiennent sur leurs pieds comme la puissante armée d’Ézéchiel. Ils se tiennent debout lorsqu’ils reçoivent, puis proclament, le message du scellement qui proteste contre la formation de l’union de l’Église et de l’État aux États-Unis, avertit de la loi dominicale imminente, et identifie que le jugement rétributif de Dieu est sur le point d’être exécuté par l’islam du troisième Malheur. Le message du Cri de Minuit est représenté par le « secret » qui fut révélé à Daniel au chapitre deux, et lorsque le peuple de Dieu des derniers jours s’établit dans cette « vérité », il ne peut ni ne veut être ébranlé par le tremblement de terre imminent.</w:t>
      </w:r>
    </w:p>
    <w:p>
      <w:pPr>
        <w:pStyle w:val="ArticleScripture"/>
        <w:jc w:val="left"/>
      </w:pPr>
      <w:r>
        <w:rPr>
          <w:rFonts w:ascii="Times New Roman" w:hAnsi="Times New Roman" w:eastAsia="Times New Roman" w:cs="Times New Roman"/>
        </w:rPr>
        <w:t>„El trabajo en Battle Creek es del mismo orden. Los dirigentes del sanatorio se han mezclado con incrédulos, admitiéndolos en sus consejos, en mayor o menor grado; pero es como ponerse a trabajar con los ojos cerrados. Les falta discernimiento para ver lo que en cualquier momento ha de sobrevenirnos. Hay un espíritu de desesperación, de guerra y de derramamiento de sangre, y ese espíritu aumentará hasta el mismo fin del tiempo. Tan pronto como el pueblo de Dios sea sellado en sus frentes —no se trata de ningún sello o marca que pueda verse, sino de un afianzamiento en la verdad, tanto intelectual como espiritualmente, de modo que no puedan ser movidos—, tan pronto como el pueblo de Dios sea sellado y preparado para el zarandeo, este vendrá. En verdad, ya ha comenzado. Los juicios de Dios están ahora sobre la tierra, para darnos advertencia, a fin de que sepamos lo que viene.” Manuscript Releases, tomo 10, 252.</w:t>
      </w:r>
    </w:p>
    <w:p>
      <w:pPr>
        <w:pStyle w:val="ArticleBody"/>
        <w:jc w:val="left"/>
      </w:pPr>
      <w:r>
        <w:rPr>
          <w:rFonts w:ascii="Ebrima" w:hAnsi="Ebrima" w:eastAsia="Ebrima" w:cs="Ebrima"/>
        </w:rPr>
        <w:t>በታሸገው</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የሚወከለው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በሰዎች</w:t>
      </w:r>
      <w:r>
        <w:rPr>
          <w:rFonts w:ascii="Times New Roman" w:hAnsi="Times New Roman" w:eastAsia="Times New Roman" w:cs="Times New Roman"/>
        </w:rPr>
        <w:t xml:space="preserve"> </w:t>
      </w:r>
      <w:r>
        <w:rPr>
          <w:rFonts w:ascii="Ebrima" w:hAnsi="Ebrima" w:eastAsia="Ebrima" w:cs="Ebrima"/>
        </w:rPr>
        <w:t>የማይታይ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በሁሉም</w:t>
      </w:r>
      <w:r>
        <w:rPr>
          <w:rFonts w:ascii="Times New Roman" w:hAnsi="Times New Roman" w:eastAsia="Times New Roman" w:cs="Times New Roman"/>
        </w:rPr>
        <w:t xml:space="preserve"> </w:t>
      </w:r>
      <w:r>
        <w:rPr>
          <w:rFonts w:ascii="Ebrima" w:hAnsi="Ebrima" w:eastAsia="Ebrima" w:cs="Ebrima"/>
        </w:rPr>
        <w:t>የሚታይ</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በሚቀበሉበት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የተገለጠውን</w:t>
      </w:r>
      <w:r>
        <w:rPr>
          <w:rFonts w:ascii="Times New Roman" w:hAnsi="Times New Roman" w:eastAsia="Times New Roman" w:cs="Times New Roman"/>
        </w:rPr>
        <w:t xml:space="preserve"> “</w:t>
      </w:r>
      <w:r>
        <w:rPr>
          <w:rFonts w:ascii="Ebrima" w:hAnsi="Ebrima" w:eastAsia="Ebrima" w:cs="Ebrima"/>
        </w:rPr>
        <w:t>ሚስጢር</w:t>
      </w:r>
      <w:r>
        <w:rPr>
          <w:rFonts w:ascii="Times New Roman" w:hAnsi="Times New Roman" w:eastAsia="Times New Roman" w:cs="Times New Roman"/>
        </w:rPr>
        <w:t xml:space="preserve">” </w:t>
      </w:r>
      <w:r>
        <w:rPr>
          <w:rFonts w:ascii="Ebrima" w:hAnsi="Ebrima" w:eastAsia="Ebrima" w:cs="Ebrima"/>
        </w:rPr>
        <w:t>የሚወክል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በተቀበሉ</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አውሬው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የሚመራውን</w:t>
      </w:r>
      <w:r>
        <w:rPr>
          <w:rFonts w:ascii="Times New Roman" w:hAnsi="Times New Roman" w:eastAsia="Times New Roman" w:cs="Times New Roman"/>
        </w:rPr>
        <w:t xml:space="preserve"> </w:t>
      </w:r>
      <w:r>
        <w:rPr>
          <w:rFonts w:ascii="Ebrima" w:hAnsi="Ebrima" w:eastAsia="Ebrima" w:cs="Ebrima"/>
        </w:rPr>
        <w:t>የአውሬው</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ሚስጢር</w:t>
      </w:r>
      <w:r>
        <w:rPr>
          <w:rFonts w:ascii="Times New Roman" w:hAnsi="Times New Roman" w:eastAsia="Times New Roman" w:cs="Times New Roman"/>
        </w:rPr>
        <w:t xml:space="preserve">” </w:t>
      </w:r>
      <w:r>
        <w:rPr>
          <w:rFonts w:ascii="Ebrima" w:hAnsi="Ebrima" w:eastAsia="Ebrima" w:cs="Ebrima"/>
        </w:rPr>
        <w:t>ተቀብለዋል፤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ያመጣል፣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በእስልምና</w:t>
      </w:r>
      <w:r>
        <w:rPr>
          <w:rFonts w:ascii="Times New Roman" w:hAnsi="Times New Roman" w:eastAsia="Times New Roman" w:cs="Times New Roman"/>
        </w:rPr>
        <w:t xml:space="preserve"> </w:t>
      </w:r>
      <w:r>
        <w:rPr>
          <w:rFonts w:ascii="Ebrima" w:hAnsi="Ebrima" w:eastAsia="Ebrima" w:cs="Ebrima"/>
        </w:rPr>
        <w:t>አማካይነት</w:t>
      </w:r>
      <w:r>
        <w:rPr>
          <w:rFonts w:ascii="Times New Roman" w:hAnsi="Times New Roman" w:eastAsia="Times New Roman" w:cs="Times New Roman"/>
        </w:rPr>
        <w:t xml:space="preserve"> </w:t>
      </w:r>
      <w:r>
        <w:rPr>
          <w:rFonts w:ascii="Ebrima" w:hAnsi="Ebrima" w:eastAsia="Ebrima" w:cs="Ebrima"/>
        </w:rPr>
        <w:t>ይፈጸማል።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የሚፈጸመው</w:t>
      </w:r>
      <w:r>
        <w:rPr>
          <w:rFonts w:ascii="Times New Roman" w:hAnsi="Times New Roman" w:eastAsia="Times New Roman" w:cs="Times New Roman"/>
        </w:rPr>
        <w:t xml:space="preserve"> “</w:t>
      </w:r>
      <w:r>
        <w:rPr>
          <w:rFonts w:ascii="Ebrima" w:hAnsi="Ebrima" w:eastAsia="Ebrima" w:cs="Ebrima"/>
        </w:rPr>
        <w:t>የችግኝነት፣</w:t>
      </w:r>
      <w:r>
        <w:rPr>
          <w:rFonts w:ascii="Times New Roman" w:hAnsi="Times New Roman" w:eastAsia="Times New Roman" w:cs="Times New Roman"/>
        </w:rPr>
        <w:t xml:space="preserve"> </w:t>
      </w:r>
      <w:r>
        <w:rPr>
          <w:rFonts w:ascii="Ebrima" w:hAnsi="Ebrima" w:eastAsia="Ebrima" w:cs="Ebrima"/>
        </w:rPr>
        <w:t>የጦርነትና</w:t>
      </w:r>
      <w:r>
        <w:rPr>
          <w:rFonts w:ascii="Times New Roman" w:hAnsi="Times New Roman" w:eastAsia="Times New Roman" w:cs="Times New Roman"/>
        </w:rPr>
        <w:t xml:space="preserve"> </w:t>
      </w:r>
      <w:r>
        <w:rPr>
          <w:rFonts w:ascii="Ebrima" w:hAnsi="Ebrima" w:eastAsia="Ebrima" w:cs="Ebrima"/>
        </w:rPr>
        <w:t>የደም</w:t>
      </w:r>
      <w:r>
        <w:rPr>
          <w:rFonts w:ascii="Times New Roman" w:hAnsi="Times New Roman" w:eastAsia="Times New Roman" w:cs="Times New Roman"/>
        </w:rPr>
        <w:t xml:space="preserve"> </w:t>
      </w:r>
      <w:r>
        <w:rPr>
          <w:rFonts w:ascii="Ebrima" w:hAnsi="Ebrima" w:eastAsia="Ebrima" w:cs="Ebrima"/>
        </w:rPr>
        <w:t>መፋሰስ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እየጨመረ</w:t>
      </w:r>
      <w:r>
        <w:rPr>
          <w:rFonts w:ascii="Times New Roman" w:hAnsi="Times New Roman" w:eastAsia="Times New Roman" w:cs="Times New Roman"/>
        </w:rPr>
        <w:t xml:space="preserve"> </w:t>
      </w:r>
      <w:r>
        <w:rPr>
          <w:rFonts w:ascii="Ebrima" w:hAnsi="Ebrima" w:eastAsia="Ebrima" w:cs="Ebrima"/>
        </w:rPr>
        <w:t>ባለበት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የሚከናወነው</w:t>
      </w:r>
      <w:r>
        <w:rPr>
          <w:rFonts w:ascii="Times New Roman" w:hAnsi="Times New Roman" w:eastAsia="Times New Roman" w:cs="Times New Roman"/>
        </w:rPr>
        <w:t xml:space="preserve"> </w:t>
      </w:r>
      <w:r>
        <w:rPr>
          <w:rFonts w:ascii="Ebrima" w:hAnsi="Ebrima" w:eastAsia="Ebrima" w:cs="Ebrima"/>
        </w:rPr>
        <w:t>የአድቬንቲዝም</w:t>
      </w:r>
      <w:r>
        <w:rPr>
          <w:rFonts w:ascii="Times New Roman" w:hAnsi="Times New Roman" w:eastAsia="Times New Roman" w:cs="Times New Roman"/>
        </w:rPr>
        <w:t xml:space="preserve"> </w:t>
      </w:r>
      <w:r>
        <w:rPr>
          <w:rFonts w:ascii="Ebrima" w:hAnsi="Ebrima" w:eastAsia="Ebrima" w:cs="Ebrima"/>
        </w:rPr>
        <w:t>መሪዎች</w:t>
      </w:r>
      <w:r>
        <w:rPr>
          <w:rFonts w:ascii="Times New Roman" w:hAnsi="Times New Roman" w:eastAsia="Times New Roman" w:cs="Times New Roman"/>
        </w:rPr>
        <w:t xml:space="preserve"> </w:t>
      </w:r>
      <w:r>
        <w:rPr>
          <w:rFonts w:ascii="Ebrima" w:hAnsi="Ebrima" w:eastAsia="Ebrima" w:cs="Ebrima"/>
        </w:rPr>
        <w:t>በሎዶቅያ</w:t>
      </w:r>
      <w:r>
        <w:rPr>
          <w:rFonts w:ascii="Times New Roman" w:hAnsi="Times New Roman" w:eastAsia="Times New Roman" w:cs="Times New Roman"/>
        </w:rPr>
        <w:t xml:space="preserve"> </w:t>
      </w:r>
      <w:r>
        <w:rPr>
          <w:rFonts w:ascii="Ebrima" w:hAnsi="Ebrima" w:eastAsia="Ebrima" w:cs="Ebrima"/>
        </w:rPr>
        <w:t>ዕውርነት</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ማየት</w:t>
      </w:r>
      <w:r>
        <w:rPr>
          <w:rFonts w:ascii="Times New Roman" w:hAnsi="Times New Roman" w:eastAsia="Times New Roman" w:cs="Times New Roman"/>
        </w:rPr>
        <w:t xml:space="preserve"> </w:t>
      </w:r>
      <w:r>
        <w:rPr>
          <w:rFonts w:ascii="Ebrima" w:hAnsi="Ebrima" w:eastAsia="Ebrima" w:cs="Ebrima"/>
        </w:rPr>
        <w:t>በማይችሉበት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የሚፈጸመው</w:t>
      </w:r>
      <w:r>
        <w:rPr>
          <w:rFonts w:ascii="Times New Roman" w:hAnsi="Times New Roman" w:eastAsia="Times New Roman" w:cs="Times New Roman"/>
        </w:rPr>
        <w:t xml:space="preserve"> </w:t>
      </w:r>
      <w:r>
        <w:rPr>
          <w:rFonts w:ascii="Ebrima" w:hAnsi="Ebrima" w:eastAsia="Ebrima" w:cs="Ebrima"/>
        </w:rPr>
        <w:t>በማኅተም</w:t>
      </w:r>
      <w:r>
        <w:rPr>
          <w:rFonts w:ascii="Times New Roman" w:hAnsi="Times New Roman" w:eastAsia="Times New Roman" w:cs="Times New Roman"/>
        </w:rPr>
        <w:t xml:space="preserve"> </w:t>
      </w:r>
      <w:r>
        <w:rPr>
          <w:rFonts w:ascii="Ebrima" w:hAnsi="Ebrima" w:eastAsia="Ebrima" w:cs="Ebrima"/>
        </w:rPr>
        <w:t>ማተም</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ማኅተሙ</w:t>
      </w:r>
      <w:r>
        <w:rPr>
          <w:rFonts w:ascii="Times New Roman" w:hAnsi="Times New Roman" w:eastAsia="Times New Roman" w:cs="Times New Roman"/>
        </w:rPr>
        <w:t xml:space="preserve"> </w:t>
      </w:r>
      <w:r>
        <w:rPr>
          <w:rFonts w:ascii="Ebrima" w:hAnsi="Ebrima" w:eastAsia="Ebrima" w:cs="Ebrima"/>
        </w:rPr>
        <w:t>በጥበበኞቹ</w:t>
      </w:r>
      <w:r>
        <w:rPr>
          <w:rFonts w:ascii="Times New Roman" w:hAnsi="Times New Roman" w:eastAsia="Times New Roman" w:cs="Times New Roman"/>
        </w:rPr>
        <w:t xml:space="preserve"> </w:t>
      </w:r>
      <w:r>
        <w:rPr>
          <w:rFonts w:ascii="Ebrima" w:hAnsi="Ebrima" w:eastAsia="Ebrima" w:cs="Ebrima"/>
        </w:rPr>
        <w:t>ድንግልናዎች</w:t>
      </w:r>
      <w:r>
        <w:rPr>
          <w:rFonts w:ascii="Times New Roman" w:hAnsi="Times New Roman" w:eastAsia="Times New Roman" w:cs="Times New Roman"/>
        </w:rPr>
        <w:t xml:space="preserve"> </w:t>
      </w:r>
      <w:r>
        <w:rPr>
          <w:rFonts w:ascii="Ebrima" w:hAnsi="Ebrima" w:eastAsia="Ebrima" w:cs="Ebrima"/>
        </w:rPr>
        <w:t>ግንባር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ይታተማል፣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የማይታይ</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ሰድራቅ፣</w:t>
      </w:r>
      <w:r>
        <w:rPr>
          <w:rFonts w:ascii="Times New Roman" w:hAnsi="Times New Roman" w:eastAsia="Times New Roman" w:cs="Times New Roman"/>
        </w:rPr>
        <w:t xml:space="preserve"> </w:t>
      </w:r>
      <w:r>
        <w:rPr>
          <w:rFonts w:ascii="Ebrima" w:hAnsi="Ebrima" w:eastAsia="Ebrima" w:cs="Ebrima"/>
        </w:rPr>
        <w:t>ሜሳቅና</w:t>
      </w:r>
      <w:r>
        <w:rPr>
          <w:rFonts w:ascii="Times New Roman" w:hAnsi="Times New Roman" w:eastAsia="Times New Roman" w:cs="Times New Roman"/>
        </w:rPr>
        <w:t xml:space="preserve"> </w:t>
      </w:r>
      <w:r>
        <w:rPr>
          <w:rFonts w:ascii="Ebrima" w:hAnsi="Ebrima" w:eastAsia="Ebrima" w:cs="Ebrima"/>
        </w:rPr>
        <w:t>አብድናጎ</w:t>
      </w:r>
      <w:r>
        <w:rPr>
          <w:rFonts w:ascii="Times New Roman" w:hAnsi="Times New Roman" w:eastAsia="Times New Roman" w:cs="Times New Roman"/>
        </w:rPr>
        <w:t xml:space="preserve"> </w:t>
      </w:r>
      <w:r>
        <w:rPr>
          <w:rFonts w:ascii="Ebrima" w:hAnsi="Ebrima" w:eastAsia="Ebrima" w:cs="Ebrima"/>
        </w:rPr>
        <w:t>ከናቡከደነፆር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ባደረጉት</w:t>
      </w:r>
      <w:r>
        <w:rPr>
          <w:rFonts w:ascii="Times New Roman" w:hAnsi="Times New Roman" w:eastAsia="Times New Roman" w:cs="Times New Roman"/>
        </w:rPr>
        <w:t xml:space="preserve"> </w:t>
      </w:r>
      <w:r>
        <w:rPr>
          <w:rFonts w:ascii="Ebrima" w:hAnsi="Ebrima" w:eastAsia="Ebrima" w:cs="Ebrima"/>
        </w:rPr>
        <w:t>ውይይት</w:t>
      </w:r>
      <w:r>
        <w:rPr>
          <w:rFonts w:ascii="Times New Roman" w:hAnsi="Times New Roman" w:eastAsia="Times New Roman" w:cs="Times New Roman"/>
        </w:rPr>
        <w:t xml:space="preserve"> </w:t>
      </w:r>
      <w:r>
        <w:rPr>
          <w:rFonts w:ascii="Ebrima" w:hAnsi="Ebrima" w:eastAsia="Ebrima" w:cs="Ebrima"/>
        </w:rPr>
        <w:t>እንደተገለጸው</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ጸንተው</w:t>
      </w:r>
      <w:r>
        <w:rPr>
          <w:rFonts w:ascii="Times New Roman" w:hAnsi="Times New Roman" w:eastAsia="Times New Roman" w:cs="Times New Roman"/>
        </w:rPr>
        <w:t xml:space="preserve"> </w:t>
      </w:r>
      <w:r>
        <w:rPr>
          <w:rFonts w:ascii="Ebrima" w:hAnsi="Ebrima" w:eastAsia="Ebrima" w:cs="Ebrima"/>
        </w:rPr>
        <w:t>የቆሙትን</w:t>
      </w:r>
      <w:r>
        <w:rPr>
          <w:rFonts w:ascii="Times New Roman" w:hAnsi="Times New Roman" w:eastAsia="Times New Roman" w:cs="Times New Roman"/>
        </w:rPr>
        <w:t xml:space="preserve"> </w:t>
      </w:r>
      <w:r>
        <w:rPr>
          <w:rFonts w:ascii="Ebrima" w:hAnsi="Ebrima" w:eastAsia="Ebrima" w:cs="Ebrima"/>
        </w:rPr>
        <w:t>ይወክላሉ።</w:t>
      </w:r>
    </w:p>
    <w:p>
      <w:pPr>
        <w:pStyle w:val="ArticleScripture"/>
        <w:jc w:val="left"/>
      </w:pPr>
      <w:r>
        <w:rPr>
          <w:rFonts w:ascii="Times New Roman" w:hAnsi="Times New Roman" w:eastAsia="Times New Roman" w:cs="Times New Roman"/>
        </w:rPr>
        <w:t>Nebukadnessar talade och sade till dem: Är det sant, Shadrak, Meshak och Abed-Nego, att ni inte tjänar mina gudar eller tillber den gyllene bildstod som jag har låtit resa? Om ni nu är redo att, när ni hör ljudet av horn, flöjt, harpa, luta, psaltare, säckpipa och alla slags instrument, falla ned och tillbe den bildstod som jag har gjort, så må det vara väl; men om ni inte tillber, skall ni i samma stund kastas mitt i den brinnande eldugnen; och vilken gud är då den som kan rädda er ur min hand? Shadrak, Meshak och Abed-Nego svarade och sade till kungen: O Nebukadnessar, vi behöver inte ge dig något svar i denna sak. Om det är så, är vår Gud, som vi tjänar, mäktig att rädda oss från den brinnande eldugnen, och han skall rädda oss ur din hand, o konung. Men om inte, så må det vara känt för dig, o konung, att vi inte kommer att tjäna dina gudar eller tillbe den gyllene bildstod som du har låtit resa. Daniel 3:14–18.</w:t>
      </w:r>
    </w:p>
    <w:p>
      <w:pPr>
        <w:pStyle w:val="ArticleBody"/>
        <w:jc w:val="left"/>
      </w:pPr>
      <w:r>
        <w:rPr>
          <w:rFonts w:ascii="Times New Roman" w:hAnsi="Times New Roman" w:eastAsia="Times New Roman" w:cs="Times New Roman"/>
        </w:rPr>
        <w:t>Kisha wale watatu walio bora watadhihirisha muhuri wa Mungu unaoweza kuonekana. Ni wale tu ambao kwanza wana muhuri wa ndani usioonekana, watakaohusika katika kudhihirisha muhuri wa Mungu katika wakati ambapo ni lazima uonekane.</w:t>
      </w:r>
    </w:p>
    <w:p>
      <w:pPr>
        <w:pStyle w:val="ArticleScripture"/>
        <w:jc w:val="left"/>
      </w:pP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क्रोधले</w:t>
      </w:r>
      <w:r>
        <w:rPr>
          <w:rFonts w:ascii="Times New Roman" w:hAnsi="Times New Roman" w:eastAsia="Times New Roman" w:cs="Times New Roman"/>
        </w:rPr>
        <w:t xml:space="preserve"> </w:t>
      </w:r>
      <w:r>
        <w:rPr>
          <w:rFonts w:ascii="Nirmala UI" w:hAnsi="Nirmala UI" w:eastAsia="Nirmala UI" w:cs="Nirmala UI"/>
        </w:rPr>
        <w:t>भरियो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शद्रक</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अबेदनगो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भट्ठी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साधारण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तपाया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पराक्रमी</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शद्रक</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अबेदनगो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बाँधकर</w:t>
      </w:r>
      <w:r>
        <w:rPr>
          <w:rFonts w:ascii="Times New Roman" w:hAnsi="Times New Roman" w:eastAsia="Times New Roman" w:cs="Times New Roman"/>
        </w:rPr>
        <w:t xml:space="preserve"> </w:t>
      </w:r>
      <w:r>
        <w:rPr>
          <w:rFonts w:ascii="Nirmala UI" w:hAnsi="Nirmala UI" w:eastAsia="Nirmala UI" w:cs="Nirmala UI"/>
        </w:rPr>
        <w:t>जलती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अग्निमय</w:t>
      </w:r>
      <w:r>
        <w:rPr>
          <w:rFonts w:ascii="Times New Roman" w:hAnsi="Times New Roman" w:eastAsia="Times New Roman" w:cs="Times New Roman"/>
        </w:rPr>
        <w:t xml:space="preserve"> </w:t>
      </w:r>
      <w:r>
        <w:rPr>
          <w:rFonts w:ascii="Nirmala UI" w:hAnsi="Nirmala UI" w:eastAsia="Nirmala UI" w:cs="Nirmala UI"/>
        </w:rPr>
        <w:t>भट्ठी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अंगरखों</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नेकरों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पगड़ियों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बाँधकर</w:t>
      </w:r>
      <w:r>
        <w:rPr>
          <w:rFonts w:ascii="Times New Roman" w:hAnsi="Times New Roman" w:eastAsia="Times New Roman" w:cs="Times New Roman"/>
        </w:rPr>
        <w:t xml:space="preserve"> </w:t>
      </w:r>
      <w:r>
        <w:rPr>
          <w:rFonts w:ascii="Nirmala UI" w:hAnsi="Nirmala UI" w:eastAsia="Nirmala UI" w:cs="Nirmala UI"/>
        </w:rPr>
        <w:t>जलती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अग्निमय</w:t>
      </w:r>
      <w:r>
        <w:rPr>
          <w:rFonts w:ascii="Times New Roman" w:hAnsi="Times New Roman" w:eastAsia="Times New Roman" w:cs="Times New Roman"/>
        </w:rPr>
        <w:t xml:space="preserve"> </w:t>
      </w:r>
      <w:r>
        <w:rPr>
          <w:rFonts w:ascii="Nirmala UI" w:hAnsi="Nirmala UI" w:eastAsia="Nirmala UI" w:cs="Nirmala UI"/>
        </w:rPr>
        <w:t>भट्ठी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भट्ठी</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तप्त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शद्रक</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अबेदनगो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शद्रक</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अबेदनगो</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जलती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अग्निमय</w:t>
      </w:r>
      <w:r>
        <w:rPr>
          <w:rFonts w:ascii="Times New Roman" w:hAnsi="Times New Roman" w:eastAsia="Times New Roman" w:cs="Times New Roman"/>
        </w:rPr>
        <w:t xml:space="preserve"> </w:t>
      </w:r>
      <w:r>
        <w:rPr>
          <w:rFonts w:ascii="Nirmala UI" w:hAnsi="Nirmala UI" w:eastAsia="Nirmala UI" w:cs="Nirmala UI"/>
        </w:rPr>
        <w:t>भट्ठी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विस्मित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शीघ्रता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मन्त्रियों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बाँधकर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3:19–25</w:t>
      </w:r>
      <w:r>
        <w:rPr>
          <w:rFonts w:ascii="Nirmala UI" w:hAnsi="Nirmala UI" w:eastAsia="Nirmala UI" w:cs="Nirmala UI"/>
        </w:rPr>
        <w:t>।</w:t>
      </w:r>
    </w:p>
    <w:p>
      <w:pPr>
        <w:pStyle w:val="ArticleBody"/>
        <w:jc w:val="left"/>
      </w:pPr>
      <w:r>
        <w:rPr>
          <w:rFonts w:ascii="Times New Roman" w:hAnsi="Times New Roman" w:eastAsia="Times New Roman" w:cs="Times New Roman"/>
        </w:rPr>
        <w:t>Faida dan nan saksi biyu, waɗanda Shadrak, Meshak da Abednego suke wakilta, za a ɗaga su sama a matsayin tuta; sa’an nan kuma za a ga hatimin.</w:t>
      </w:r>
    </w:p>
    <w:p>
      <w:pPr>
        <w:pStyle w:val="ArticleScripture"/>
        <w:jc w:val="left"/>
      </w:pPr>
      <w:r>
        <w:rPr>
          <w:rFonts w:ascii="Times New Roman" w:hAnsi="Times New Roman" w:eastAsia="Times New Roman" w:cs="Times New Roman"/>
        </w:rPr>
        <w:t>“Le Saint-Esprit a pour œuvre de convaincre le monde en ce qui concerne le péché, la justice et le jugement. Le monde ne peut être averti qu’en voyant ceux qui croient à la vérité sanctifiés par la vérité, agissant selon des principes élevés et saints, manifestant, dans un sens noble et sublime, la ligne de démarcation entre ceux qui gardent les commandements de Dieu et ceux qui les foulent aux pieds. La sanctification de l’Esprit signale la différence entre ceux qui ont le sceau de Dieu et ceux qui observent un jour de repos contrefait. Lorsque l’épreuve viendra, il sera clairement montré ce qu’est la marque de la bête. C’est l’observance du dimanche. Ceux qui, après avoir entendu la vérité, continuent à regarder ce jour comme saint portent la signature de l’homme de péché, qui a pensé changer les temps et la loi. Bible Training School, 1er décembre 1903.”</w:t>
      </w:r>
    </w:p>
    <w:p>
      <w:pPr>
        <w:pStyle w:val="ArticleBody"/>
        <w:jc w:val="left"/>
      </w:pPr>
      <w:r>
        <w:rPr>
          <w:rFonts w:ascii="Nirmala UI" w:hAnsi="Nirmala UI" w:eastAsia="Nirmala UI" w:cs="Nirmala UI"/>
        </w:rPr>
        <w:t>দিন</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সম্পাদনের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জাতিসংঘের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ফিরবে।</w:t>
      </w:r>
      <w:r>
        <w:rPr>
          <w:rFonts w:ascii="Times New Roman" w:hAnsi="Times New Roman" w:eastAsia="Times New Roman" w:cs="Times New Roman"/>
        </w:rPr>
        <w:t xml:space="preserve"> </w:t>
      </w:r>
      <w:r>
        <w:rPr>
          <w:rFonts w:ascii="Nirmala UI" w:hAnsi="Nirmala UI" w:eastAsia="Nirmala UI" w:cs="Nirmala UI"/>
        </w:rPr>
        <w:t>সালোমের</w:t>
      </w:r>
      <w:r>
        <w:rPr>
          <w:rFonts w:ascii="Times New Roman" w:hAnsi="Times New Roman" w:eastAsia="Times New Roman" w:cs="Times New Roman"/>
        </w:rPr>
        <w:t xml:space="preserve"> </w:t>
      </w:r>
      <w:r>
        <w:rPr>
          <w:rFonts w:ascii="Nirmala UI" w:hAnsi="Nirmala UI" w:eastAsia="Nirmala UI" w:cs="Nirmala UI"/>
        </w:rPr>
        <w:t>নৃত্য</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প্রতিভাত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অলৌকিক</w:t>
      </w:r>
      <w:r>
        <w:rPr>
          <w:rFonts w:ascii="Times New Roman" w:hAnsi="Times New Roman" w:eastAsia="Times New Roman" w:cs="Times New Roman"/>
        </w:rPr>
        <w:t xml:space="preserve"> </w:t>
      </w:r>
      <w:r>
        <w:rPr>
          <w:rFonts w:ascii="Nirmala UI" w:hAnsi="Nirmala UI" w:eastAsia="Nirmala UI" w:cs="Nirmala UI"/>
        </w:rPr>
        <w:t>কার্যসমূহ</w:t>
      </w:r>
      <w:r>
        <w:rPr>
          <w:rFonts w:ascii="Times New Roman" w:hAnsi="Times New Roman" w:eastAsia="Times New Roman" w:cs="Times New Roman"/>
        </w:rPr>
        <w:t xml:space="preserve"> </w:t>
      </w:r>
      <w:r>
        <w:rPr>
          <w:rFonts w:ascii="Nirmala UI" w:hAnsi="Nirmala UI" w:eastAsia="Nirmala UI" w:cs="Nirmala UI"/>
        </w:rPr>
        <w:t>সম্পাদন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সেগুলোর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জগতকে</w:t>
      </w:r>
      <w:r>
        <w:rPr>
          <w:rFonts w:ascii="Times New Roman" w:hAnsi="Times New Roman" w:eastAsia="Times New Roman" w:cs="Times New Roman"/>
        </w:rPr>
        <w:t xml:space="preserve"> </w:t>
      </w:r>
      <w:r>
        <w:rPr>
          <w:rFonts w:ascii="Nirmala UI" w:hAnsi="Nirmala UI" w:eastAsia="Nirmala UI" w:cs="Nirmala UI"/>
        </w:rPr>
        <w:t>প্রতারিত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প্রতারণার</w:t>
      </w:r>
      <w:r>
        <w:rPr>
          <w:rFonts w:ascii="Times New Roman" w:hAnsi="Times New Roman" w:eastAsia="Times New Roman" w:cs="Times New Roman"/>
        </w:rPr>
        <w:t xml:space="preserve"> </w:t>
      </w:r>
      <w:r>
        <w:rPr>
          <w:rFonts w:ascii="Nirmala UI" w:hAnsi="Nirmala UI" w:eastAsia="Nirmala UI" w:cs="Nirmala UI"/>
        </w:rPr>
        <w:t>নৃত্য</w:t>
      </w:r>
      <w:r>
        <w:rPr>
          <w:rFonts w:ascii="Times New Roman" w:hAnsi="Times New Roman" w:eastAsia="Times New Roman" w:cs="Times New Roman"/>
        </w:rPr>
        <w:t xml:space="preserve"> </w:t>
      </w:r>
      <w:r>
        <w:rPr>
          <w:rFonts w:ascii="Nirmala UI" w:hAnsi="Nirmala UI" w:eastAsia="Nirmala UI" w:cs="Nirmala UI"/>
        </w:rPr>
        <w:t>সম্পাদন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সোরের</w:t>
      </w:r>
      <w:r>
        <w:rPr>
          <w:rFonts w:ascii="Times New Roman" w:hAnsi="Times New Roman" w:eastAsia="Times New Roman" w:cs="Times New Roman"/>
        </w:rPr>
        <w:t xml:space="preserve"> </w:t>
      </w:r>
      <w:r>
        <w:rPr>
          <w:rFonts w:ascii="Nirmala UI" w:hAnsi="Nirmala UI" w:eastAsia="Nirmala UI" w:cs="Nirmala UI"/>
        </w:rPr>
        <w:t>বেশ্যা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গান</w:t>
      </w:r>
      <w:r>
        <w:rPr>
          <w:rFonts w:ascii="Times New Roman" w:hAnsi="Times New Roman" w:eastAsia="Times New Roman" w:cs="Times New Roman"/>
        </w:rPr>
        <w:t xml:space="preserve"> </w:t>
      </w:r>
      <w:r>
        <w:rPr>
          <w:rFonts w:ascii="Nirmala UI" w:hAnsi="Nirmala UI" w:eastAsia="Nirmala UI" w:cs="Nirmala UI"/>
        </w:rPr>
        <w:t>গাইবে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নবূখদনিসরের</w:t>
      </w:r>
      <w:r>
        <w:rPr>
          <w:rFonts w:ascii="Times New Roman" w:hAnsi="Times New Roman" w:eastAsia="Times New Roman" w:cs="Times New Roman"/>
        </w:rPr>
        <w:t xml:space="preserve"> </w:t>
      </w:r>
      <w:r>
        <w:rPr>
          <w:rFonts w:ascii="Nirmala UI" w:hAnsi="Nirmala UI" w:eastAsia="Nirmala UI" w:cs="Nirmala UI"/>
        </w:rPr>
        <w:t>বাদ্যদল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সঙ্গীত</w:t>
      </w:r>
      <w:r>
        <w:rPr>
          <w:rFonts w:ascii="Times New Roman" w:hAnsi="Times New Roman" w:eastAsia="Times New Roman" w:cs="Times New Roman"/>
        </w:rPr>
        <w:t xml:space="preserve"> </w:t>
      </w:r>
      <w:r>
        <w:rPr>
          <w:rFonts w:ascii="Nirmala UI" w:hAnsi="Nirmala UI" w:eastAsia="Nirmala UI" w:cs="Nirmala UI"/>
        </w:rPr>
        <w:t>বাজাবে।</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জগৎকে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গান</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প্রতিমার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নতজানু</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বাধ্য</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নেতৃত্ব</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p>
    <w:p>
      <w:pPr>
        <w:pStyle w:val="ArticleScripture"/>
        <w:jc w:val="left"/>
      </w:pPr>
      <w:r>
        <w:rPr>
          <w:rFonts w:ascii="Times New Roman" w:hAnsi="Times New Roman" w:eastAsia="Times New Roman" w:cs="Times New Roman"/>
        </w:rPr>
        <w:t>ئەمە هەرگیز ددانە هەروا دەمەوێت؛ تکایە زمانێکی دیاریکراو بڵێ، چونکە «ff» ڕوون نییە کام زمانە.</w:t>
      </w:r>
    </w:p>
    <w:p>
      <w:pPr>
        <w:pStyle w:val="ArticleBody"/>
        <w:jc w:val="left"/>
      </w:pPr>
      <w:r>
        <w:rPr>
          <w:rFonts w:ascii="Microsoft YaHei" w:hAnsi="Microsoft YaHei" w:eastAsia="Microsoft YaHei" w:cs="Microsoft YaHei"/>
        </w:rPr>
        <w:t>末后的埃及代表世界（当时由联合国统治）</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有一声</w:t>
      </w:r>
      <w:r>
        <w:rPr>
          <w:rFonts w:ascii="Times New Roman" w:hAnsi="Times New Roman" w:eastAsia="Times New Roman" w:cs="Times New Roman"/>
        </w:rPr>
        <w:t>“</w:t>
      </w:r>
      <w:r>
        <w:rPr>
          <w:rFonts w:ascii="Microsoft YaHei" w:hAnsi="Microsoft YaHei" w:eastAsia="Microsoft YaHei" w:cs="Microsoft YaHei"/>
        </w:rPr>
        <w:t>祸哉</w:t>
      </w:r>
      <w:r>
        <w:rPr>
          <w:rFonts w:ascii="Times New Roman" w:hAnsi="Times New Roman" w:eastAsia="Times New Roman" w:cs="Times New Roman"/>
        </w:rPr>
        <w:t>”</w:t>
      </w:r>
      <w:r>
        <w:rPr>
          <w:rFonts w:ascii="Microsoft YaHei" w:hAnsi="Microsoft YaHei" w:eastAsia="Microsoft YaHei" w:cs="Microsoft YaHei"/>
        </w:rPr>
        <w:t>（伊斯兰教的象征）已经宣告</w:t>
      </w:r>
      <w:r>
        <w:rPr>
          <w:rFonts w:ascii="Times New Roman" w:hAnsi="Times New Roman" w:eastAsia="Times New Roman" w:cs="Times New Roman"/>
        </w:rPr>
        <w:t>,</w:t>
      </w:r>
      <w:r>
        <w:rPr>
          <w:rFonts w:ascii="Microsoft YaHei" w:hAnsi="Microsoft YaHei" w:eastAsia="Microsoft YaHei" w:cs="Microsoft YaHei"/>
        </w:rPr>
        <w:t>临到那些转向埃及求帮助的人（美国）</w:t>
      </w:r>
      <w:r>
        <w:rPr>
          <w:rFonts w:ascii="Times New Roman" w:hAnsi="Times New Roman" w:eastAsia="Times New Roman" w:cs="Times New Roman"/>
        </w:rPr>
        <w:t>.</w:t>
      </w:r>
      <w:r>
        <w:rPr>
          <w:rFonts w:ascii="Microsoft YaHei" w:hAnsi="Microsoft YaHei" w:eastAsia="Microsoft YaHei" w:cs="Microsoft YaHei"/>
        </w:rPr>
        <w:t>当那三位忠勇之士被扔进火炉、并成为世界的大旗之时</w:t>
      </w:r>
      <w:r>
        <w:rPr>
          <w:rFonts w:ascii="Times New Roman" w:hAnsi="Times New Roman" w:eastAsia="Times New Roman" w:cs="Times New Roman"/>
        </w:rPr>
        <w:t>,</w:t>
      </w:r>
      <w:r>
        <w:rPr>
          <w:rFonts w:ascii="Microsoft YaHei" w:hAnsi="Microsoft YaHei" w:eastAsia="Microsoft YaHei" w:cs="Microsoft YaHei"/>
        </w:rPr>
        <w:t>那火炉实际上并不是尼布甲尼撒的火炉</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Ողբ նրանց, որ օգնութեան համար իջնում են Եգիպտոս, ապաւինում են ձիերին, վստահում են կառքերին, որովհետեւ շատ են, եւ հեծեալներին, որովհետեւ շատ զօրաւոր են, բայց չեն նայում Իսրայէլի Սուրբին եւ չեն փնտռում Տիրոջը։ Սակայն Նա էլ իմաստուն է, եւ չարիք պիտի բերի, եւ Իր խօսքերը հետ պիտի չվերցնի, այլ պիտի ելնի չարագործների տան դէմ եւ անօրէնութիւն գործողների օգնականութեան դէմ։ Իսկ Եգիպտացիները մարդիկ են, եւ ոչ թէ Աստուած, եւ նրանց ձիերը՝ մարմին, եւ ոչ թէ հոգի։ Երբ Տէրը երկարի Իր ձեռքը, կընկնի թէ՛ օգնողը, թէ՛ օգնութիւն ստացողը պիտի տապալուի, եւ բոլորն էլ միասին պիտի կորչեն։ Որովհետեւ այսպէս խօսեց Տէրն ինձ հետ. «Ինչպէս որ առիւծը եւ կորիւն առիւծը մռնչում են իրենց որսի վրայ, եւ երբ հովիւների բազմութիւն է կանչւում նրա դէմ, նա նրանց ձայնից չի սարսափում եւ նրանց աղմուկից չի խոնարհւում, նոյնպէս Զօրքերի Տէրը պիտի իջնի պատերազմելու Սիոն լերան համար եւ նրա բլրի համար։ Ինչպէս թռչուններ, որ թռչում են, այդպէս Զօրքերի Տէրը պիտի պաշտպանի Երուսաղէմը. պաշտպանելով՝ պիտի ազատի նրան, եւ անցնելով վերեւից՝ պիտի պահպանի նրան։ Դարձէ՛ք դէպի Նրան, Որից Իսրայէլի որդիները խորապէս ապստամբել են։ Որովհետեւ այն օրը ամէն մարդ պիտի դէն նետի իր արծաթէ կուռքերը եւ իր ոսկէ կուռքերը, որոնք ձեր սեփական ձեռքերը ձեզ համար շինեցին իբրեւ մեղք։ Այն ժամանակ Ասորեստանցին պիտի ընկնի սրով, բայց ոչ թէ հզօր մարդու սրով, եւ սուրը, բայց ոչ թէ աննշան մարդու սուրը, պիտի խժռի նրան. նա պիտի փախչի սրից, եւ նրա երիտասարդները պիտի ջախջախուեն։ Նա սարսափից պիտի անցնի դէպի իր ամրոցը, եւ նրա իշխանները պիտի սարսափեն դրօշակից,– ասում է Տէրը, Որի կրակը Սիոնում է, եւ Որի հնոցը՝ Երուսաղէմում»։ Եսայիա 31:1–9.</w:t>
      </w:r>
    </w:p>
    <w:p>
      <w:pPr>
        <w:pStyle w:val="ArticleBody"/>
        <w:jc w:val="left"/>
      </w:pPr>
      <w:r>
        <w:rPr>
          <w:rFonts w:ascii="Times New Roman" w:hAnsi="Times New Roman" w:eastAsia="Times New Roman" w:cs="Times New Roman"/>
        </w:rPr>
        <w:t>Jerusalem est la fournaise vers laquelle le monde tournera ses regards, et l’on y verra quatre hommes qui s’y promènent.</w:t>
      </w:r>
    </w:p>
    <w:p>
      <w:pPr>
        <w:pStyle w:val="ArticleScripture"/>
        <w:jc w:val="left"/>
      </w:pPr>
      <w:r>
        <w:rPr>
          <w:rFonts w:ascii="Times New Roman" w:hAnsi="Times New Roman" w:eastAsia="Times New Roman" w:cs="Times New Roman"/>
        </w:rPr>
        <w:t>Daaraan naderde Nebukadnezar tot de opening van de brandende, vurige oven; hij hief aan en zeide: Sadrach, Mesach en Abednego, gij knechten van de allerhoogste God, treedt naar buiten en komt hierheen. Toen traden Sadrach, Mesach en Abednego uit het midden van het vuur naar buiten. En de vorsten, stadhouders, landvoogden en des konings raadslieden, die zich verzameld hadden, zagen deze mannen, over wier lichamen het vuur geen macht had gehad; ook was geen haar van hun hoofd geschroeid, en hun mantels waren niet veranderd, ja zelfs de geur van vuur was niet op hen overgegaan. Toen hief Nebukadnezar aan en zeide: Geloofd zij de God van Sadrach, Mesach en Abednego, die Zijn engel gezonden en Zijn knechten verlost heeft, die op Hem vertrouwden, en des konings bevel hebben veranderd en hun lichamen prijsgegeven, opdat zij geen god zouden dienen of aanbidden dan hun eigen God. Daniël 3:26–28.</w:t>
      </w:r>
    </w:p>
    <w:p>
      <w:pPr>
        <w:pStyle w:val="ArticleBody"/>
        <w:jc w:val="left"/>
      </w:pP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नबूकदनेसरले</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आदेशले</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आदेशको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मृत्युदण्डको</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परमेश्वरलाई</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दुर्बल</w:t>
      </w:r>
      <w:r>
        <w:rPr>
          <w:rFonts w:ascii="Times New Roman" w:hAnsi="Times New Roman" w:eastAsia="Times New Roman" w:cs="Times New Roman"/>
        </w:rPr>
        <w:t xml:space="preserve"> </w:t>
      </w:r>
      <w:r>
        <w:rPr>
          <w:rFonts w:ascii="Nirmala UI" w:hAnsi="Nirmala UI" w:eastAsia="Nirmala UI" w:cs="Nirmala UI"/>
        </w:rPr>
        <w:t>प्रयासमा</w:t>
      </w:r>
      <w:r>
        <w:rPr>
          <w:rFonts w:ascii="Times New Roman" w:hAnsi="Times New Roman" w:eastAsia="Times New Roman" w:cs="Times New Roman"/>
        </w:rPr>
        <w:t xml:space="preserve"> </w:t>
      </w:r>
      <w:r>
        <w:rPr>
          <w:rFonts w:ascii="Nirmala UI" w:hAnsi="Nirmala UI" w:eastAsia="Nirmala UI" w:cs="Nirmala UI"/>
        </w:rPr>
        <w:t>देखिए</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मृत्युदण्डको</w:t>
      </w:r>
      <w:r>
        <w:rPr>
          <w:rFonts w:ascii="Times New Roman" w:hAnsi="Times New Roman" w:eastAsia="Times New Roman" w:cs="Times New Roman"/>
        </w:rPr>
        <w:t xml:space="preserve"> </w:t>
      </w:r>
      <w:r>
        <w:rPr>
          <w:rFonts w:ascii="Nirmala UI" w:hAnsi="Nirmala UI" w:eastAsia="Nirmala UI" w:cs="Nirmala UI"/>
        </w:rPr>
        <w:t>आदेशको</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प्रतीकवाद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नबूकदनेसर</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वैश्यासँग</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अजिङ्गरका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राजाहरूको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परिदृश्यमा</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मृत्युदण्डको</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नबूकदनेसरले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w:t>
      </w:r>
      <w:r>
        <w:rPr>
          <w:rFonts w:ascii="Nirmala UI" w:hAnsi="Nirmala UI" w:eastAsia="Nirmala UI" w:cs="Nirmala UI"/>
        </w:rPr>
        <w:t>गठबन्धनको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आदेशलाई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भएपछि</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मृत्युदण्डको</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कार्यान्वयन</w:t>
      </w:r>
      <w:r>
        <w:rPr>
          <w:rFonts w:ascii="Times New Roman" w:hAnsi="Times New Roman" w:eastAsia="Times New Roman" w:cs="Times New Roman"/>
        </w:rPr>
        <w:t xml:space="preserve"> </w:t>
      </w:r>
      <w:r>
        <w:rPr>
          <w:rFonts w:ascii="Nirmala UI" w:hAnsi="Nirmala UI" w:eastAsia="Nirmala UI" w:cs="Nirmala UI"/>
        </w:rPr>
        <w:t>गरिँदैन।</w:t>
      </w:r>
    </w:p>
    <w:p>
      <w:pPr>
        <w:pStyle w:val="ArticleScripture"/>
        <w:jc w:val="left"/>
      </w:pPr>
      <w:r>
        <w:rPr>
          <w:rFonts w:ascii="Times New Roman" w:hAnsi="Times New Roman" w:eastAsia="Times New Roman" w:cs="Times New Roman"/>
        </w:rPr>
        <w:t>Darum erlasse ich einen Befehl, dass jedes Volk, jede Nation und jede Sprache, die etwas Verkehrtes gegen den Gott Schadrachs, Meschachs und Abednegos redet, in Stücke gehauen werden soll und dass seine Häuser zu einem Misthaufen gemacht werden sollen; denn es gibt keinen anderen Gott, der auf solche Weise erretten kann. Darauf beförderte der König Schadrach, Meschach und Abednego in der Provinz Babylon. Daniel 3,29.30.</w:t>
      </w:r>
    </w:p>
    <w:p>
      <w:pPr>
        <w:pStyle w:val="ArticleBody"/>
        <w:jc w:val="left"/>
      </w:pPr>
      <w:r>
        <w:rPr>
          <w:rFonts w:ascii="Times New Roman" w:hAnsi="Times New Roman" w:eastAsia="Times New Roman" w:cs="Times New Roman"/>
        </w:rPr>
        <w:t>Sasa tumeweka tayari katika kumbukumbu kiasi cha kutosha cha sura tatu za kwanza za Danieli ili kuanza kuzingatia sura ya nne na ya tano, ambazo zinatawaliwa na kanuni ya kiunabii ya “kurudia na kupanua”. Danieli sura ya nne hutambulisha mwaka 1798 na mwanzo wa mnyama wa nchi, na Danieli sura ya tano hutambulisha sheria ya Jumapili, na mwisho wa mnyama wa nchi anenapo kama joka. Sura hizi mbili zapaswa kuletwa pamoja “mstari juu ya mstari” na sura tatu za kwanza ili kujenga juu ya muundo wa jumbe za malaika watatu. Kwa sababu ya ukweli huu, kwanza tutafafanua kwa uangalifu kanuni ya “mstari juu ya mstari”.</w:t>
      </w:r>
    </w:p>
    <w:p>
      <w:pPr>
        <w:pStyle w:val="ArticleBody"/>
        <w:jc w:val="left"/>
      </w:pPr>
      <w:r>
        <w:rPr>
          <w:rFonts w:ascii="Times New Roman" w:hAnsi="Times New Roman" w:eastAsia="Times New Roman" w:cs="Times New Roman"/>
        </w:rPr>
        <w:t>Nous poursuivrons dans le prochain article.</w:t>
      </w:r>
    </w:p>
    <w:p>
      <w:pPr>
        <w:pStyle w:val="ArticleScripture"/>
        <w:jc w:val="left"/>
      </w:pPr>
      <w:r>
        <w:rPr>
          <w:rFonts w:ascii="Times New Roman" w:hAnsi="Times New Roman" w:eastAsia="Times New Roman" w:cs="Times New Roman"/>
        </w:rPr>
        <w:t>“Belshasa alipewa nafasi nyingi za kuijua na kuifanya mapenzi ya Mungu. Alikuwa amemwona babu yake Nebukadneza akifukuzwa kutoka katika jamii ya wanadamu. Alikuwa ameona akili ambayo mfalme huyo mwenye kiburi alijivunia ikiondolewa na Yeye aliyeitoa. Alikuwa amemwona mfalme akifukuzwa kutoka katika ufalme wake, na kufanywa mwandamani wa wanyama wa porini. Lakini upendo wa Belshasa kwa anasa na kujitukuza ulifuta mafundisho ambayo hakupaswa kamwe kuyasahau; naye akatenda dhambi zinazofanana na zile zilizoleta hukumu za kutisha juu ya Nebukadneza. Alipoteza nafasi alizopewa kwa neema, akipuuzia kuzitumia nafasi zilizokuwa ndani ya uwezo wake ili kuifahamu kweli. ‘Nifanye nini nipate kuokoka?’ lilikuwa swali ambalo mfalme huyo mkuu lakini mpumbavu alilipuuza kwa kutokujali.”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dix-neuf</dc:title>
  <dc:subject>దానియేలు గ్రంథంలో ‘గంట’ అనే పదం యొక్క ప్రవచనాత్మక ప్రాముఖ్యత</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