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 Ishirini</w:t>
      </w:r>
    </w:p>
    <w:p>
      <w:pPr>
        <w:pStyle w:val="ArticleSubtitle"/>
        <w:jc w:val="left"/>
      </w:pPr>
      <w:r>
        <w:rPr>
          <w:rFonts w:ascii="Arial" w:hAnsi="Arial" w:eastAsia="Arial" w:cs="Arial"/>
        </w:rPr>
        <w:t>Danyèl ak Revelasyon an: Dekouvri Tapisri Pwofetik Leve ak Tonbe Wayòm 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2023-12-15</w:t>
      </w:r>
    </w:p>
    <w:p>
      <w:pPr>
        <w:pStyle w:val="ArticleBody"/>
        <w:jc w:val="left"/>
      </w:pPr>
      <w:r>
        <w:rPr>
          <w:rFonts w:ascii="Malgun Gothic" w:hAnsi="Malgun Gothic" w:eastAsia="Malgun Gothic" w:cs="Malgun Gothic"/>
        </w:rPr>
        <w:t>수녀</w:t>
      </w:r>
      <w:r>
        <w:rPr>
          <w:rFonts w:ascii="Times New Roman" w:hAnsi="Times New Roman" w:eastAsia="Times New Roman" w:cs="Times New Roman"/>
        </w:rPr>
        <w:t xml:space="preserve"> </w:t>
      </w:r>
      <w:r>
        <w:rPr>
          <w:rFonts w:ascii="Malgun Gothic" w:hAnsi="Malgun Gothic" w:eastAsia="Malgun Gothic" w:cs="Malgun Gothic"/>
        </w:rPr>
        <w:t>화잇은</w:t>
      </w:r>
      <w:r>
        <w:rPr>
          <w:rFonts w:ascii="Times New Roman" w:hAnsi="Times New Roman" w:eastAsia="Times New Roman" w:cs="Times New Roman"/>
        </w:rPr>
        <w:t xml:space="preserve"> </w:t>
      </w:r>
      <w:r>
        <w:rPr>
          <w:rFonts w:ascii="Malgun Gothic" w:hAnsi="Malgun Gothic" w:eastAsia="Malgun Gothic" w:cs="Malgun Gothic"/>
        </w:rPr>
        <w:t>이해되어야</w:t>
      </w:r>
      <w:r>
        <w:rPr>
          <w:rFonts w:ascii="Times New Roman" w:hAnsi="Times New Roman" w:eastAsia="Times New Roman" w:cs="Times New Roman"/>
        </w:rPr>
        <w:t xml:space="preserve"> </w:t>
      </w:r>
      <w:r>
        <w:rPr>
          <w:rFonts w:ascii="Malgun Gothic" w:hAnsi="Malgun Gothic" w:eastAsia="Malgun Gothic" w:cs="Malgun Gothic"/>
        </w:rPr>
        <w:t>할</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교훈들이</w:t>
      </w:r>
      <w:r>
        <w:rPr>
          <w:rFonts w:ascii="Times New Roman" w:hAnsi="Times New Roman" w:eastAsia="Times New Roman" w:cs="Times New Roman"/>
        </w:rPr>
        <w:t xml:space="preserve"> </w:t>
      </w:r>
      <w:r>
        <w:rPr>
          <w:rFonts w:ascii="Malgun Gothic" w:hAnsi="Malgun Gothic" w:eastAsia="Malgun Gothic" w:cs="Malgun Gothic"/>
        </w:rPr>
        <w:t>왕국들의</w:t>
      </w:r>
      <w:r>
        <w:rPr>
          <w:rFonts w:ascii="Times New Roman" w:hAnsi="Times New Roman" w:eastAsia="Times New Roman" w:cs="Times New Roman"/>
        </w:rPr>
        <w:t xml:space="preserve"> </w:t>
      </w:r>
      <w:r>
        <w:rPr>
          <w:rFonts w:ascii="Malgun Gothic" w:hAnsi="Malgun Gothic" w:eastAsia="Malgun Gothic" w:cs="Malgun Gothic"/>
        </w:rPr>
        <w:t>흥망을</w:t>
      </w:r>
      <w:r>
        <w:rPr>
          <w:rFonts w:ascii="Times New Roman" w:hAnsi="Times New Roman" w:eastAsia="Times New Roman" w:cs="Times New Roman"/>
        </w:rPr>
        <w:t xml:space="preserve"> </w:t>
      </w:r>
      <w:r>
        <w:rPr>
          <w:rFonts w:ascii="Malgun Gothic" w:hAnsi="Malgun Gothic" w:eastAsia="Malgun Gothic" w:cs="Malgun Gothic"/>
        </w:rPr>
        <w:t>통하여</w:t>
      </w:r>
      <w:r>
        <w:rPr>
          <w:rFonts w:ascii="Times New Roman" w:hAnsi="Times New Roman" w:eastAsia="Times New Roman" w:cs="Times New Roman"/>
        </w:rPr>
        <w:t xml:space="preserve"> </w:t>
      </w:r>
      <w:r>
        <w:rPr>
          <w:rFonts w:ascii="Malgun Gothic" w:hAnsi="Malgun Gothic" w:eastAsia="Malgun Gothic" w:cs="Malgun Gothic"/>
        </w:rPr>
        <w:t>묘사되고</w:t>
      </w:r>
      <w:r>
        <w:rPr>
          <w:rFonts w:ascii="Times New Roman" w:hAnsi="Times New Roman" w:eastAsia="Times New Roman" w:cs="Times New Roman"/>
        </w:rPr>
        <w:t xml:space="preserve"> </w:t>
      </w:r>
      <w:r>
        <w:rPr>
          <w:rFonts w:ascii="Malgun Gothic" w:hAnsi="Malgun Gothic" w:eastAsia="Malgun Gothic" w:cs="Malgun Gothic"/>
        </w:rPr>
        <w:t>있음을</w:t>
      </w:r>
      <w:r>
        <w:rPr>
          <w:rFonts w:ascii="Times New Roman" w:hAnsi="Times New Roman" w:eastAsia="Times New Roman" w:cs="Times New Roman"/>
        </w:rPr>
        <w:t xml:space="preserve"> </w:t>
      </w:r>
      <w:r>
        <w:rPr>
          <w:rFonts w:ascii="Malgun Gothic" w:hAnsi="Malgun Gothic" w:eastAsia="Malgun Gothic" w:cs="Malgun Gothic"/>
        </w:rPr>
        <w:t>자주</w:t>
      </w:r>
      <w:r>
        <w:rPr>
          <w:rFonts w:ascii="Times New Roman" w:hAnsi="Times New Roman" w:eastAsia="Times New Roman" w:cs="Times New Roman"/>
        </w:rPr>
        <w:t xml:space="preserve"> </w:t>
      </w:r>
      <w:r>
        <w:rPr>
          <w:rFonts w:ascii="Malgun Gothic" w:hAnsi="Malgun Gothic" w:eastAsia="Malgun Gothic" w:cs="Malgun Gothic"/>
        </w:rPr>
        <w:t>밝힌다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ដល់តាមរយៈការកើតឡើង</w:t>
      </w:r>
      <w:r>
        <w:rPr>
          <w:rFonts w:ascii="Times New Roman" w:hAnsi="Times New Roman" w:eastAsia="Times New Roman" w:cs="Times New Roman"/>
        </w:rPr>
        <w:t xml:space="preserve"> </w:t>
      </w:r>
      <w:r>
        <w:rPr>
          <w:rFonts w:ascii="Leelawadee UI" w:hAnsi="Leelawadee UI" w:eastAsia="Leelawadee UI" w:cs="Leelawadee UI"/>
        </w:rPr>
        <w:t>និងការធ្លាក់ចុះនៃប្រជាជាតិទាំងឡាយ</w:t>
      </w:r>
      <w:r>
        <w:rPr>
          <w:rFonts w:ascii="Times New Roman" w:hAnsi="Times New Roman" w:eastAsia="Times New Roman" w:cs="Times New Roman"/>
        </w:rPr>
        <w:t xml:space="preserve"> </w:t>
      </w:r>
      <w:r>
        <w:rPr>
          <w:rFonts w:ascii="Leelawadee UI" w:hAnsi="Leelawadee UI" w:eastAsia="Leelawadee UI" w:cs="Leelawadee UI"/>
        </w:rPr>
        <w:t>ដូចដែលបានបង្ហាញយ៉ាងច្បាស់ក្នុងសៀវភៅដានីយ៉ែល</w:t>
      </w:r>
      <w:r>
        <w:rPr>
          <w:rFonts w:ascii="Times New Roman" w:hAnsi="Times New Roman" w:eastAsia="Times New Roman" w:cs="Times New Roman"/>
        </w:rPr>
        <w:t xml:space="preserve"> </w:t>
      </w:r>
      <w:r>
        <w:rPr>
          <w:rFonts w:ascii="Leelawadee UI" w:hAnsi="Leelawadee UI" w:eastAsia="Leelawadee UI" w:cs="Leelawadee UI"/>
        </w:rPr>
        <w:t>និងវិវរណៈ</w:t>
      </w:r>
      <w:r>
        <w:rPr>
          <w:rFonts w:ascii="Times New Roman" w:hAnsi="Times New Roman" w:eastAsia="Times New Roman" w:cs="Times New Roman"/>
        </w:rPr>
        <w:t xml:space="preserve"> </w:t>
      </w:r>
      <w:r>
        <w:rPr>
          <w:rFonts w:ascii="Leelawadee UI" w:hAnsi="Leelawadee UI" w:eastAsia="Leelawadee UI" w:cs="Leelawadee UI"/>
        </w:rPr>
        <w:t>យើងត្រូវរៀនថា</w:t>
      </w:r>
      <w:r>
        <w:rPr>
          <w:rFonts w:ascii="Times New Roman" w:hAnsi="Times New Roman" w:eastAsia="Times New Roman" w:cs="Times New Roman"/>
        </w:rPr>
        <w:t xml:space="preserve"> </w:t>
      </w:r>
      <w:r>
        <w:rPr>
          <w:rFonts w:ascii="Leelawadee UI" w:hAnsi="Leelawadee UI" w:eastAsia="Leelawadee UI" w:cs="Leelawadee UI"/>
        </w:rPr>
        <w:t>សិរីល្អខាងក្រៅ</w:t>
      </w:r>
      <w:r>
        <w:rPr>
          <w:rFonts w:ascii="Times New Roman" w:hAnsi="Times New Roman" w:eastAsia="Times New Roman" w:cs="Times New Roman"/>
        </w:rPr>
        <w:t xml:space="preserve"> </w:t>
      </w:r>
      <w:r>
        <w:rPr>
          <w:rFonts w:ascii="Leelawadee UI" w:hAnsi="Leelawadee UI" w:eastAsia="Leelawadee UI" w:cs="Leelawadee UI"/>
        </w:rPr>
        <w:t>និងខាងលោកីយ៍ប៉ុណ្ណោះ</w:t>
      </w:r>
      <w:r>
        <w:rPr>
          <w:rFonts w:ascii="Times New Roman" w:hAnsi="Times New Roman" w:eastAsia="Times New Roman" w:cs="Times New Roman"/>
        </w:rPr>
        <w:t xml:space="preserve"> </w:t>
      </w:r>
      <w:r>
        <w:rPr>
          <w:rFonts w:ascii="Leelawadee UI" w:hAnsi="Leelawadee UI" w:eastAsia="Leelawadee UI" w:cs="Leelawadee UI"/>
        </w:rPr>
        <w:t>គ្មានតម្លៃអ្វីឡើយ។</w:t>
      </w:r>
      <w:r>
        <w:rPr>
          <w:rFonts w:ascii="Times New Roman" w:hAnsi="Times New Roman" w:eastAsia="Times New Roman" w:cs="Times New Roman"/>
        </w:rPr>
        <w:t xml:space="preserve"> </w:t>
      </w:r>
      <w:r>
        <w:rPr>
          <w:rFonts w:ascii="Leelawadee UI" w:hAnsi="Leelawadee UI" w:eastAsia="Leelawadee UI" w:cs="Leelawadee UI"/>
        </w:rPr>
        <w:t>បាប៊ីឡូន</w:t>
      </w:r>
      <w:r>
        <w:rPr>
          <w:rFonts w:ascii="Times New Roman" w:hAnsi="Times New Roman" w:eastAsia="Times New Roman" w:cs="Times New Roman"/>
        </w:rPr>
        <w:t xml:space="preserve"> </w:t>
      </w:r>
      <w:r>
        <w:rPr>
          <w:rFonts w:ascii="Leelawadee UI" w:hAnsi="Leelawadee UI" w:eastAsia="Leelawadee UI" w:cs="Leelawadee UI"/>
        </w:rPr>
        <w:t>ជាមួយនឹងអំណាច</w:t>
      </w:r>
      <w:r>
        <w:rPr>
          <w:rFonts w:ascii="Times New Roman" w:hAnsi="Times New Roman" w:eastAsia="Times New Roman" w:cs="Times New Roman"/>
        </w:rPr>
        <w:t xml:space="preserve"> </w:t>
      </w:r>
      <w:r>
        <w:rPr>
          <w:rFonts w:ascii="Leelawadee UI" w:hAnsi="Leelawadee UI" w:eastAsia="Leelawadee UI" w:cs="Leelawadee UI"/>
        </w:rPr>
        <w:t>និងភាពរុងរឿងទាំងអស់របស់វា</w:t>
      </w:r>
      <w:r>
        <w:rPr>
          <w:rFonts w:ascii="Times New Roman" w:hAnsi="Times New Roman" w:eastAsia="Times New Roman" w:cs="Times New Roman"/>
        </w:rPr>
        <w:t xml:space="preserve"> </w:t>
      </w:r>
      <w:r>
        <w:rPr>
          <w:rFonts w:ascii="Leelawadee UI" w:hAnsi="Leelawadee UI" w:eastAsia="Leelawadee UI" w:cs="Leelawadee UI"/>
        </w:rPr>
        <w:t>ដែលពិភពលោករបស់យើងមិនដែលបានឃើញដូចនោះទៀតឡើយតាំងពីពេលនោះមក</w:t>
      </w:r>
      <w:r>
        <w:rPr>
          <w:rFonts w:ascii="Times New Roman" w:hAnsi="Times New Roman" w:eastAsia="Times New Roman" w:cs="Times New Roman"/>
        </w:rPr>
        <w:t>,—</w:t>
      </w:r>
      <w:r>
        <w:rPr>
          <w:rFonts w:ascii="Leelawadee UI" w:hAnsi="Leelawadee UI" w:eastAsia="Leelawadee UI" w:cs="Leelawadee UI"/>
        </w:rPr>
        <w:t>អំណាច</w:t>
      </w:r>
      <w:r>
        <w:rPr>
          <w:rFonts w:ascii="Times New Roman" w:hAnsi="Times New Roman" w:eastAsia="Times New Roman" w:cs="Times New Roman"/>
        </w:rPr>
        <w:t xml:space="preserve"> </w:t>
      </w:r>
      <w:r>
        <w:rPr>
          <w:rFonts w:ascii="Leelawadee UI" w:hAnsi="Leelawadee UI" w:eastAsia="Leelawadee UI" w:cs="Leelawadee UI"/>
        </w:rPr>
        <w:t>និងភាពរុងរឿងដែលចំពោះមនុស្សនៅសម័យនោះ</w:t>
      </w:r>
      <w:r>
        <w:rPr>
          <w:rFonts w:ascii="Times New Roman" w:hAnsi="Times New Roman" w:eastAsia="Times New Roman" w:cs="Times New Roman"/>
        </w:rPr>
        <w:t xml:space="preserve"> </w:t>
      </w:r>
      <w:r>
        <w:rPr>
          <w:rFonts w:ascii="Leelawadee UI" w:hAnsi="Leelawadee UI" w:eastAsia="Leelawadee UI" w:cs="Leelawadee UI"/>
        </w:rPr>
        <w:t>ហាក់ដូចជាមានស្ថេរភាព</w:t>
      </w:r>
      <w:r>
        <w:rPr>
          <w:rFonts w:ascii="Times New Roman" w:hAnsi="Times New Roman" w:eastAsia="Times New Roman" w:cs="Times New Roman"/>
        </w:rPr>
        <w:t xml:space="preserve"> </w:t>
      </w:r>
      <w:r>
        <w:rPr>
          <w:rFonts w:ascii="Leelawadee UI" w:hAnsi="Leelawadee UI" w:eastAsia="Leelawadee UI" w:cs="Leelawadee UI"/>
        </w:rPr>
        <w:t>និងស្ថិតស្ថេរយូរអង្វែងណាស់</w:t>
      </w:r>
      <w:r>
        <w:rPr>
          <w:rFonts w:ascii="Times New Roman" w:hAnsi="Times New Roman" w:eastAsia="Times New Roman" w:cs="Times New Roman"/>
        </w:rPr>
        <w:t>,—</w:t>
      </w:r>
      <w:r>
        <w:rPr>
          <w:rFonts w:ascii="Leelawadee UI" w:hAnsi="Leelawadee UI" w:eastAsia="Leelawadee UI" w:cs="Leelawadee UI"/>
        </w:rPr>
        <w:t>វាបានរលាយបាត់ទៅយ៉ាងសព្វស្រុងប៉ុណ្ណា</w:t>
      </w:r>
      <w:r>
        <w:rPr>
          <w:rFonts w:ascii="Times New Roman" w:hAnsi="Times New Roman" w:eastAsia="Times New Roman" w:cs="Times New Roman"/>
        </w:rPr>
        <w:t xml:space="preserve">! </w:t>
      </w:r>
      <w:r>
        <w:rPr>
          <w:rFonts w:ascii="Leelawadee UI" w:hAnsi="Leelawadee UI" w:eastAsia="Leelawadee UI" w:cs="Leelawadee UI"/>
        </w:rPr>
        <w:t>ដូចជា</w:t>
      </w:r>
      <w:r>
        <w:rPr>
          <w:rFonts w:ascii="Times New Roman" w:hAnsi="Times New Roman" w:eastAsia="Times New Roman" w:cs="Times New Roman"/>
        </w:rPr>
        <w:t xml:space="preserve"> «</w:t>
      </w:r>
      <w:r>
        <w:rPr>
          <w:rFonts w:ascii="Leelawadee UI" w:hAnsi="Leelawadee UI" w:eastAsia="Leelawadee UI" w:cs="Leelawadee UI"/>
        </w:rPr>
        <w:t>ផ្កានៃស្មៅ</w:t>
      </w:r>
      <w:r>
        <w:rPr>
          <w:rFonts w:ascii="Times New Roman" w:hAnsi="Times New Roman" w:eastAsia="Times New Roman" w:cs="Times New Roman"/>
        </w:rPr>
        <w:t xml:space="preserve">» </w:t>
      </w:r>
      <w:r>
        <w:rPr>
          <w:rFonts w:ascii="Leelawadee UI" w:hAnsi="Leelawadee UI" w:eastAsia="Leelawadee UI" w:cs="Leelawadee UI"/>
        </w:rPr>
        <w:t>វាបានវិនាសបាត់ទៅ។</w:t>
      </w:r>
      <w:r>
        <w:rPr>
          <w:rFonts w:ascii="Times New Roman" w:hAnsi="Times New Roman" w:eastAsia="Times New Roman" w:cs="Times New Roman"/>
        </w:rPr>
        <w:t xml:space="preserve"> </w:t>
      </w:r>
      <w:r>
        <w:rPr>
          <w:rFonts w:ascii="Leelawadee UI" w:hAnsi="Leelawadee UI" w:eastAsia="Leelawadee UI" w:cs="Leelawadee UI"/>
        </w:rPr>
        <w:t>យ៉ាកុប</w:t>
      </w:r>
      <w:r>
        <w:rPr>
          <w:rFonts w:ascii="Times New Roman" w:hAnsi="Times New Roman" w:eastAsia="Times New Roman" w:cs="Times New Roman"/>
        </w:rPr>
        <w:t xml:space="preserve"> 1:10</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ដូច្នេះដែរ</w:t>
      </w:r>
      <w:r>
        <w:rPr>
          <w:rFonts w:ascii="Times New Roman" w:hAnsi="Times New Roman" w:eastAsia="Times New Roman" w:cs="Times New Roman"/>
        </w:rPr>
        <w:t xml:space="preserve"> </w:t>
      </w:r>
      <w:r>
        <w:rPr>
          <w:rFonts w:ascii="Leelawadee UI" w:hAnsi="Leelawadee UI" w:eastAsia="Leelawadee UI" w:cs="Leelawadee UI"/>
        </w:rPr>
        <w:t>រាជាណាចក្រមេឌូ</w:t>
      </w:r>
      <w:r>
        <w:rPr>
          <w:rFonts w:ascii="Times New Roman" w:hAnsi="Times New Roman" w:eastAsia="Times New Roman" w:cs="Times New Roman"/>
        </w:rPr>
        <w:t>-</w:t>
      </w:r>
      <w:r>
        <w:rPr>
          <w:rFonts w:ascii="Leelawadee UI" w:hAnsi="Leelawadee UI" w:eastAsia="Leelawadee UI" w:cs="Leelawadee UI"/>
        </w:rPr>
        <w:t>ពែរ្ស</w:t>
      </w:r>
      <w:r>
        <w:rPr>
          <w:rFonts w:ascii="Times New Roman" w:hAnsi="Times New Roman" w:eastAsia="Times New Roman" w:cs="Times New Roman"/>
        </w:rPr>
        <w:t xml:space="preserve"> </w:t>
      </w:r>
      <w:r>
        <w:rPr>
          <w:rFonts w:ascii="Leelawadee UI" w:hAnsi="Leelawadee UI" w:eastAsia="Leelawadee UI" w:cs="Leelawadee UI"/>
        </w:rPr>
        <w:t>និងរាជាណាចក្រនៃក្រិក</w:t>
      </w:r>
      <w:r>
        <w:rPr>
          <w:rFonts w:ascii="Times New Roman" w:hAnsi="Times New Roman" w:eastAsia="Times New Roman" w:cs="Times New Roman"/>
        </w:rPr>
        <w:t xml:space="preserve"> </w:t>
      </w:r>
      <w:r>
        <w:rPr>
          <w:rFonts w:ascii="Leelawadee UI" w:hAnsi="Leelawadee UI" w:eastAsia="Leelawadee UI" w:cs="Leelawadee UI"/>
        </w:rPr>
        <w:t>និងរ៉ូម</w:t>
      </w:r>
      <w:r>
        <w:rPr>
          <w:rFonts w:ascii="Times New Roman" w:hAnsi="Times New Roman" w:eastAsia="Times New Roman" w:cs="Times New Roman"/>
        </w:rPr>
        <w:t xml:space="preserve"> </w:t>
      </w:r>
      <w:r>
        <w:rPr>
          <w:rFonts w:ascii="Leelawadee UI" w:hAnsi="Leelawadee UI" w:eastAsia="Leelawadee UI" w:cs="Leelawadee UI"/>
        </w:rPr>
        <w:t>ក៏បានវិនាសបាត់ទៅ។</w:t>
      </w:r>
      <w:r>
        <w:rPr>
          <w:rFonts w:ascii="Times New Roman" w:hAnsi="Times New Roman" w:eastAsia="Times New Roman" w:cs="Times New Roman"/>
        </w:rPr>
        <w:t xml:space="preserve"> </w:t>
      </w:r>
      <w:r>
        <w:rPr>
          <w:rFonts w:ascii="Leelawadee UI" w:hAnsi="Leelawadee UI" w:eastAsia="Leelawadee UI" w:cs="Leelawadee UI"/>
        </w:rPr>
        <w:t>ហើយអ្វីៗទាំងអស់ដែលមិនមានព្រះជាគ្រឹះរបស់វា</w:t>
      </w:r>
      <w:r>
        <w:rPr>
          <w:rFonts w:ascii="Times New Roman" w:hAnsi="Times New Roman" w:eastAsia="Times New Roman" w:cs="Times New Roman"/>
        </w:rPr>
        <w:t xml:space="preserve"> </w:t>
      </w:r>
      <w:r>
        <w:rPr>
          <w:rFonts w:ascii="Leelawadee UI" w:hAnsi="Leelawadee UI" w:eastAsia="Leelawadee UI" w:cs="Leelawadee UI"/>
        </w:rPr>
        <w:t>ក៏វិនាសបាត់ទៅដូច្នោះដែរ។</w:t>
      </w:r>
      <w:r>
        <w:rPr>
          <w:rFonts w:ascii="Times New Roman" w:hAnsi="Times New Roman" w:eastAsia="Times New Roman" w:cs="Times New Roman"/>
        </w:rPr>
        <w:t xml:space="preserve"> </w:t>
      </w:r>
      <w:r>
        <w:rPr>
          <w:rFonts w:ascii="Leelawadee UI" w:hAnsi="Leelawadee UI" w:eastAsia="Leelawadee UI" w:cs="Leelawadee UI"/>
        </w:rPr>
        <w:t>មានតែអ្វីដែលបានភ្ជាប់ជាប់ជាមួយនឹងព្រះបំណងរបស់ទ្រង់</w:t>
      </w:r>
      <w:r>
        <w:rPr>
          <w:rFonts w:ascii="Times New Roman" w:hAnsi="Times New Roman" w:eastAsia="Times New Roman" w:cs="Times New Roman"/>
        </w:rPr>
        <w:t xml:space="preserve"> </w:t>
      </w:r>
      <w:r>
        <w:rPr>
          <w:rFonts w:ascii="Leelawadee UI" w:hAnsi="Leelawadee UI" w:eastAsia="Leelawadee UI" w:cs="Leelawadee UI"/>
        </w:rPr>
        <w:t>ហើយសម្តែងលក្ខណៈរបស់ទ្រង់ប៉ុណ្ណោះ</w:t>
      </w:r>
      <w:r>
        <w:rPr>
          <w:rFonts w:ascii="Times New Roman" w:hAnsi="Times New Roman" w:eastAsia="Times New Roman" w:cs="Times New Roman"/>
        </w:rPr>
        <w:t xml:space="preserve"> </w:t>
      </w:r>
      <w:r>
        <w:rPr>
          <w:rFonts w:ascii="Leelawadee UI" w:hAnsi="Leelawadee UI" w:eastAsia="Leelawadee UI" w:cs="Leelawadee UI"/>
        </w:rPr>
        <w:t>ទើបអាចស្ថិតស្ថេរបាន។</w:t>
      </w:r>
      <w:r>
        <w:rPr>
          <w:rFonts w:ascii="Times New Roman" w:hAnsi="Times New Roman" w:eastAsia="Times New Roman" w:cs="Times New Roman"/>
        </w:rPr>
        <w:t xml:space="preserve"> </w:t>
      </w:r>
      <w:r>
        <w:rPr>
          <w:rFonts w:ascii="Leelawadee UI" w:hAnsi="Leelawadee UI" w:eastAsia="Leelawadee UI" w:cs="Leelawadee UI"/>
        </w:rPr>
        <w:t>គោលការណ៍របស់ទ្រង់</w:t>
      </w:r>
      <w:r>
        <w:rPr>
          <w:rFonts w:ascii="Times New Roman" w:hAnsi="Times New Roman" w:eastAsia="Times New Roman" w:cs="Times New Roman"/>
        </w:rPr>
        <w:t xml:space="preserve"> </w:t>
      </w:r>
      <w:r>
        <w:rPr>
          <w:rFonts w:ascii="Leelawadee UI" w:hAnsi="Leelawadee UI" w:eastAsia="Leelawadee UI" w:cs="Leelawadee UI"/>
        </w:rPr>
        <w:t>គឺជាវត្ថុតែមួយគត់ដែលមាំមួន</w:t>
      </w:r>
      <w:r>
        <w:rPr>
          <w:rFonts w:ascii="Times New Roman" w:hAnsi="Times New Roman" w:eastAsia="Times New Roman" w:cs="Times New Roman"/>
        </w:rPr>
        <w:t xml:space="preserve"> </w:t>
      </w:r>
      <w:r>
        <w:rPr>
          <w:rFonts w:ascii="Leelawadee UI" w:hAnsi="Leelawadee UI" w:eastAsia="Leelawadee UI" w:cs="Leelawadee UI"/>
        </w:rPr>
        <w:t>ដែលពិភពលោករបស់យើងស្គាល់</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Prophets and Kings, 548.</w:t>
      </w:r>
    </w:p>
    <w:p>
      <w:pPr>
        <w:pStyle w:val="ArticleBody"/>
        <w:jc w:val="left"/>
      </w:pPr>
      <w:r>
        <w:rPr>
          <w:rFonts w:ascii="Times New Roman" w:hAnsi="Times New Roman" w:eastAsia="Times New Roman" w:cs="Times New Roman"/>
        </w:rPr>
        <w:t>Kerajaan-kerajaan yang “bangkit dan jatuh” sebagaimana digambarkan dalam kitab Daniel dan Wahyu merupakan titik pusat dari suatu pendekatan yang benar terhadap studi nubuatan. Kejatuhan Babel dilambangkan oleh kejatuhan Babel Nimrod dalam Kejadian pasal sebelas. Kemudian, dalam Daniel pasal lima, Babel jatuh lagi. Sejarah kepausan, yaitu kebangkitannya kepada kekuasaan pada tahun 538, dan kejatuhannya kemudian pada tahun 1798, juga melambangkan kejatuhan terakhir Babel, sebab kuasa kepausan secara nubuatan adalah Babel rohani. Kepausan jatuh pada tahun 1798, dan Wahyu pasal delapan belas menguraikan kejatuhan akhirnya. Dalam Daniel pasal sebelas, ayat empat puluh lima, kepausan, yang di sana dilambangkan sebagai raja utara, sampai kepada akhirnya dengan tidak ada seorang pun yang menolongnya. Hal ini terjadi ketika masa kasihan berakhir, sebab ayat empat puluh lima dari pasal sebelas dan ayat satu dari pasal dua belas menggambarkan sejarah yang sama.</w:t>
      </w:r>
    </w:p>
    <w:p>
      <w:pPr>
        <w:pStyle w:val="ArticleScripture"/>
        <w:jc w:val="left"/>
      </w:pPr>
      <w:r>
        <w:rPr>
          <w:rFonts w:ascii="Times New Roman" w:hAnsi="Times New Roman" w:eastAsia="Times New Roman" w:cs="Times New Roman"/>
        </w:rPr>
        <w:t>A ƙarshe kuma zai kafa bukkokin fadarsa a tsakanin tekuna, a kan dutse mai tsarki mai ɗaukaka; amma zai zo ga ƙarshensa, kuma ba mai taimakonsa. Kuma a wancan lokaci Mika’ilu zai tashi, babban sarkin nan wanda yake tsayawa saboda ’ya’yan mutanenka: kuma za a yi lokacin wahala irin wanda ba a taɓa yi ba tun da akwai al’umma har zuwa wannan lokaci ɗin: kuma a wancan lokaci mutanenka za su kuɓuta, kowanne wanda za a same shi a rubuce cikin littafin. Daniyel 11:45, 12:1.</w:t>
      </w:r>
    </w:p>
    <w:p>
      <w:pPr>
        <w:pStyle w:val="ArticleBody"/>
        <w:jc w:val="left"/>
      </w:pPr>
      <w:r>
        <w:rPr>
          <w:rFonts w:ascii="Times New Roman" w:hAnsi="Times New Roman" w:eastAsia="Times New Roman" w:cs="Times New Roman"/>
        </w:rPr>
        <w:t>Le message du deuxième ange est fondé sur le fait que Babylone est tombée deux fois. La Babylone littérale, représentée par Nimrod et Belshatsar, tomba deux fois, et la Babylone spirituelle tomba en 1798, et tombera de nouveau lorsque le temps de grâce accordé à l’humanité prendra fin.</w:t>
      </w:r>
    </w:p>
    <w:p>
      <w:pPr>
        <w:pStyle w:val="ArticleScripture"/>
        <w:jc w:val="left"/>
      </w:pPr>
      <w:r>
        <w:rPr>
          <w:rFonts w:ascii="Times New Roman" w:hAnsi="Times New Roman" w:eastAsia="Times New Roman" w:cs="Times New Roman"/>
        </w:rPr>
        <w:t>Pi anhĩ angel re, roitĩ, Babilônia ho'a, ho'a pe tetã guasu, ha'e ojapo opa tetã nguéra o'u hag̃ua umi kaguy pochyha heko vai rehegua. Apocalipsis 14:8.</w:t>
      </w:r>
    </w:p>
    <w:p>
      <w:pPr>
        <w:pStyle w:val="ArticleBody"/>
        <w:jc w:val="left"/>
      </w:pP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स्वर्गदूतमा</w:t>
      </w:r>
      <w:r>
        <w:rPr>
          <w:rFonts w:ascii="Times New Roman" w:hAnsi="Times New Roman" w:eastAsia="Times New Roman" w:cs="Times New Roman"/>
        </w:rPr>
        <w:t xml:space="preserve"> </w:t>
      </w:r>
      <w:r>
        <w:rPr>
          <w:rFonts w:ascii="Nirmala UI" w:hAnsi="Nirmala UI" w:eastAsia="Nirmala UI" w:cs="Nirmala UI"/>
        </w:rPr>
        <w:t>बाबेलको</w:t>
      </w:r>
      <w:r>
        <w:rPr>
          <w:rFonts w:ascii="Times New Roman" w:hAnsi="Times New Roman" w:eastAsia="Times New Roman" w:cs="Times New Roman"/>
        </w:rPr>
        <w:t xml:space="preserve"> </w:t>
      </w:r>
      <w:r>
        <w:rPr>
          <w:rFonts w:ascii="Nirmala UI" w:hAnsi="Nirmala UI" w:eastAsia="Nirmala UI" w:cs="Nirmala UI"/>
        </w:rPr>
        <w:t>पतनको</w:t>
      </w:r>
      <w:r>
        <w:rPr>
          <w:rFonts w:ascii="Times New Roman" w:hAnsi="Times New Roman" w:eastAsia="Times New Roman" w:cs="Times New Roman"/>
        </w:rPr>
        <w:t xml:space="preserve"> </w:t>
      </w:r>
      <w:r>
        <w:rPr>
          <w:rFonts w:ascii="Nirmala UI" w:hAnsi="Nirmala UI" w:eastAsia="Nirmala UI" w:cs="Nirmala UI"/>
        </w:rPr>
        <w:t>पुनरुक्तिले</w:t>
      </w:r>
      <w:r>
        <w:rPr>
          <w:rFonts w:ascii="Times New Roman" w:hAnsi="Times New Roman" w:eastAsia="Times New Roman" w:cs="Times New Roman"/>
        </w:rPr>
        <w:t xml:space="preserve">, </w:t>
      </w:r>
      <w:r>
        <w:rPr>
          <w:rFonts w:ascii="Nirmala UI" w:hAnsi="Nirmala UI" w:eastAsia="Nirmala UI" w:cs="Nirmala UI"/>
        </w:rPr>
        <w:t>पवित्रशास्त्रभित्र</w:t>
      </w:r>
      <w:r>
        <w:rPr>
          <w:rFonts w:ascii="Times New Roman" w:hAnsi="Times New Roman" w:eastAsia="Times New Roman" w:cs="Times New Roman"/>
        </w:rPr>
        <w:t xml:space="preserve"> </w:t>
      </w:r>
      <w:r>
        <w:rPr>
          <w:rFonts w:ascii="Nirmala UI" w:hAnsi="Nirmala UI" w:eastAsia="Nirmala UI" w:cs="Nirmala UI"/>
        </w:rPr>
        <w:t>शब्दहरू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वाक्यांशहरूको</w:t>
      </w:r>
      <w:r>
        <w:rPr>
          <w:rFonts w:ascii="Times New Roman" w:hAnsi="Times New Roman" w:eastAsia="Times New Roman" w:cs="Times New Roman"/>
        </w:rPr>
        <w:t xml:space="preserve"> </w:t>
      </w:r>
      <w:r>
        <w:rPr>
          <w:rFonts w:ascii="Nirmala UI" w:hAnsi="Nirmala UI" w:eastAsia="Nirmala UI" w:cs="Nirmala UI"/>
        </w:rPr>
        <w:t>दोहोरो</w:t>
      </w:r>
      <w:r>
        <w:rPr>
          <w:rFonts w:ascii="Times New Roman" w:hAnsi="Times New Roman" w:eastAsia="Times New Roman" w:cs="Times New Roman"/>
        </w:rPr>
        <w:t xml:space="preserve"> </w:t>
      </w:r>
      <w:r>
        <w:rPr>
          <w:rFonts w:ascii="Nirmala UI" w:hAnsi="Nirmala UI" w:eastAsia="Nirmala UI" w:cs="Nirmala UI"/>
        </w:rPr>
        <w:t>प्रयोगलाई</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मध्यरात्रिको</w:t>
      </w:r>
      <w:r>
        <w:rPr>
          <w:rFonts w:ascii="Times New Roman" w:hAnsi="Times New Roman" w:eastAsia="Times New Roman" w:cs="Times New Roman"/>
        </w:rPr>
        <w:t xml:space="preserve"> </w:t>
      </w:r>
      <w:r>
        <w:rPr>
          <w:rFonts w:ascii="Nirmala UI" w:hAnsi="Nirmala UI" w:eastAsia="Nirmala UI" w:cs="Nirmala UI"/>
        </w:rPr>
        <w:t>पुकारको</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सन्देशको</w:t>
      </w:r>
      <w:r>
        <w:rPr>
          <w:rFonts w:ascii="Times New Roman" w:hAnsi="Times New Roman" w:eastAsia="Times New Roman" w:cs="Times New Roman"/>
        </w:rPr>
        <w:t xml:space="preserve"> </w:t>
      </w:r>
      <w:r>
        <w:rPr>
          <w:rFonts w:ascii="Nirmala UI" w:hAnsi="Nirmala UI" w:eastAsia="Nirmala UI" w:cs="Nirmala UI"/>
        </w:rPr>
        <w:t>प्रतीकका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भविष्यवाणीगत</w:t>
      </w:r>
      <w:r>
        <w:rPr>
          <w:rFonts w:ascii="Times New Roman" w:hAnsi="Times New Roman" w:eastAsia="Times New Roman" w:cs="Times New Roman"/>
        </w:rPr>
        <w:t xml:space="preserve"> </w:t>
      </w:r>
      <w:r>
        <w:rPr>
          <w:rFonts w:ascii="Nirmala UI" w:hAnsi="Nirmala UI" w:eastAsia="Nirmala UI" w:cs="Nirmala UI"/>
        </w:rPr>
        <w:t>औचित्य</w:t>
      </w:r>
      <w:r>
        <w:rPr>
          <w:rFonts w:ascii="Times New Roman" w:hAnsi="Times New Roman" w:eastAsia="Times New Roman" w:cs="Times New Roman"/>
        </w:rPr>
        <w:t xml:space="preserve"> </w:t>
      </w:r>
      <w:r>
        <w:rPr>
          <w:rFonts w:ascii="Nirmala UI" w:hAnsi="Nirmala UI" w:eastAsia="Nirmala UI" w:cs="Nirmala UI"/>
        </w:rPr>
        <w:t>प्रदान</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यसले</w:t>
      </w:r>
      <w:r>
        <w:rPr>
          <w:rFonts w:ascii="Times New Roman" w:hAnsi="Times New Roman" w:eastAsia="Times New Roman" w:cs="Times New Roman"/>
        </w:rPr>
        <w:t xml:space="preserve"> </w:t>
      </w:r>
      <w:r>
        <w:rPr>
          <w:rFonts w:ascii="Nirmala UI" w:hAnsi="Nirmala UI" w:eastAsia="Nirmala UI" w:cs="Nirmala UI"/>
        </w:rPr>
        <w:t>बहिनी</w:t>
      </w:r>
      <w:r>
        <w:rPr>
          <w:rFonts w:ascii="Times New Roman" w:hAnsi="Times New Roman" w:eastAsia="Times New Roman" w:cs="Times New Roman"/>
        </w:rPr>
        <w:t xml:space="preserve"> </w:t>
      </w:r>
      <w:r>
        <w:rPr>
          <w:rFonts w:ascii="Nirmala UI" w:hAnsi="Nirmala UI" w:eastAsia="Nirmala UI" w:cs="Nirmala UI"/>
        </w:rPr>
        <w:t>ह्वाइटले</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गर्नुभएको</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सिद्धान्तलाई</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समर्थन</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जसअनुसार</w:t>
      </w:r>
      <w:r>
        <w:rPr>
          <w:rFonts w:ascii="Times New Roman" w:hAnsi="Times New Roman" w:eastAsia="Times New Roman" w:cs="Times New Roman"/>
        </w:rPr>
        <w:t xml:space="preserve"> </w:t>
      </w:r>
      <w:r>
        <w:rPr>
          <w:rFonts w:ascii="Nirmala UI" w:hAnsi="Nirmala UI" w:eastAsia="Nirmala UI" w:cs="Nirmala UI"/>
        </w:rPr>
        <w:t>भविष्यवाणीको</w:t>
      </w:r>
      <w:r>
        <w:rPr>
          <w:rFonts w:ascii="Times New Roman" w:hAnsi="Times New Roman" w:eastAsia="Times New Roman" w:cs="Times New Roman"/>
        </w:rPr>
        <w:t xml:space="preserve"> </w:t>
      </w:r>
      <w:r>
        <w:rPr>
          <w:rFonts w:ascii="Nirmala UI" w:hAnsi="Nirmala UI" w:eastAsia="Nirmala UI" w:cs="Nirmala UI"/>
        </w:rPr>
        <w:t>अध्ययन</w:t>
      </w:r>
      <w:r>
        <w:rPr>
          <w:rFonts w:ascii="Times New Roman" w:hAnsi="Times New Roman" w:eastAsia="Times New Roman" w:cs="Times New Roman"/>
        </w:rPr>
        <w:t xml:space="preserve"> </w:t>
      </w:r>
      <w:r>
        <w:rPr>
          <w:rFonts w:ascii="Nirmala UI" w:hAnsi="Nirmala UI" w:eastAsia="Nirmala UI" w:cs="Nirmala UI"/>
        </w:rPr>
        <w:t>दानियल</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प्रकाशको</w:t>
      </w:r>
      <w:r>
        <w:rPr>
          <w:rFonts w:ascii="Times New Roman" w:hAnsi="Times New Roman" w:eastAsia="Times New Roman" w:cs="Times New Roman"/>
        </w:rPr>
        <w:t xml:space="preserve"> </w:t>
      </w:r>
      <w:r>
        <w:rPr>
          <w:rFonts w:ascii="Nirmala UI" w:hAnsi="Nirmala UI" w:eastAsia="Nirmala UI" w:cs="Nirmala UI"/>
        </w:rPr>
        <w:t>पुस्तकहरूमा</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राज्यहरूको</w:t>
      </w:r>
      <w:r>
        <w:rPr>
          <w:rFonts w:ascii="Times New Roman" w:hAnsi="Times New Roman" w:eastAsia="Times New Roman" w:cs="Times New Roman"/>
        </w:rPr>
        <w:t xml:space="preserve"> </w:t>
      </w:r>
      <w:r>
        <w:rPr>
          <w:rFonts w:ascii="Nirmala UI" w:hAnsi="Nirmala UI" w:eastAsia="Nirmala UI" w:cs="Nirmala UI"/>
        </w:rPr>
        <w:t>उदय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पतनको</w:t>
      </w:r>
      <w:r>
        <w:rPr>
          <w:rFonts w:ascii="Times New Roman" w:hAnsi="Times New Roman" w:eastAsia="Times New Roman" w:cs="Times New Roman"/>
        </w:rPr>
        <w:t xml:space="preserve"> </w:t>
      </w:r>
      <w:r>
        <w:rPr>
          <w:rFonts w:ascii="Nirmala UI" w:hAnsi="Nirmala UI" w:eastAsia="Nirmala UI" w:cs="Nirmala UI"/>
        </w:rPr>
        <w:t>आधारमा</w:t>
      </w:r>
      <w:r>
        <w:rPr>
          <w:rFonts w:ascii="Times New Roman" w:hAnsi="Times New Roman" w:eastAsia="Times New Roman" w:cs="Times New Roman"/>
        </w:rPr>
        <w:t xml:space="preserve"> </w:t>
      </w:r>
      <w:r>
        <w:rPr>
          <w:rFonts w:ascii="Nirmala UI" w:hAnsi="Nirmala UI" w:eastAsia="Nirmala UI" w:cs="Nirmala UI"/>
        </w:rPr>
        <w:t>गरिनुपर्छ।</w:t>
      </w:r>
      <w:r>
        <w:rPr>
          <w:rFonts w:ascii="Times New Roman" w:hAnsi="Times New Roman" w:eastAsia="Times New Roman" w:cs="Times New Roman"/>
        </w:rPr>
        <w:t xml:space="preserve"> </w:t>
      </w:r>
      <w:r>
        <w:rPr>
          <w:rFonts w:ascii="Nirmala UI" w:hAnsi="Nirmala UI" w:eastAsia="Nirmala UI" w:cs="Nirmala UI"/>
        </w:rPr>
        <w:t>यसले</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अवधारणा</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पार्दछ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बाबेलको</w:t>
      </w:r>
      <w:r>
        <w:rPr>
          <w:rFonts w:ascii="Times New Roman" w:hAnsi="Times New Roman" w:eastAsia="Times New Roman" w:cs="Times New Roman"/>
        </w:rPr>
        <w:t xml:space="preserve"> </w:t>
      </w:r>
      <w:r>
        <w:rPr>
          <w:rFonts w:ascii="Nirmala UI" w:hAnsi="Nirmala UI" w:eastAsia="Nirmala UI" w:cs="Nirmala UI"/>
        </w:rPr>
        <w:t>पतनलाई</w:t>
      </w:r>
      <w:r>
        <w:rPr>
          <w:rFonts w:ascii="Times New Roman" w:hAnsi="Times New Roman" w:eastAsia="Times New Roman" w:cs="Times New Roman"/>
        </w:rPr>
        <w:t xml:space="preserve"> </w:t>
      </w:r>
      <w:r>
        <w:rPr>
          <w:rFonts w:ascii="Nirmala UI" w:hAnsi="Nirmala UI" w:eastAsia="Nirmala UI" w:cs="Nirmala UI"/>
        </w:rPr>
        <w:t>बुझ्न</w:t>
      </w:r>
      <w:r>
        <w:rPr>
          <w:rFonts w:ascii="Times New Roman" w:hAnsi="Times New Roman" w:eastAsia="Times New Roman" w:cs="Times New Roman"/>
        </w:rPr>
        <w:t xml:space="preserve">, </w:t>
      </w:r>
      <w:r>
        <w:rPr>
          <w:rFonts w:ascii="Nirmala UI" w:hAnsi="Nirmala UI" w:eastAsia="Nirmala UI" w:cs="Nirmala UI"/>
        </w:rPr>
        <w:t>भविष्यवाणीका</w:t>
      </w:r>
      <w:r>
        <w:rPr>
          <w:rFonts w:ascii="Times New Roman" w:hAnsi="Times New Roman" w:eastAsia="Times New Roman" w:cs="Times New Roman"/>
        </w:rPr>
        <w:t xml:space="preserve"> </w:t>
      </w:r>
      <w:r>
        <w:rPr>
          <w:rFonts w:ascii="Nirmala UI" w:hAnsi="Nirmala UI" w:eastAsia="Nirmala UI" w:cs="Nirmala UI"/>
        </w:rPr>
        <w:t>विद्यार्थीले</w:t>
      </w:r>
      <w:r>
        <w:rPr>
          <w:rFonts w:ascii="Times New Roman" w:hAnsi="Times New Roman" w:eastAsia="Times New Roman" w:cs="Times New Roman"/>
        </w:rPr>
        <w:t xml:space="preserve"> </w:t>
      </w:r>
      <w:r>
        <w:rPr>
          <w:rFonts w:ascii="Nirmala UI" w:hAnsi="Nirmala UI" w:eastAsia="Nirmala UI" w:cs="Nirmala UI"/>
        </w:rPr>
        <w:t>बाबेलका</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पतनहरूलाई</w:t>
      </w:r>
      <w:r>
        <w:rPr>
          <w:rFonts w:ascii="Times New Roman" w:hAnsi="Times New Roman" w:eastAsia="Times New Roman" w:cs="Times New Roman"/>
        </w:rPr>
        <w:t xml:space="preserve"> “</w:t>
      </w:r>
      <w:r>
        <w:rPr>
          <w:rFonts w:ascii="Nirmala UI" w:hAnsi="Nirmala UI" w:eastAsia="Nirmala UI" w:cs="Nirmala UI"/>
        </w:rPr>
        <w:t>पंक्तिमाथि</w:t>
      </w:r>
      <w:r>
        <w:rPr>
          <w:rFonts w:ascii="Times New Roman" w:hAnsi="Times New Roman" w:eastAsia="Times New Roman" w:cs="Times New Roman"/>
        </w:rPr>
        <w:t xml:space="preserve"> </w:t>
      </w:r>
      <w:r>
        <w:rPr>
          <w:rFonts w:ascii="Nirmala UI" w:hAnsi="Nirmala UI" w:eastAsia="Nirmala UI" w:cs="Nirmala UI"/>
        </w:rPr>
        <w:t>पंक्ति</w:t>
      </w:r>
      <w:r>
        <w:rPr>
          <w:rFonts w:ascii="Times New Roman" w:hAnsi="Times New Roman" w:eastAsia="Times New Roman" w:cs="Times New Roman"/>
        </w:rPr>
        <w:t xml:space="preserve">” </w:t>
      </w:r>
      <w:r>
        <w:rPr>
          <w:rFonts w:ascii="Nirmala UI" w:hAnsi="Nirmala UI" w:eastAsia="Nirmala UI" w:cs="Nirmala UI"/>
        </w:rPr>
        <w:t>एकसाथ</w:t>
      </w:r>
      <w:r>
        <w:rPr>
          <w:rFonts w:ascii="Times New Roman" w:hAnsi="Times New Roman" w:eastAsia="Times New Roman" w:cs="Times New Roman"/>
        </w:rPr>
        <w:t xml:space="preserve"> </w:t>
      </w:r>
      <w:r>
        <w:rPr>
          <w:rFonts w:ascii="Nirmala UI" w:hAnsi="Nirmala UI" w:eastAsia="Nirmala UI" w:cs="Nirmala UI"/>
        </w:rPr>
        <w:t>ल्याउनुपर्छ</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बाबेलको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पतनसम्बन्धी</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भविष्यवाणीगत</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सकियोस्।</w:t>
      </w:r>
    </w:p>
    <w:p>
      <w:pPr>
        <w:pStyle w:val="ArticleBody"/>
        <w:jc w:val="left"/>
      </w:pPr>
      <w:r>
        <w:rPr>
          <w:rFonts w:ascii="Nirmala UI" w:hAnsi="Nirmala UI" w:eastAsia="Nirmala UI" w:cs="Nirmala UI"/>
        </w:rPr>
        <w:t>বাবিলনের</w:t>
      </w:r>
      <w:r>
        <w:rPr>
          <w:rFonts w:ascii="Times New Roman" w:hAnsi="Times New Roman" w:eastAsia="Times New Roman" w:cs="Times New Roman"/>
        </w:rPr>
        <w:t xml:space="preserve"> </w:t>
      </w:r>
      <w:r>
        <w:rPr>
          <w:rFonts w:ascii="Nirmala UI" w:hAnsi="Nirmala UI" w:eastAsia="Nirmala UI" w:cs="Nirmala UI"/>
        </w:rPr>
        <w:t>পতন</w:t>
      </w:r>
      <w:r>
        <w:rPr>
          <w:rFonts w:ascii="Times New Roman" w:hAnsi="Times New Roman" w:eastAsia="Times New Roman" w:cs="Times New Roman"/>
        </w:rPr>
        <w:t xml:space="preserve"> </w:t>
      </w:r>
      <w:r>
        <w:rPr>
          <w:rFonts w:ascii="Nirmala UI" w:hAnsi="Nirmala UI" w:eastAsia="Nirmala UI" w:cs="Nirmala UI"/>
        </w:rPr>
        <w:t>দ্বিতীয়</w:t>
      </w:r>
      <w:r>
        <w:rPr>
          <w:rFonts w:ascii="Times New Roman" w:hAnsi="Times New Roman" w:eastAsia="Times New Roman" w:cs="Times New Roman"/>
        </w:rPr>
        <w:t xml:space="preserve"> </w:t>
      </w:r>
      <w:r>
        <w:rPr>
          <w:rFonts w:ascii="Nirmala UI" w:hAnsi="Nirmala UI" w:eastAsia="Nirmala UI" w:cs="Nirmala UI"/>
        </w:rPr>
        <w:t>স্বর্গদূতের</w:t>
      </w:r>
      <w:r>
        <w:rPr>
          <w:rFonts w:ascii="Times New Roman" w:hAnsi="Times New Roman" w:eastAsia="Times New Roman" w:cs="Times New Roman"/>
        </w:rPr>
        <w:t xml:space="preserve"> </w:t>
      </w:r>
      <w:r>
        <w:rPr>
          <w:rFonts w:ascii="Nirmala UI" w:hAnsi="Nirmala UI" w:eastAsia="Nirmala UI" w:cs="Nirmala UI"/>
        </w:rPr>
        <w:t>বার্তায়</w:t>
      </w:r>
      <w:r>
        <w:rPr>
          <w:rFonts w:ascii="Times New Roman" w:hAnsi="Times New Roman" w:eastAsia="Times New Roman" w:cs="Times New Roman"/>
        </w:rPr>
        <w:t xml:space="preserve"> </w:t>
      </w:r>
      <w:r>
        <w:rPr>
          <w:rFonts w:ascii="Nirmala UI" w:hAnsi="Nirmala UI" w:eastAsia="Nirmala UI" w:cs="Nirmala UI"/>
        </w:rPr>
        <w:t>দুইবার</w:t>
      </w:r>
      <w:r>
        <w:rPr>
          <w:rFonts w:ascii="Times New Roman" w:hAnsi="Times New Roman" w:eastAsia="Times New Roman" w:cs="Times New Roman"/>
        </w:rPr>
        <w:t xml:space="preserve"> </w:t>
      </w:r>
      <w:r>
        <w:rPr>
          <w:rFonts w:ascii="Nirmala UI" w:hAnsi="Nirmala UI" w:eastAsia="Nirmala UI" w:cs="Nirmala UI"/>
        </w:rPr>
        <w:t>উল্লেখিত</w:t>
      </w:r>
      <w:r>
        <w:rPr>
          <w:rFonts w:ascii="Times New Roman" w:hAnsi="Times New Roman" w:eastAsia="Times New Roman" w:cs="Times New Roman"/>
        </w:rPr>
        <w:t xml:space="preserve"> </w:t>
      </w:r>
      <w:r>
        <w:rPr>
          <w:rFonts w:ascii="Nirmala UI" w:hAnsi="Nirmala UI" w:eastAsia="Nirmala UI" w:cs="Nirmala UI"/>
        </w:rPr>
        <w:t>হওয়া</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ভাববাণীমূলক</w:t>
      </w:r>
      <w:r>
        <w:rPr>
          <w:rFonts w:ascii="Times New Roman" w:hAnsi="Times New Roman" w:eastAsia="Times New Roman" w:cs="Times New Roman"/>
        </w:rPr>
        <w:t xml:space="preserve"> </w:t>
      </w:r>
      <w:r>
        <w:rPr>
          <w:rFonts w:ascii="Nirmala UI" w:hAnsi="Nirmala UI" w:eastAsia="Nirmala UI" w:cs="Nirmala UI"/>
        </w:rPr>
        <w:t>নিয়মের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প্রতিষ্ঠিত</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সাক্ষীর</w:t>
      </w:r>
      <w:r>
        <w:rPr>
          <w:rFonts w:ascii="Times New Roman" w:hAnsi="Times New Roman" w:eastAsia="Times New Roman" w:cs="Times New Roman"/>
        </w:rPr>
        <w:t xml:space="preserve"> </w:t>
      </w:r>
      <w:r>
        <w:rPr>
          <w:rFonts w:ascii="Nirmala UI" w:hAnsi="Nirmala UI" w:eastAsia="Nirmala UI" w:cs="Nirmala UI"/>
        </w:rPr>
        <w:t>সাক্ষ্যের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প্রতিষ্ঠিত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বার্তার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বাবিলনের</w:t>
      </w:r>
      <w:r>
        <w:rPr>
          <w:rFonts w:ascii="Times New Roman" w:hAnsi="Times New Roman" w:eastAsia="Times New Roman" w:cs="Times New Roman"/>
        </w:rPr>
        <w:t xml:space="preserve"> </w:t>
      </w:r>
      <w:r>
        <w:rPr>
          <w:rFonts w:ascii="Nirmala UI" w:hAnsi="Nirmala UI" w:eastAsia="Nirmala UI" w:cs="Nirmala UI"/>
        </w:rPr>
        <w:t>পতনের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দ্বিগুণ</w:t>
      </w:r>
      <w:r>
        <w:rPr>
          <w:rFonts w:ascii="Times New Roman" w:hAnsi="Times New Roman" w:eastAsia="Times New Roman" w:cs="Times New Roman"/>
        </w:rPr>
        <w:t xml:space="preserve"> </w:t>
      </w:r>
      <w:r>
        <w:rPr>
          <w:rFonts w:ascii="Nirmala UI" w:hAnsi="Nirmala UI" w:eastAsia="Nirmala UI" w:cs="Nirmala UI"/>
        </w:rPr>
        <w:t>উল্লেখ</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ভাববাণীমূলক</w:t>
      </w:r>
      <w:r>
        <w:rPr>
          <w:rFonts w:ascii="Times New Roman" w:hAnsi="Times New Roman" w:eastAsia="Times New Roman" w:cs="Times New Roman"/>
        </w:rPr>
        <w:t xml:space="preserve"> </w:t>
      </w:r>
      <w:r>
        <w:rPr>
          <w:rFonts w:ascii="Nirmala UI" w:hAnsi="Nirmala UI" w:eastAsia="Nirmala UI" w:cs="Nirmala UI"/>
        </w:rPr>
        <w:t>পদ্ধতিকে</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যাকে</w:t>
      </w:r>
      <w:r>
        <w:rPr>
          <w:rFonts w:ascii="Times New Roman" w:hAnsi="Times New Roman" w:eastAsia="Times New Roman" w:cs="Times New Roman"/>
        </w:rPr>
        <w:t xml:space="preserve"> </w:t>
      </w:r>
      <w:r>
        <w:rPr>
          <w:rFonts w:ascii="Nirmala UI" w:hAnsi="Nirmala UI" w:eastAsia="Nirmala UI" w:cs="Nirmala UI"/>
        </w:rPr>
        <w:t>বাইবেলে</w:t>
      </w:r>
      <w:r>
        <w:rPr>
          <w:rFonts w:ascii="Times New Roman" w:hAnsi="Times New Roman" w:eastAsia="Times New Roman" w:cs="Times New Roman"/>
        </w:rPr>
        <w:t xml:space="preserve"> </w:t>
      </w:r>
      <w:r>
        <w:rPr>
          <w:rFonts w:ascii="Nirmala UI" w:hAnsi="Nirmala UI" w:eastAsia="Nirmala UI" w:cs="Nirmala UI"/>
        </w:rPr>
        <w:t>পরবর্তী</w:t>
      </w:r>
      <w:r>
        <w:rPr>
          <w:rFonts w:ascii="Times New Roman" w:hAnsi="Times New Roman" w:eastAsia="Times New Roman" w:cs="Times New Roman"/>
        </w:rPr>
        <w:t xml:space="preserve"> </w:t>
      </w:r>
      <w:r>
        <w:rPr>
          <w:rFonts w:ascii="Nirmala UI" w:hAnsi="Nirmala UI" w:eastAsia="Nirmala UI" w:cs="Nirmala UI"/>
        </w:rPr>
        <w:t>বৃষ্টিধারা</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পদ্ধতি</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পরবর্তী</w:t>
      </w:r>
      <w:r>
        <w:rPr>
          <w:rFonts w:ascii="Times New Roman" w:hAnsi="Times New Roman" w:eastAsia="Times New Roman" w:cs="Times New Roman"/>
        </w:rPr>
        <w:t xml:space="preserve"> </w:t>
      </w:r>
      <w:r>
        <w:rPr>
          <w:rFonts w:ascii="Nirmala UI" w:hAnsi="Nirmala UI" w:eastAsia="Nirmala UI" w:cs="Nirmala UI"/>
        </w:rPr>
        <w:t>বৃষ্টিধারা</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বিভিন্ন</w:t>
      </w:r>
      <w:r>
        <w:rPr>
          <w:rFonts w:ascii="Times New Roman" w:hAnsi="Times New Roman" w:eastAsia="Times New Roman" w:cs="Times New Roman"/>
        </w:rPr>
        <w:t xml:space="preserve"> </w:t>
      </w:r>
      <w:r>
        <w:rPr>
          <w:rFonts w:ascii="Nirmala UI" w:hAnsi="Nirmala UI" w:eastAsia="Nirmala UI" w:cs="Nirmala UI"/>
        </w:rPr>
        <w:t>ভাববাণীর</w:t>
      </w:r>
      <w:r>
        <w:rPr>
          <w:rFonts w:ascii="Times New Roman" w:hAnsi="Times New Roman" w:eastAsia="Times New Roman" w:cs="Times New Roman"/>
        </w:rPr>
        <w:t xml:space="preserve"> </w:t>
      </w:r>
      <w:r>
        <w:rPr>
          <w:rFonts w:ascii="Nirmala UI" w:hAnsi="Nirmala UI" w:eastAsia="Nirmala UI" w:cs="Nirmala UI"/>
        </w:rPr>
        <w:t>ধারা</w:t>
      </w:r>
      <w:r>
        <w:rPr>
          <w:rFonts w:ascii="Times New Roman" w:hAnsi="Times New Roman" w:eastAsia="Times New Roman" w:cs="Times New Roman"/>
        </w:rPr>
        <w:t xml:space="preserve"> “</w:t>
      </w:r>
      <w:r>
        <w:rPr>
          <w:rFonts w:ascii="Nirmala UI" w:hAnsi="Nirmala UI" w:eastAsia="Nirmala UI" w:cs="Nirmala UI"/>
        </w:rPr>
        <w:t>পঙ্ক্তির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পঙ্ক্তি</w:t>
      </w:r>
      <w:r>
        <w:rPr>
          <w:rFonts w:ascii="Times New Roman" w:hAnsi="Times New Roman" w:eastAsia="Times New Roman" w:cs="Times New Roman"/>
        </w:rPr>
        <w:t xml:space="preserve">” </w:t>
      </w:r>
      <w:r>
        <w:rPr>
          <w:rFonts w:ascii="Nirmala UI" w:hAnsi="Nirmala UI" w:eastAsia="Nirmala UI" w:cs="Nirmala UI"/>
        </w:rPr>
        <w:t>রূপে</w:t>
      </w:r>
      <w:r>
        <w:rPr>
          <w:rFonts w:ascii="Times New Roman" w:hAnsi="Times New Roman" w:eastAsia="Times New Roman" w:cs="Times New Roman"/>
        </w:rPr>
        <w:t xml:space="preserve"> </w:t>
      </w:r>
      <w:r>
        <w:rPr>
          <w:rFonts w:ascii="Nirmala UI" w:hAnsi="Nirmala UI" w:eastAsia="Nirmala UI" w:cs="Nirmala UI"/>
        </w:rPr>
        <w:t>একত্রে</w:t>
      </w:r>
      <w:r>
        <w:rPr>
          <w:rFonts w:ascii="Times New Roman" w:hAnsi="Times New Roman" w:eastAsia="Times New Roman" w:cs="Times New Roman"/>
        </w:rPr>
        <w:t xml:space="preserve"> </w:t>
      </w:r>
      <w:r>
        <w:rPr>
          <w:rFonts w:ascii="Nirmala UI" w:hAnsi="Nirmala UI" w:eastAsia="Nirmala UI" w:cs="Nirmala UI"/>
        </w:rPr>
        <w:t>আনয়নের</w:t>
      </w:r>
      <w:r>
        <w:rPr>
          <w:rFonts w:ascii="Times New Roman" w:hAnsi="Times New Roman" w:eastAsia="Times New Roman" w:cs="Times New Roman"/>
        </w:rPr>
        <w:t xml:space="preserve"> </w:t>
      </w:r>
      <w:r>
        <w:rPr>
          <w:rFonts w:ascii="Nirmala UI" w:hAnsi="Nirmala UI" w:eastAsia="Nirmala UI" w:cs="Nirmala UI"/>
        </w:rPr>
        <w:t>প্রয়োগ।</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ভাববাণীর</w:t>
      </w:r>
      <w:r>
        <w:rPr>
          <w:rFonts w:ascii="Times New Roman" w:hAnsi="Times New Roman" w:eastAsia="Times New Roman" w:cs="Times New Roman"/>
        </w:rPr>
        <w:t xml:space="preserve"> </w:t>
      </w:r>
      <w:r>
        <w:rPr>
          <w:rFonts w:ascii="Nirmala UI" w:hAnsi="Nirmala UI" w:eastAsia="Nirmala UI" w:cs="Nirmala UI"/>
        </w:rPr>
        <w:t>ছাত্র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পদ্ধতি</w:t>
      </w:r>
      <w:r>
        <w:rPr>
          <w:rFonts w:ascii="Times New Roman" w:hAnsi="Times New Roman" w:eastAsia="Times New Roman" w:cs="Times New Roman"/>
        </w:rPr>
        <w:t xml:space="preserve"> </w:t>
      </w:r>
      <w:r>
        <w:rPr>
          <w:rFonts w:ascii="Nirmala UI" w:hAnsi="Nirmala UI" w:eastAsia="Nirmala UI" w:cs="Nirmala UI"/>
        </w:rPr>
        <w:t>প্রয়োগ</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পদ্ধতি</w:t>
      </w:r>
      <w:r>
        <w:rPr>
          <w:rFonts w:ascii="Times New Roman" w:hAnsi="Times New Roman" w:eastAsia="Times New Roman" w:cs="Times New Roman"/>
        </w:rPr>
        <w:t xml:space="preserve"> </w:t>
      </w:r>
      <w:r>
        <w:rPr>
          <w:rFonts w:ascii="Nirmala UI" w:hAnsi="Nirmala UI" w:eastAsia="Nirmala UI" w:cs="Nirmala UI"/>
        </w:rPr>
        <w:t>পরবর্তী</w:t>
      </w:r>
      <w:r>
        <w:rPr>
          <w:rFonts w:ascii="Times New Roman" w:hAnsi="Times New Roman" w:eastAsia="Times New Roman" w:cs="Times New Roman"/>
        </w:rPr>
        <w:t xml:space="preserve"> </w:t>
      </w:r>
      <w:r>
        <w:rPr>
          <w:rFonts w:ascii="Nirmala UI" w:hAnsi="Nirmala UI" w:eastAsia="Nirmala UI" w:cs="Nirmala UI"/>
        </w:rPr>
        <w:t>বৃষ্টিধারার</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প্রতিষ্ঠা</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পরবর্তী</w:t>
      </w:r>
      <w:r>
        <w:rPr>
          <w:rFonts w:ascii="Times New Roman" w:hAnsi="Times New Roman" w:eastAsia="Times New Roman" w:cs="Times New Roman"/>
        </w:rPr>
        <w:t xml:space="preserve"> </w:t>
      </w:r>
      <w:r>
        <w:rPr>
          <w:rFonts w:ascii="Nirmala UI" w:hAnsi="Nirmala UI" w:eastAsia="Nirmala UI" w:cs="Nirmala UI"/>
        </w:rPr>
        <w:t>বৃষ্টিধারার</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পদ্ধতির</w:t>
      </w:r>
      <w:r>
        <w:rPr>
          <w:rFonts w:ascii="Times New Roman" w:hAnsi="Times New Roman" w:eastAsia="Times New Roman" w:cs="Times New Roman"/>
        </w:rPr>
        <w:t xml:space="preserve"> </w:t>
      </w:r>
      <w:r>
        <w:rPr>
          <w:rFonts w:ascii="Nirmala UI" w:hAnsi="Nirmala UI" w:eastAsia="Nirmala UI" w:cs="Nirmala UI"/>
        </w:rPr>
        <w:t>প্রয়োগের</w:t>
      </w:r>
      <w:r>
        <w:rPr>
          <w:rFonts w:ascii="Times New Roman" w:hAnsi="Times New Roman" w:eastAsia="Times New Roman" w:cs="Times New Roman"/>
        </w:rPr>
        <w:t xml:space="preserve"> </w:t>
      </w:r>
      <w:r>
        <w:rPr>
          <w:rFonts w:ascii="Nirmala UI" w:hAnsi="Nirmala UI" w:eastAsia="Nirmala UI" w:cs="Nirmala UI"/>
        </w:rPr>
        <w:t>মাধ্যমে</w:t>
      </w:r>
      <w:r>
        <w:rPr>
          <w:rFonts w:ascii="Times New Roman" w:hAnsi="Times New Roman" w:eastAsia="Times New Roman" w:cs="Times New Roman"/>
        </w:rPr>
        <w:t xml:space="preserve"> </w:t>
      </w:r>
      <w:r>
        <w:rPr>
          <w:rFonts w:ascii="Nirmala UI" w:hAnsi="Nirmala UI" w:eastAsia="Nirmala UI" w:cs="Nirmala UI"/>
        </w:rPr>
        <w:t>প্রতিষ্ঠিত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দ্বিতীয়</w:t>
      </w:r>
      <w:r>
        <w:rPr>
          <w:rFonts w:ascii="Times New Roman" w:hAnsi="Times New Roman" w:eastAsia="Times New Roman" w:cs="Times New Roman"/>
        </w:rPr>
        <w:t xml:space="preserve"> </w:t>
      </w:r>
      <w:r>
        <w:rPr>
          <w:rFonts w:ascii="Nirmala UI" w:hAnsi="Nirmala UI" w:eastAsia="Nirmala UI" w:cs="Nirmala UI"/>
        </w:rPr>
        <w:t>স্বর্গদূত</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মধ্যরাত্রির</w:t>
      </w:r>
      <w:r>
        <w:rPr>
          <w:rFonts w:ascii="Times New Roman" w:hAnsi="Times New Roman" w:eastAsia="Times New Roman" w:cs="Times New Roman"/>
        </w:rPr>
        <w:t xml:space="preserve"> </w:t>
      </w:r>
      <w:r>
        <w:rPr>
          <w:rFonts w:ascii="Nirmala UI" w:hAnsi="Nirmala UI" w:eastAsia="Nirmala UI" w:cs="Nirmala UI"/>
        </w:rPr>
        <w:t>ক্রন্দনের</w:t>
      </w:r>
      <w:r>
        <w:rPr>
          <w:rFonts w:ascii="Times New Roman" w:hAnsi="Times New Roman" w:eastAsia="Times New Roman" w:cs="Times New Roman"/>
        </w:rPr>
        <w:t xml:space="preserve"> </w:t>
      </w:r>
      <w:r>
        <w:rPr>
          <w:rFonts w:ascii="Nirmala UI" w:hAnsi="Nirmala UI" w:eastAsia="Nirmala UI" w:cs="Nirmala UI"/>
        </w:rPr>
        <w:t>সমন্বিত</w:t>
      </w:r>
      <w:r>
        <w:rPr>
          <w:rFonts w:ascii="Times New Roman" w:hAnsi="Times New Roman" w:eastAsia="Times New Roman" w:cs="Times New Roman"/>
        </w:rPr>
        <w:t xml:space="preserve"> </w:t>
      </w:r>
      <w:r>
        <w:rPr>
          <w:rFonts w:ascii="Nirmala UI" w:hAnsi="Nirmala UI" w:eastAsia="Nirmala UI" w:cs="Nirmala UI"/>
        </w:rPr>
        <w:t>ভাববাণীমূলক</w:t>
      </w:r>
      <w:r>
        <w:rPr>
          <w:rFonts w:ascii="Times New Roman" w:hAnsi="Times New Roman" w:eastAsia="Times New Roman" w:cs="Times New Roman"/>
        </w:rPr>
        <w:t xml:space="preserve"> </w:t>
      </w:r>
      <w:r>
        <w:rPr>
          <w:rFonts w:ascii="Nirmala UI" w:hAnsi="Nirmala UI" w:eastAsia="Nirmala UI" w:cs="Nirmala UI"/>
        </w:rPr>
        <w:t>ইতিহাসসমূহে</w:t>
      </w:r>
      <w:r>
        <w:rPr>
          <w:rFonts w:ascii="Times New Roman" w:hAnsi="Times New Roman" w:eastAsia="Times New Roman" w:cs="Times New Roman"/>
        </w:rPr>
        <w:t xml:space="preserve"> </w:t>
      </w:r>
      <w:r>
        <w:rPr>
          <w:rFonts w:ascii="Nirmala UI" w:hAnsi="Nirmala UI" w:eastAsia="Nirmala UI" w:cs="Nirmala UI"/>
        </w:rPr>
        <w:t>ঘোষণা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স্বর্গদূতের</w:t>
      </w:r>
      <w:r>
        <w:rPr>
          <w:rFonts w:ascii="Times New Roman" w:hAnsi="Times New Roman" w:eastAsia="Times New Roman" w:cs="Times New Roman"/>
        </w:rPr>
        <w:t xml:space="preserve"> </w:t>
      </w:r>
      <w:r>
        <w:rPr>
          <w:rFonts w:ascii="Nirmala UI" w:hAnsi="Nirmala UI" w:eastAsia="Nirmala UI" w:cs="Nirmala UI"/>
        </w:rPr>
        <w:t>আন্দোলনের</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আজও</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স্বর্গদূতের</w:t>
      </w:r>
      <w:r>
        <w:rPr>
          <w:rFonts w:ascii="Times New Roman" w:hAnsi="Times New Roman" w:eastAsia="Times New Roman" w:cs="Times New Roman"/>
        </w:rPr>
        <w:t xml:space="preserve"> </w:t>
      </w:r>
      <w:r>
        <w:rPr>
          <w:rFonts w:ascii="Nirmala UI" w:hAnsi="Nirmala UI" w:eastAsia="Nirmala UI" w:cs="Nirmala UI"/>
        </w:rPr>
        <w:t>আন্দোলনের</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সত্য।</w:t>
      </w:r>
    </w:p>
    <w:p>
      <w:pPr>
        <w:pStyle w:val="ArticleBody"/>
        <w:jc w:val="left"/>
      </w:pPr>
      <w:r>
        <w:rPr>
          <w:rFonts w:ascii="Nirmala UI" w:hAnsi="Nirmala UI" w:eastAsia="Nirmala UI" w:cs="Nirmala UI"/>
        </w:rPr>
        <w:t>डेनियल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पाँचवें</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उदय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समेटे</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चौथे</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नबूकदनेस्सर</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पाँचवें</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बेलशस्सर</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मिलकर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डेनियल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तृतीय</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उत्तरवर्षा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सके।</w:t>
      </w:r>
    </w:p>
    <w:p>
      <w:pPr>
        <w:pStyle w:val="ArticleBody"/>
        <w:jc w:val="left"/>
      </w:pPr>
      <w:r>
        <w:rPr>
          <w:rFonts w:ascii="Times New Roman" w:hAnsi="Times New Roman" w:eastAsia="Times New Roman" w:cs="Times New Roman"/>
        </w:rPr>
        <w:t>Les deux chapitres présentent la chute et le relèvement de Nebucadnetsar, ainsi que la chute et la destruction de Belshatsar, et présentent ainsi la chute de Babylone au commencement et à la fin de la lignée. La ligne de prophétie constituée par les deux chapitres est structurée sur le fait que Babylone tombe, se relève, puis retombe. Ce seul fait identifie ces deux chapitres comme représentant le message du second ange. Les deux chapitres représentent l’histoire de la bête terrestre d’Apocalypse 13, et dans cette histoire le message du second ange et du Cri de Minuit est proclamé à deux reprises.</w:t>
      </w:r>
    </w:p>
    <w:p>
      <w:pPr>
        <w:pStyle w:val="ArticleBody"/>
        <w:jc w:val="left"/>
      </w:pPr>
      <w:r>
        <w:rPr>
          <w:rFonts w:ascii="Times New Roman" w:hAnsi="Times New Roman" w:eastAsia="Times New Roman" w:cs="Times New Roman"/>
        </w:rPr>
        <w:t>Поэтому, прежде чем мы приступим к рассмотрению четвёртой и пятой глав книги Даниила, мы определим священную методологию, которая представляет собой поздний дождь, а затем, применяя эту методологию, определим весть позднего дождя.</w:t>
      </w:r>
    </w:p>
    <w:p>
      <w:pPr>
        <w:pStyle w:val="ArticleBody"/>
        <w:jc w:val="left"/>
      </w:pPr>
      <w:r>
        <w:rPr>
          <w:rFonts w:ascii="Times New Roman" w:hAnsi="Times New Roman" w:eastAsia="Times New Roman" w:cs="Times New Roman"/>
        </w:rPr>
        <w:t>Ang isang mahalagang pananda sa kasaysayan ng una at ikalawang anghel ay ang metodolohiyang kinakatawan ng mga tuntunin ni William Miller sa makapropetikong pagpapakahulugan. Ang mga tuntuning iyon ay ginamit ng mga tao upang tukuyin ang mensahe ng Sigaw sa Hatinggabi, at ang mensaheng iyon ang mensahe ng huling ulan para sa kasaysayang iyon. Ang isang mahalagang pananda sa kasaysayan ng ikatlong anghel ay ang metodolohiyang kinakatawan bilang “Mga Susing Makapropetiko”. Ang mga tuntuning iyon ay dapat gamitin kasabay ng mga tuntunin ni William Miller upang tukuyin ang mensahe ng Sigaw sa Hatinggabi sa ating kasalukuyang kasaysayan, at ang mensaheng ngayo’y itinatatag sa pamamagitan ng mga tuntuning iyon ang mensahe ng huling ulan ng mga huling araw. Ang mga tuntunin ni Miller ay kumakatawan sa maagang ulan sa makapropetikong kasaysayan ng hayop na mula sa lupa, at ang mga tuntuning iyon na pinagsama sa “Mga Susing Makapropetiko” ay kumakatawan sa huling ulan sa makapropetikong kasaysayan ng hayop na mula sa lupa.</w:t>
      </w:r>
    </w:p>
    <w:p>
      <w:pPr>
        <w:pStyle w:val="ArticleBody"/>
        <w:jc w:val="left"/>
      </w:pPr>
      <w:r>
        <w:rPr>
          <w:rFonts w:ascii="Times New Roman" w:hAnsi="Times New Roman" w:eastAsia="Times New Roman" w:cs="Times New Roman"/>
        </w:rPr>
        <w:t>La pluie de l’arrière-saison est la méthodologie employée pour produire le message. Il en est qui sont séduits parce qu’ils recherchent l’expérience de la pluie de l’arrière-saison sans chercher d’abord le message qui produit cette expérience. Les Églises pentecôtistes de la chrétienté constituent un exemple manifeste de cette séduction. Ce même type d’orientation erronée s’offre à ceux qui, certes, recherchent le message de la pluie de l’arrière-saison, mais refusent de rechercher la méthodologie qui identifie et établit le message de la pluie de l’arrière-saison. Sans la méthodologie correcte, le message correct ne peut être identifié. Sans le message correct, l’expérience correcte est une impossibilité.</w:t>
      </w:r>
    </w:p>
    <w:p>
      <w:pPr>
        <w:pStyle w:val="ArticleBody"/>
        <w:jc w:val="left"/>
      </w:pP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बाइबिलीय</w:t>
      </w:r>
      <w:r>
        <w:rPr>
          <w:rFonts w:ascii="Times New Roman" w:hAnsi="Times New Roman" w:eastAsia="Times New Roman" w:cs="Times New Roman"/>
        </w:rPr>
        <w:t xml:space="preserve"> </w:t>
      </w:r>
      <w:r>
        <w:rPr>
          <w:rFonts w:ascii="Nirmala UI" w:hAnsi="Nirmala UI" w:eastAsia="Nirmala UI" w:cs="Nirmala UI"/>
        </w:rPr>
        <w:t>तथ्य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महत्व</w:t>
      </w:r>
      <w:r>
        <w:rPr>
          <w:rFonts w:ascii="Times New Roman" w:hAnsi="Times New Roman" w:eastAsia="Times New Roman" w:cs="Times New Roman"/>
        </w:rPr>
        <w:t xml:space="preserve"> </w:t>
      </w:r>
      <w:r>
        <w:rPr>
          <w:rFonts w:ascii="Nirmala UI" w:hAnsi="Nirmala UI" w:eastAsia="Nirmala UI" w:cs="Nirmala UI"/>
        </w:rPr>
        <w:t>अधिकांश</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कभी</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संभावना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विचार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अध्ययन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तरीका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अध्ययन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अनेक</w:t>
      </w:r>
      <w:r>
        <w:rPr>
          <w:rFonts w:ascii="Times New Roman" w:hAnsi="Times New Roman" w:eastAsia="Times New Roman" w:cs="Times New Roman"/>
        </w:rPr>
        <w:t xml:space="preserve"> </w:t>
      </w:r>
      <w:r>
        <w:rPr>
          <w:rFonts w:ascii="Nirmala UI" w:hAnsi="Nirmala UI" w:eastAsia="Nirmala UI" w:cs="Nirmala UI"/>
        </w:rPr>
        <w:t>गलत</w:t>
      </w:r>
      <w:r>
        <w:rPr>
          <w:rFonts w:ascii="Times New Roman" w:hAnsi="Times New Roman" w:eastAsia="Times New Roman" w:cs="Times New Roman"/>
        </w:rPr>
        <w:t xml:space="preserve"> </w:t>
      </w:r>
      <w:r>
        <w:rPr>
          <w:rFonts w:ascii="Nirmala UI" w:hAnsi="Nirmala UI" w:eastAsia="Nirmala UI" w:cs="Nirmala UI"/>
        </w:rPr>
        <w:t>तरीके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अध्ययन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गलत</w:t>
      </w:r>
      <w:r>
        <w:rPr>
          <w:rFonts w:ascii="Times New Roman" w:hAnsi="Times New Roman" w:eastAsia="Times New Roman" w:cs="Times New Roman"/>
        </w:rPr>
        <w:t xml:space="preserve"> </w:t>
      </w:r>
      <w:r>
        <w:rPr>
          <w:rFonts w:ascii="Nirmala UI" w:hAnsi="Nirmala UI" w:eastAsia="Nirmala UI" w:cs="Nirmala UI"/>
        </w:rPr>
        <w:t>तरीका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दूर</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सबसे</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चुना</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अन्य</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भरोसा</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सिखाती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इतनी</w:t>
      </w:r>
      <w:r>
        <w:rPr>
          <w:rFonts w:ascii="Times New Roman" w:hAnsi="Times New Roman" w:eastAsia="Times New Roman" w:cs="Times New Roman"/>
        </w:rPr>
        <w:t xml:space="preserve"> </w:t>
      </w:r>
      <w:r>
        <w:rPr>
          <w:rFonts w:ascii="Nirmala UI" w:hAnsi="Nirmala UI" w:eastAsia="Nirmala UI" w:cs="Nirmala UI"/>
        </w:rPr>
        <w:t>सामान्य</w:t>
      </w:r>
      <w:r>
        <w:rPr>
          <w:rFonts w:ascii="Times New Roman" w:hAnsi="Times New Roman" w:eastAsia="Times New Roman" w:cs="Times New Roman"/>
        </w:rPr>
        <w:t xml:space="preserve"> </w:t>
      </w:r>
      <w:r>
        <w:rPr>
          <w:rFonts w:ascii="Nirmala UI" w:hAnsi="Nirmala UI" w:eastAsia="Nirmala UI" w:cs="Nirmala UI"/>
        </w:rPr>
        <w:t>समस्या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झुंड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झूठी</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आवश्यकता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समाधान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संगठित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झूठी</w:t>
      </w:r>
      <w:r>
        <w:rPr>
          <w:rFonts w:ascii="Times New Roman" w:hAnsi="Times New Roman" w:eastAsia="Times New Roman" w:cs="Times New Roman"/>
        </w:rPr>
        <w:t xml:space="preserve"> </w:t>
      </w:r>
      <w:r>
        <w:rPr>
          <w:rFonts w:ascii="Nirmala UI" w:hAnsi="Nirmala UI" w:eastAsia="Nirmala UI" w:cs="Nirmala UI"/>
        </w:rPr>
        <w:t>आवश्यकता</w:t>
      </w:r>
      <w:r>
        <w:rPr>
          <w:rFonts w:ascii="Times New Roman" w:hAnsi="Times New Roman" w:eastAsia="Times New Roman" w:cs="Times New Roman"/>
        </w:rPr>
        <w:t xml:space="preserve">, </w:t>
      </w:r>
      <w:r>
        <w:rPr>
          <w:rFonts w:ascii="Nirmala UI" w:hAnsi="Nirmala UI" w:eastAsia="Nirmala UI" w:cs="Nirmala UI"/>
        </w:rPr>
        <w:t>अगुवों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झूठे</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बाइबिलीय</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आध्यात्मिक</w:t>
      </w:r>
      <w:r>
        <w:rPr>
          <w:rFonts w:ascii="Times New Roman" w:hAnsi="Times New Roman" w:eastAsia="Times New Roman" w:cs="Times New Roman"/>
        </w:rPr>
        <w:t xml:space="preserve"> </w:t>
      </w:r>
      <w:r>
        <w:rPr>
          <w:rFonts w:ascii="Nirmala UI" w:hAnsi="Nirmala UI" w:eastAsia="Nirmala UI" w:cs="Nirmala UI"/>
        </w:rPr>
        <w:t>विशेषज्ञों</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अप्रशिक्षित</w:t>
      </w:r>
      <w:r>
        <w:rPr>
          <w:rFonts w:ascii="Times New Roman" w:hAnsi="Times New Roman" w:eastAsia="Times New Roman" w:cs="Times New Roman"/>
        </w:rPr>
        <w:t xml:space="preserve"> </w:t>
      </w:r>
      <w:r>
        <w:rPr>
          <w:rFonts w:ascii="Nirmala UI" w:hAnsi="Nirmala UI" w:eastAsia="Nirmala UI" w:cs="Nirmala UI"/>
        </w:rPr>
        <w:t>झुंड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संरचना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अत्यंत</w:t>
      </w:r>
      <w:r>
        <w:rPr>
          <w:rFonts w:ascii="Times New Roman" w:hAnsi="Times New Roman" w:eastAsia="Times New Roman" w:cs="Times New Roman"/>
        </w:rPr>
        <w:t xml:space="preserve"> </w:t>
      </w:r>
      <w:r>
        <w:rPr>
          <w:rFonts w:ascii="Nirmala UI" w:hAnsi="Nirmala UI" w:eastAsia="Nirmala UI" w:cs="Nirmala UI"/>
        </w:rPr>
        <w:t>सुव्यवस्थित</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उल्लेख</w:t>
      </w:r>
      <w:r>
        <w:rPr>
          <w:rFonts w:ascii="Times New Roman" w:hAnsi="Times New Roman" w:eastAsia="Times New Roman" w:cs="Times New Roman"/>
        </w:rPr>
        <w:t xml:space="preserve"> </w:t>
      </w:r>
      <w:r>
        <w:rPr>
          <w:rFonts w:ascii="Nirmala UI" w:hAnsi="Nirmala UI" w:eastAsia="Nirmala UI" w:cs="Nirmala UI"/>
        </w:rPr>
        <w:t>अवश्य</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जिसमें</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भविष्यद्वक्ता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शिक्षक</w:t>
      </w:r>
      <w:r>
        <w:rPr>
          <w:rFonts w:ascii="Times New Roman" w:hAnsi="Times New Roman" w:eastAsia="Times New Roman" w:cs="Times New Roman"/>
        </w:rPr>
        <w:t xml:space="preserve"> </w:t>
      </w:r>
      <w:r>
        <w:rPr>
          <w:rFonts w:ascii="Nirmala UI" w:hAnsi="Nirmala UI" w:eastAsia="Nirmala UI" w:cs="Nirmala UI"/>
        </w:rPr>
        <w:t>सम्मिलित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 xml:space="preserve"> </w:t>
      </w:r>
      <w:r>
        <w:rPr>
          <w:rFonts w:ascii="Nirmala UI" w:hAnsi="Nirmala UI" w:eastAsia="Nirmala UI" w:cs="Nirmala UI"/>
        </w:rPr>
        <w:t>कभी</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कलीसियाई</w:t>
      </w:r>
      <w:r>
        <w:rPr>
          <w:rFonts w:ascii="Times New Roman" w:hAnsi="Times New Roman" w:eastAsia="Times New Roman" w:cs="Times New Roman"/>
        </w:rPr>
        <w:t xml:space="preserve"> </w:t>
      </w:r>
      <w:r>
        <w:rPr>
          <w:rFonts w:ascii="Nirmala UI" w:hAnsi="Nirmala UI" w:eastAsia="Nirmala UI" w:cs="Nirmala UI"/>
        </w:rPr>
        <w:t>संगठन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विकृति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समर्थन</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अगुवों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निर्धारित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अभिषिक्त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विधर्मी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नहीं।</w:t>
      </w:r>
    </w:p>
    <w:p>
      <w:pPr>
        <w:pStyle w:val="ArticleScripture"/>
        <w:jc w:val="left"/>
      </w:pPr>
      <w:r>
        <w:rPr>
          <w:rFonts w:ascii="Microsoft YaHei" w:hAnsi="Microsoft YaHei" w:eastAsia="Microsoft YaHei" w:cs="Microsoft YaHei"/>
        </w:rPr>
        <w:t>努力在神面前得蒙喜悦</w:t>
      </w:r>
      <w:r>
        <w:rPr>
          <w:rFonts w:ascii="Times New Roman" w:hAnsi="Times New Roman" w:eastAsia="Times New Roman" w:cs="Times New Roman"/>
        </w:rPr>
        <w:t>,</w:t>
      </w:r>
      <w:r>
        <w:rPr>
          <w:rFonts w:ascii="Microsoft YaHei" w:hAnsi="Microsoft YaHei" w:eastAsia="Microsoft YaHei" w:cs="Microsoft YaHei"/>
        </w:rPr>
        <w:t>作无愧的工人</w:t>
      </w:r>
      <w:r>
        <w:rPr>
          <w:rFonts w:ascii="Times New Roman" w:hAnsi="Times New Roman" w:eastAsia="Times New Roman" w:cs="Times New Roman"/>
        </w:rPr>
        <w:t>,</w:t>
      </w:r>
      <w:r>
        <w:rPr>
          <w:rFonts w:ascii="Microsoft YaHei" w:hAnsi="Microsoft YaHei" w:eastAsia="Microsoft YaHei" w:cs="Microsoft YaHei"/>
        </w:rPr>
        <w:t>按着正意分解真理的道</w:t>
      </w:r>
      <w:r>
        <w:rPr>
          <w:rFonts w:ascii="Times New Roman" w:hAnsi="Times New Roman" w:eastAsia="Times New Roman" w:cs="Times New Roman"/>
        </w:rPr>
        <w:t>.</w:t>
      </w:r>
      <w:r>
        <w:rPr>
          <w:rFonts w:ascii="Microsoft YaHei" w:hAnsi="Microsoft YaHei" w:eastAsia="Microsoft YaHei" w:cs="Microsoft YaHei"/>
        </w:rPr>
        <w:t>提摩太后书</w:t>
      </w:r>
      <w:r>
        <w:rPr>
          <w:rFonts w:ascii="Times New Roman" w:hAnsi="Times New Roman" w:eastAsia="Times New Roman" w:cs="Times New Roman"/>
        </w:rPr>
        <w:t xml:space="preserve"> 2:15</w:t>
      </w:r>
    </w:p>
    <w:p>
      <w:pPr>
        <w:pStyle w:val="ArticleBody"/>
        <w:jc w:val="left"/>
      </w:pPr>
      <w:r>
        <w:rPr>
          <w:rFonts w:ascii="Times New Roman" w:hAnsi="Times New Roman" w:eastAsia="Times New Roman" w:cs="Times New Roman"/>
        </w:rPr>
        <w:t>Umuyobozi w’itorero agomba guhanura, gucyaha, kwigisha no kurinda inyigisho z’ibinyoma hamwe n’abaziteza imbere; ariko buri wese muri twe agomba “kwiga kugira ngo” yerekane ko “yemerwa n’Imana,” binyuze mu “gusobanura neza ijambo ry’ukuri.” Mu kubikora, tugomba kumenya uburyo Bibiliya igaragaza ko ari bwo buryo nyabwo bwo gusobanura neza ijambo ry’ukuri. Igitabo cya Yesaya gishyira ahagaragara ibi bibazo mu rwego rw’imvura y’itumba rya nyuma, bityo ni ho tuzahera.</w:t>
      </w:r>
    </w:p>
    <w:p>
      <w:pPr>
        <w:pStyle w:val="ArticleScripture"/>
        <w:jc w:val="left"/>
      </w:pPr>
      <w:r>
        <w:rPr>
          <w:rFonts w:ascii="Times New Roman" w:hAnsi="Times New Roman" w:eastAsia="Times New Roman" w:cs="Times New Roman"/>
        </w:rPr>
        <w:t>На оня ден Господ със Своя твърд и велик и мощен меч ще накаже левиатана, бързия змей, да, левиатана, оня извратен змей; и ще убие змея, който е в морето. В оня ден запейте за нея: Лозе на червено вино. Аз, Господ, го пазя; ще го напоявам всеки миг; за да не го повреди някой, ще го пазя нощ и ден. Ярост няма в Мене; кой би Ми противопоставил в битка тръни и бодили? Бих преминал през тях, бих ги изгорил всички заедно. Или нека се хване за силата Ми, за да сключи мир с Мене; и ще сключи мир с Мене. Той ще направи идващите от Яков да пуснат корен; Израил ще разцъфти и ще пъпкува, и ще изпълни лицето на света с плод. Поразил ли го е, както порази ония, които поразяваха него? Или е убит според клането на ония, които бяха убити от него? С мярка, когато той пониква, Ти ще се препираш с него; Той задържа буйния Си вятър в деня на източния вятър. Затова чрез това ще бъде очистено беззаконието на Яков; и това е целият плод от премахването на греха му: когато направи всички камъни на олтара като варовикови камъни, строшени на късове, ашерите и кумирите няма да се изправят. Но укрепеният град ще запустее, и жилището ще бъде изоставено, и оставено като пустиня; там телето ще пасе, там ще ляга и ще изяжда клоните му. Когато клоните му изсъхнат, ще бъдат отчупени; жените идват и ги запалват; защото това е народ без разум; затова Оня, Който ги е създал, няма да им покаже милост, и Оня, Който ги е образувал, няма да им окаже благоволение. И ще стане в оня ден, че Господ ще отърси плода от течението на Реката до потока Египетски, и вие ще бъдете събрани един по един, о, чада Израилеви. И ще стане в оня ден, че великата тръба ще затръби, и ще дойдат ония, които бяха на път да загинат в асирийската земя, и изгонените в египетската земя, и ще се поклонят на Господа в светия хълм в Ерусалим. Исая 27:1–13.</w:t>
      </w:r>
    </w:p>
    <w:p>
      <w:pPr>
        <w:pStyle w:val="ArticleBody"/>
        <w:jc w:val="left"/>
      </w:pPr>
      <w:r>
        <w:rPr>
          <w:rFonts w:ascii="Times New Roman" w:hAnsi="Times New Roman" w:eastAsia="Times New Roman" w:cs="Times New Roman"/>
        </w:rPr>
        <w:t>Dans les articles précédents, nous avons abordé à plusieurs reprises l’« enseigne » qui est élevée pour appeler les autres enfants de Dieu à sortir de Babylone. Le dernier verset du chapitre vingt-sept d’Ésaïe traite de l’œuvre de l’enseigne lorsqu’il dit : « la grande trompette sonnera, et ils viendront, ceux qui étaient sur le point de périr dans le pays d’Assyrie ». L’Assyrie est un symbole de Babylone dans les derniers jours, et ceux qui entendent, dans ce verset, le message d’avertissement les appelant à sortir de Babylone viennent adorer avec ceux qui sont représentés comme les cent quarante-quatre mille, prophétiquement situés sur « la montagne sainte à Jérusalem ».</w:t>
      </w:r>
    </w:p>
    <w:p>
      <w:pPr>
        <w:pStyle w:val="ArticleBody"/>
        <w:jc w:val="left"/>
      </w:pP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अठारह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वाणी</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अन्य</w:t>
      </w:r>
      <w:r>
        <w:rPr>
          <w:rFonts w:ascii="Times New Roman" w:hAnsi="Times New Roman" w:eastAsia="Times New Roman" w:cs="Times New Roman"/>
        </w:rPr>
        <w:t xml:space="preserve"> </w:t>
      </w:r>
      <w:r>
        <w:rPr>
          <w:rFonts w:ascii="Nirmala UI" w:hAnsi="Nirmala UI" w:eastAsia="Nirmala UI" w:cs="Nirmala UI"/>
        </w:rPr>
        <w:t>सन्तानों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बुलाती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सम्पूर्ण</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पृष्ठभूमि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अठारह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वाणी</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विधि</w:t>
      </w:r>
      <w:r>
        <w:rPr>
          <w:rFonts w:ascii="Times New Roman" w:hAnsi="Times New Roman" w:eastAsia="Times New Roman" w:cs="Times New Roman"/>
        </w:rPr>
        <w:t>-</w:t>
      </w:r>
      <w:r>
        <w:rPr>
          <w:rFonts w:ascii="Nirmala UI" w:hAnsi="Nirmala UI" w:eastAsia="Nirmala UI" w:cs="Nirmala UI"/>
        </w:rPr>
        <w:t>नियम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पुकारती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वेश्या</w:t>
      </w:r>
      <w:r>
        <w:rPr>
          <w:rFonts w:ascii="Times New Roman" w:hAnsi="Times New Roman" w:eastAsia="Times New Roman" w:cs="Times New Roman"/>
        </w:rPr>
        <w:t xml:space="preserve"> </w:t>
      </w:r>
      <w:r>
        <w:rPr>
          <w:rFonts w:ascii="Nirmala UI" w:hAnsi="Nirmala UI" w:eastAsia="Nirmala UI" w:cs="Nirmala UI"/>
        </w:rPr>
        <w:t>स्मरण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Na nikasikia sauti nyingine kutoka mbinguni, ikisema, Tokeni kwake, enyi watu wangu, msishiriki katika dhambi zake, wala msipokee mapigo yake. Kwa maana dhambi zake zimefika hata mbinguni, naye Mungu amekumbuka maovu yake. Ufunuo 18:4, 5.</w:t>
      </w:r>
    </w:p>
    <w:p>
      <w:pPr>
        <w:pStyle w:val="ArticleBody"/>
        <w:jc w:val="left"/>
      </w:pPr>
      <w:r>
        <w:rPr>
          <w:rFonts w:ascii="Times New Roman" w:hAnsi="Times New Roman" w:eastAsia="Times New Roman" w:cs="Times New Roman"/>
        </w:rPr>
        <w:t>یەشایا بەشی بیست و حەوت، بە دەستنیشانکردنی هەمان ئەو ڕۆژە دەست پێ دەکات کە بەشەکەی پێ کۆتایی دێت، کاتێک دەڵێت: «لەو ڕۆژەدا یەزدان بە شمشێری توند و گەورە و بەهێزی خۆی لێڤیاسان، ئەو مارە برین‌دەرە، سزا دەدات، هەروەها لێڤیاسان، ئەو مارە پێچاوپێچە، و دە ئەژدیهایەی ناو دەریادا دەکوژێت.»</w:t>
      </w:r>
    </w:p>
    <w:p>
      <w:pPr>
        <w:pStyle w:val="ArticleBody"/>
        <w:jc w:val="left"/>
      </w:pPr>
      <w:r>
        <w:rPr>
          <w:rFonts w:ascii="Times New Roman" w:hAnsi="Times New Roman" w:eastAsia="Times New Roman" w:cs="Times New Roman"/>
        </w:rPr>
        <w:t>Na sheria ya Jumapili hukumu ya Mungu ya utekelezaji, ya kulipiza kisasi, huanza juu ya falme za yule joka (Umoja wa Mataifa), mnyama (upapa) na nabii wa uongo (Marekani). Katika sheria ya Jumapili nabii wa uongo huangushwa kama ufalme wa sita wa unabii wa Biblia, na ukengeufu wa kitaifa huzaa maangamizi ya kitaifa. Sheria ya Jumapili ndipo hukumu za Mungu za utekelezaji huanza kuwaangukia joka, ambaye ni Shetani (na ambaye ufalme wake wa duniani unawakilishwa kama joka), mnyama na nabii wa uongo. Ni adhabu ya hatua kwa hatua, ianzayo katika sheria ya Jumapili. Mwanzo na mwisho wa sura ya ishirini na saba ya Isaya ni sheria ya Jumapili, na sura hiyo inawakilisha masuala mahsusi ambayo yameunganishwa moja kwa moja na historia inayoongoza hadi na inayofuata baada ya sheria ya Jumapili.</w:t>
      </w:r>
    </w:p>
    <w:p>
      <w:pPr>
        <w:pStyle w:val="ArticleBody"/>
        <w:jc w:val="left"/>
      </w:pPr>
      <w:r>
        <w:rPr>
          <w:rFonts w:ascii="Times New Roman" w:hAnsi="Times New Roman" w:eastAsia="Times New Roman" w:cs="Times New Roman"/>
        </w:rPr>
        <w:t>Nous considérons le chapitre vingt-sept, car il établit le cadre prophétique des chapitres vingt-huit et vingt-neuf. Dans ces chapitres, nous trouverons la définition de la pluie de l’arrière-saison en tant que méthodologie, ce qui nous permettra de comprendre la signification du fait de superposer les chapitres quatre et cinq de Daniel aux chapitres un à trois de Daniel. Après qu’Ésaïe, au chapitre vingt-sept, a identifié le commencement du châtiment progressif du royaume du dragon, il rapporte que, durant cette période, le peuple de Dieu reçoit l’ordre de « chanter pour elle ». Chanter pour qui ?</w:t>
      </w:r>
    </w:p>
    <w:p>
      <w:pPr>
        <w:pStyle w:val="ArticleBody"/>
        <w:jc w:val="left"/>
      </w:pPr>
      <w:r>
        <w:rPr>
          <w:rFonts w:ascii="Times New Roman" w:hAnsi="Times New Roman" w:eastAsia="Times New Roman" w:cs="Times New Roman"/>
        </w:rPr>
        <w:t>Jibu la swali la ni nani anayepaswa kuimbiwa linapatikana katika kichwa cha wimbo huo, kwa maana wanapaswa kuimba “shamba la mizabibu la divai nyekundu, ambalo Bwana hulilinda.” Kisa cha shamba la mizabibu ni kisa cha watu wa Mungu, nacho kinatajwa kwa mara ya kwanza na Isaya katika sura ya tano.</w:t>
      </w:r>
    </w:p>
    <w:p>
      <w:pPr>
        <w:pStyle w:val="ArticleScripture"/>
        <w:jc w:val="left"/>
      </w:pPr>
      <w:r>
        <w:rPr>
          <w:rFonts w:ascii="Times New Roman" w:hAnsi="Times New Roman" w:eastAsia="Times New Roman" w:cs="Times New Roman"/>
        </w:rPr>
        <w:t>Maintenant, je chanterai pour mon bien-aimé un cantique de mon bien-aimé touchant sa vigne. Mon bien-aimé avait une vigne sur un coteau très fertile. Il l’entoura d’une clôture, en ôta les pierres, et y planta les ceps les plus excellents; il bâtit une tour au milieu d’elle, et y creusa aussi un pressoir. Puis il s’attendait à ce qu’elle produisît de bons raisins, mais elle produisit des raisins sauvages. Et maintenant, habitants de Jérusalem et hommes de Juda, jugez, je vous prie, entre moi et ma vigne. Qu’y avait-il encore à faire à ma vigne, que je n’aie pas fait pour elle? Pourquoi, quand j’attendais qu’elle produisît de bons raisins, a-t-elle produit des raisins sauvages? Maintenant donc, je vous ferai connaître ce que je vais faire à ma vigne: j’en ôterai la haie, et elle sera dévorée; j’en abattrai la muraille, et elle sera foulée aux pieds. Je la réduirai en ruine: elle ne sera ni taillée, ni cultivée; les ronces et les épines y croîtront; et je commanderai aux nuées de ne plus faire tomber de pluie sur elle. Car la vigne de l’Éternel des armées, c’est la maison d’Israël, et les hommes de Juda sont la plantation de ses délices; il avait attendu la droiture, et voici l’oppression; la justice, et voici les cris. Ésaïe 5:1–5.</w:t>
      </w:r>
    </w:p>
    <w:p>
      <w:pPr>
        <w:pStyle w:val="ArticleBody"/>
        <w:jc w:val="left"/>
      </w:pPr>
      <w:r>
        <w:rPr>
          <w:rFonts w:ascii="Times New Roman" w:hAnsi="Times New Roman" w:eastAsia="Times New Roman" w:cs="Times New Roman"/>
        </w:rPr>
        <w:t>Nan istwa kriz lwa dimanch lan, pèp Bondye a dwe chante chan jaden rezen an bay pèp Bondye a, paske chan an di: “Epi koulye a, O nou menm abitan Jerizalèm yo, ak mesye Jida yo, mwen priye nou, jije ant mwen menm ak jaden rezen mwen an.” Chan jaden rezen an se chan ki idantifye lefèt ke yon ansyen pèp alyans ap pase sou kote, pandan Bondye ap antre an alyans ak sila yo Pyè di konsènan yo: “Nan tan pase nou pa t yon pèp, men koulye a nou se pèp Bondye a.” Li idantifye ke pa t gen lapli ki te tonbe sou jaden rezen an, konsa li idantifye travay Eli a ki vini nan peryòd tan sa a, e ki sèl la menm ki kapab pwodui lapli pandan peryòd sa a. Nou konnen chan an pale sou lefèt ke yon pèp alyans ap pase sou kote, paske Kris te chante chan jaden rezen an bay ansyen Izrayèl, nan peryòd kote yo t ap pase ansyen Izrayèl sou kote, pandan an menm tan Bondye t ap antre an alyans ak Izrayèl espirityèl la.</w:t>
      </w:r>
    </w:p>
    <w:p>
      <w:pPr>
        <w:pStyle w:val="ArticleScripture"/>
        <w:jc w:val="left"/>
      </w:pPr>
      <w:r>
        <w:rPr>
          <w:rFonts w:ascii="Times New Roman" w:hAnsi="Times New Roman" w:eastAsia="Times New Roman" w:cs="Times New Roman"/>
        </w:rPr>
        <w:t>Έναν άλλο παραβολήν ακούσατε: Ήτο κάποιος οικοδεσπότης, όστις εφύτευσεν αμπελώνα, και έβαλε φραγμόν ολόγυρα αυτού, και έσκαψεν εν αυτώ ληνόν, και ωκοδόμησε πύργον, και ενοικίασεν αυτόν εις γεωργούς, και απεδήμησεν εις χώραν μακράν· και όταν επλησίασεν ο καιρός των καρπών, απέστειλε τους δούλους αυτού προς τους γεωργούς, διά να λάβωσι τους καρπούς αυτού. Και οι γεωργοί, λαβόντες τους δούλους αυτού, άλλον μεν έδειραν, άλλον δε εφόνευσαν, άλλον δε ελιθοβόλησαν. Πάλιν απέστειλεν άλλους δούλους πλείονας των πρώτων· και έκαμον εις αυτούς ωσαύτως. Ύστερον δε πάντων απέστειλε προς αυτούς τον υιόν αυτού, λέγων· Τον υιόν μου θέλουσιν εντραπή. Αλλ’ όταν οι γεωργοί είδον τον υιόν, είπον μεταξύ αυτών· Ούτος είναι ο κληρονόμος· έλθετε, ας φονεύσωμεν αυτόν, και ας κατακρατήσωμεν την κληρονομίαν αυτού. Και πιάσαντες αυτόν, εξέβαλον έξω του αμπελώνος, και εφόνευσαν. Όταν λοιπόν έλθη ο κύριος του αμπελώνος, τι θέλει κάμει εις εκείνους τους γεωργούς; Λέγουσι προς αυτόν· Κακούς κακώς θέλει απολέσει αυτούς, και τον αμπελώνα θέλει ενοικιάσει εις άλλους γεωργούς, οίτινες θέλουσιν αποδώσει εις αυτόν τους καρπούς εν τοις καιροίς αυτών. Λέγει προς αυτούς ο Ιησούς· Δεν ανεγνώσατε ποτέ εν ταις γραφαίς, Λίθον τον οποίον απεδοκίμασαν οι οικοδομούντες, ούτος έγινε κεφαλή γωνίας· παρά Κυρίου έγινε αύτη, και είναι θαυμαστή εν οφθαλμοίς ημών; Διά τούτο σας λέγω, ότι θέλει αφαιρεθή αφ’ υμών η βασιλεία του Θεού, και θέλει δοθή εις έθνος κάμνον τους καρπούς αυτής. Και όστις πέση επί τον λίθον τούτον, θέλει συντριφθή· εις όντινα δε αν πέση, θέλει κατακονιορτοποιήσει αυτόν. Και ακούσαντες οι αρχιερείς και οι Φαρισαίοι τας παραβολάς αυτού, ενόησαν ότι περί αυτών λέγει. Ματθαίος 21:33–45.</w:t>
      </w:r>
    </w:p>
    <w:p>
      <w:pPr>
        <w:pStyle w:val="ArticleBody"/>
        <w:jc w:val="left"/>
      </w:pPr>
      <w:r>
        <w:rPr>
          <w:rFonts w:ascii="Times New Roman" w:hAnsi="Times New Roman" w:eastAsia="Times New Roman" w:cs="Times New Roman"/>
        </w:rPr>
        <w:t>When Jesus sang the song of God’s vineyard to ancient Israel, they were so drawn into the logic and strength of the message, that when Jesus asked the quibbling Jews, what the Lord of the vineyard would do to those who slew the Son, they could not help but provide the correct answer, when they said, “He will miserably destroy those wicked men, and will let out his vineyard unto other husbandmen, which shall render him the fruits in their seasons.”</w:t>
      </w:r>
    </w:p>
    <w:p>
      <w:pPr>
        <w:pStyle w:val="ArticleBody"/>
        <w:jc w:val="left"/>
      </w:pPr>
      <w:r>
        <w:rPr>
          <w:rFonts w:ascii="Times New Roman" w:hAnsi="Times New Roman" w:eastAsia="Times New Roman" w:cs="Times New Roman"/>
        </w:rPr>
        <w:t>Jésu ka kpɔkpo la, eya ŋutɔ tsɔ kpɔɖeŋu bubu kpe ha la ŋu enumake, esi wòha nu tso kpe si wogbe la ŋu, eye wòtsɔ woƒe ŋuɖoɖo la kple ha laƒe nuwuwu ƒe kpɔɖeŋu la ƒo ƒu, esi wògblɔ be, “Eya ta mele egblɔm na mi be, woaɖe Fiaɖuƒe si tso Mawu gbɔ la le mia si me, eye woatsɔe na dukɔ aɖe si ana eƒe kuwo.” Eye amesiame si ava dze kpe sia dzi la, egbã; gake amesiame si ŋuti kpe la ava dze la, atrɔ ezu ʋuʋudedi.” Nyagblɔɖi si gblɔ be “atrɔ ezu ʋuʋudedi” la, do go na Yesaya Blaeve-enyi, si gblɔ be, “wòawɔ vɔsamlekpui laƒe kpeawo katã woazu kpe siwo le abe kplewo ene si wowó kple ɖe ge ɖa; aƒemekpɔkpɔwo kple legbawo manɔ tsitre o.” Eveawo siaa katã nye nuɖoanyiwo tso gbugbɔgblɔ dɔ si Yosia wɔ la ŋu, ame si nɔ vɔvɔ ge na ameawo siwo le ŋkeke mamlɛtɔwo me siwo gagblɔ “ɣeyiɣi adreawo” la afreshi, si nye kpe si dzi ameawo kpɔna avu si gbãna ame siwo gbe be yewoatsɔe le xɔsetɔme be eŋuti kpɔxɔnu.</w:t>
      </w:r>
    </w:p>
    <w:p>
      <w:pPr>
        <w:pStyle w:val="ArticleBody"/>
        <w:jc w:val="left"/>
      </w:pPr>
      <w:r>
        <w:rPr>
          <w:rFonts w:ascii="Times New Roman" w:hAnsi="Times New Roman" w:eastAsia="Times New Roman" w:cs="Times New Roman"/>
        </w:rPr>
        <w:t>En el día de la ley dominical, tal como se representa en Isaías capítulo veintisiete, aquellos que «en otro tiempo no eran pueblo» han de cantar el cántico de la viña del Señor, de vino rojo. Estos artículos han señalado con frecuencia que no hay tercer mensaje sin un primero y un segundo mensaje. La ley dominical es el tercer mensaje, y el día de la ley dominical incluye la historia del primero y del segundo mensaje. En el capítulo veintisiete de Isaías, la ley dominical está identificando el período representado en Daniel capítulo uno, y luego nuevamente en Daniel capítulos uno al tres. Proféticamente, el día de la ley dominical en el capítulo veintisiete está identificando la historia del 11 de septiembre de 2001, cuando el primer mensaje fue investido de poder hasta la ley dominical que está por venir pronto.</w:t>
      </w:r>
    </w:p>
    <w:p>
      <w:pPr>
        <w:pStyle w:val="ArticleBody"/>
        <w:jc w:val="left"/>
      </w:pPr>
      <w:r>
        <w:rPr>
          <w:rFonts w:ascii="Times New Roman" w:hAnsi="Times New Roman" w:eastAsia="Times New Roman" w:cs="Times New Roman"/>
        </w:rPr>
        <w:t>Dá méəshì nū yìzù nà kəshí fù yà zāa kə̄ kà tìə tàa shìn nì, kà yì kúnò kóon nì tìə dùà nì; nà lə kʉ̄rù kàn nì, kà kəshí kà fù yà zāa kə̄ kà nū zīì tìəshwà, kà kə whore of Rome gù yī nì fì nì tìəshwà shìn.</w:t>
      </w:r>
    </w:p>
    <w:p>
      <w:pPr>
        <w:pStyle w:val="ArticleScripture"/>
        <w:jc w:val="left"/>
      </w:pPr>
      <w:r>
        <w:rPr>
          <w:rFonts w:ascii="Times New Roman" w:hAnsi="Times New Roman" w:eastAsia="Times New Roman" w:cs="Times New Roman"/>
        </w:rPr>
        <w:t>Prèske mi, mu uan Lam i sanap long Maunten Saeon, na wantaim em i gat wan handret foti na foa tausen, ol i gat nem bilong Papa bilong em i rait long pes bilong ol. Na mi harim wanpela nek i kam long heven, olsem nek bilong planti wara, na olsem nek bilong bikpela pairap: na mi harim nek bilong ol man bilong pleim hap, ol i wok long pleim ol hap bilong ol: Na ol i singsing olsem wanpela nupela singsing long ai bilong sia king, na long ai bilong ol foa animal, na ol hetman: na i no gat wanpela man inap long lainim dispela singsing, sapos nogat dispela wan handret foti na foa tausen tasol, em ol dispela husat i bin kisim bek long graun. Dispela em ol husat ol meri i no bin dotiim ol; long wanem, ol i stap virgo. Dispela em ol husat i bihainim Lam long wanem ples em i go. Dispela em ol i bin kisim bek namel long ol manmeri, olsem ol namba wan kaikai bilong God na bilong Lam. Na long maus bilong ol i no bin painim wanpela giaman: long wanem, ol i stap nating long asua long ai bilong sia king bilong God. Revelesen 14:1–5.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 Ishirini</dc:title>
  <dc:subject>Danyèl ak Revelasyon an: Dekouvri Tapisri Pwofetik Leve ak Tonbe Wayòm yo</dc:subject>
  <dc:creator>Jeff Pippenger</dc:creator>
  <cp:keywords/>
  <dc:description>Generated by ArticleDigger from daniel\20_daniel.json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