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Kitabu cha Danieli - Namba Ishirini na Moja</w:t>
      </w:r>
    </w:p>
    <w:p>
      <w:pPr>
        <w:pStyle w:val="ArticleSubtitle"/>
        <w:jc w:val="left"/>
      </w:pPr>
      <w:r>
        <w:rPr>
          <w:rFonts w:ascii="Arial" w:hAnsi="Arial" w:eastAsia="Arial" w:cs="Arial"/>
        </w:rPr>
        <w:t>Na Kiwango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2023-12-16</w:t>
      </w:r>
    </w:p>
    <w:p>
      <w:pPr>
        <w:pStyle w:val="ArticleBody"/>
        <w:jc w:val="left"/>
      </w:pPr>
      <w:r>
        <w:rPr>
          <w:rFonts w:ascii="Times New Roman" w:hAnsi="Times New Roman" w:eastAsia="Times New Roman" w:cs="Times New Roman"/>
        </w:rPr>
        <w:t>Nous examinons le chapitre vingt-sept d’Ésaïe, car il établit le contexte des chapitres suivants d’Ésaïe. Ces chapitres suivants désignent la pluie de l’arrière-saison comme la méthodologie biblique appropriée. Cette méthodologie, lorsqu’elle est reconnue et mise en œuvre, révèle le message prophétique qui, s’il est accepté, produit une expérience correspondante.</w:t>
      </w:r>
    </w:p>
    <w:p>
      <w:pPr>
        <w:pStyle w:val="ArticleBody"/>
        <w:jc w:val="left"/>
      </w:pPr>
      <w:r>
        <w:rPr>
          <w:rFonts w:ascii="Leelawadee UI" w:hAnsi="Leelawadee UI" w:eastAsia="Leelawadee UI" w:cs="Leelawadee UI"/>
        </w:rPr>
        <w:t>ថ្ងៃទី</w:t>
      </w:r>
      <w:r>
        <w:rPr>
          <w:rFonts w:ascii="Times New Roman" w:hAnsi="Times New Roman" w:eastAsia="Times New Roman" w:cs="Times New Roman"/>
        </w:rPr>
        <w:t xml:space="preserve"> </w:t>
      </w:r>
      <w:r>
        <w:rPr>
          <w:rFonts w:ascii="Leelawadee UI" w:hAnsi="Leelawadee UI" w:eastAsia="Leelawadee UI" w:cs="Leelawadee UI"/>
        </w:rPr>
        <w:t>១១</w:t>
      </w:r>
      <w:r>
        <w:rPr>
          <w:rFonts w:ascii="Times New Roman" w:hAnsi="Times New Roman" w:eastAsia="Times New Roman" w:cs="Times New Roman"/>
        </w:rPr>
        <w:t xml:space="preserve"> </w:t>
      </w:r>
      <w:r>
        <w:rPr>
          <w:rFonts w:ascii="Leelawadee UI" w:hAnsi="Leelawadee UI" w:eastAsia="Leelawadee UI" w:cs="Leelawadee UI"/>
        </w:rPr>
        <w:t>ខែកញ្ញា</w:t>
      </w:r>
      <w:r>
        <w:rPr>
          <w:rFonts w:ascii="Times New Roman" w:hAnsi="Times New Roman" w:eastAsia="Times New Roman" w:cs="Times New Roman"/>
        </w:rPr>
        <w:t xml:space="preserve"> </w:t>
      </w:r>
      <w:r>
        <w:rPr>
          <w:rFonts w:ascii="Leelawadee UI" w:hAnsi="Leelawadee UI" w:eastAsia="Leelawadee UI" w:cs="Leelawadee UI"/>
        </w:rPr>
        <w:t>ឆ្នាំ</w:t>
      </w:r>
      <w:r>
        <w:rPr>
          <w:rFonts w:ascii="Times New Roman" w:hAnsi="Times New Roman" w:eastAsia="Times New Roman" w:cs="Times New Roman"/>
        </w:rPr>
        <w:t xml:space="preserve"> </w:t>
      </w:r>
      <w:r>
        <w:rPr>
          <w:rFonts w:ascii="Leelawadee UI" w:hAnsi="Leelawadee UI" w:eastAsia="Leelawadee UI" w:cs="Leelawadee UI"/>
        </w:rPr>
        <w:t>២០០១</w:t>
      </w:r>
      <w:r>
        <w:rPr>
          <w:rFonts w:ascii="Times New Roman" w:hAnsi="Times New Roman" w:eastAsia="Times New Roman" w:cs="Times New Roman"/>
        </w:rPr>
        <w:t xml:space="preserve"> </w:t>
      </w:r>
      <w:r>
        <w:rPr>
          <w:rFonts w:ascii="Leelawadee UI" w:hAnsi="Leelawadee UI" w:eastAsia="Leelawadee UI" w:cs="Leelawadee UI"/>
        </w:rPr>
        <w:t>បទចម្រៀងដែលត្រូវច្រៀងចំពោះប្រជាជននៃព្រះដែលស្ថិតក្រោមសេចក្តីសញ្ញាចាស់</w:t>
      </w:r>
      <w:r>
        <w:rPr>
          <w:rFonts w:ascii="Times New Roman" w:hAnsi="Times New Roman" w:eastAsia="Times New Roman" w:cs="Times New Roman"/>
        </w:rPr>
        <w:t xml:space="preserve"> </w:t>
      </w:r>
      <w:r>
        <w:rPr>
          <w:rFonts w:ascii="Leelawadee UI" w:hAnsi="Leelawadee UI" w:eastAsia="Leelawadee UI" w:cs="Leelawadee UI"/>
        </w:rPr>
        <w:t>គឺជាប្រជាជនសេវេនដេ</w:t>
      </w:r>
      <w:r>
        <w:rPr>
          <w:rFonts w:ascii="Times New Roman" w:hAnsi="Times New Roman" w:eastAsia="Times New Roman" w:cs="Times New Roman"/>
        </w:rPr>
        <w:t xml:space="preserve"> </w:t>
      </w:r>
      <w:r>
        <w:rPr>
          <w:rFonts w:ascii="Leelawadee UI" w:hAnsi="Leelawadee UI" w:eastAsia="Leelawadee UI" w:cs="Leelawadee UI"/>
        </w:rPr>
        <w:t>អាឌ</w:t>
      </w:r>
      <w:r>
        <w:rPr>
          <w:rFonts w:ascii="Times New Roman" w:hAnsi="Times New Roman" w:eastAsia="Times New Roman" w:cs="Times New Roman"/>
        </w:rPr>
        <w:t>վեն</w:t>
      </w:r>
      <w:r>
        <w:rPr>
          <w:rFonts w:ascii="Leelawadee UI" w:hAnsi="Leelawadee UI" w:eastAsia="Leelawadee UI" w:cs="Leelawadee UI"/>
        </w:rPr>
        <w:t>ទីស្ត</w:t>
      </w:r>
      <w:r>
        <w:rPr>
          <w:rFonts w:ascii="Times New Roman" w:hAnsi="Times New Roman" w:eastAsia="Times New Roman" w:cs="Times New Roman"/>
        </w:rPr>
        <w:t xml:space="preserve"> </w:t>
      </w:r>
      <w:r>
        <w:rPr>
          <w:rFonts w:ascii="Leelawadee UI" w:hAnsi="Leelawadee UI" w:eastAsia="Leelawadee UI" w:cs="Leelawadee UI"/>
        </w:rPr>
        <w:t>នោះ</w:t>
      </w:r>
      <w:r>
        <w:rPr>
          <w:rFonts w:ascii="Times New Roman" w:hAnsi="Times New Roman" w:eastAsia="Times New Roman" w:cs="Times New Roman"/>
        </w:rPr>
        <w:t xml:space="preserve"> </w:t>
      </w:r>
      <w:r>
        <w:rPr>
          <w:rFonts w:ascii="Leelawadee UI" w:hAnsi="Leelawadee UI" w:eastAsia="Leelawadee UI" w:cs="Leelawadee UI"/>
        </w:rPr>
        <w:t>គឺថា</w:t>
      </w:r>
      <w:r>
        <w:rPr>
          <w:rFonts w:ascii="Times New Roman" w:hAnsi="Times New Roman" w:eastAsia="Times New Roman" w:cs="Times New Roman"/>
        </w:rPr>
        <w:t xml:space="preserve"> </w:t>
      </w:r>
      <w:r>
        <w:rPr>
          <w:rFonts w:ascii="Leelawadee UI" w:hAnsi="Leelawadee UI" w:eastAsia="Leelawadee UI" w:cs="Leelawadee UI"/>
        </w:rPr>
        <w:t>ពួកគេកំពុងត្រូវបានរំលងឲ្យផុតទៅក្នុងនាមជាប្រជាជនរបស់ព្រះ</w:t>
      </w:r>
      <w:r>
        <w:rPr>
          <w:rFonts w:ascii="Times New Roman" w:hAnsi="Times New Roman" w:eastAsia="Times New Roman" w:cs="Times New Roman"/>
        </w:rPr>
        <w:t xml:space="preserve"> </w:t>
      </w:r>
      <w:r>
        <w:rPr>
          <w:rFonts w:ascii="Leelawadee UI" w:hAnsi="Leelawadee UI" w:eastAsia="Leelawadee UI" w:cs="Leelawadee UI"/>
        </w:rPr>
        <w:t>ពីព្រោះពួកគេមិនបានបង្កើតផលផ្លែដែលព្រះបានបំណងទុកឲ្យចម្ការទំពាំងបាយជូររបស់ទ្រង់បង្កើតឡើយ។</w:t>
      </w:r>
      <w:r>
        <w:rPr>
          <w:rFonts w:ascii="Times New Roman" w:hAnsi="Times New Roman" w:eastAsia="Times New Roman" w:cs="Times New Roman"/>
        </w:rPr>
        <w:t xml:space="preserve"> </w:t>
      </w:r>
      <w:r>
        <w:rPr>
          <w:rFonts w:ascii="Leelawadee UI" w:hAnsi="Leelawadee UI" w:eastAsia="Leelawadee UI" w:cs="Leelawadee UI"/>
        </w:rPr>
        <w:t>បទចម្រៀងនោះត្រូវតែផ្អែកលើទំនាក់ទំនងនៃសេចក្តីសញ្ញា</w:t>
      </w:r>
      <w:r>
        <w:rPr>
          <w:rFonts w:ascii="Times New Roman" w:hAnsi="Times New Roman" w:eastAsia="Times New Roman" w:cs="Times New Roman"/>
        </w:rPr>
        <w:t xml:space="preserve"> </w:t>
      </w:r>
      <w:r>
        <w:rPr>
          <w:rFonts w:ascii="Leelawadee UI" w:hAnsi="Leelawadee UI" w:eastAsia="Leelawadee UI" w:cs="Leelawadee UI"/>
        </w:rPr>
        <w:t>ដែលតំណាងដោយចម្ការទំពាំងបាយជូរដែលព្រះបានដាំ</w:t>
      </w:r>
      <w:r>
        <w:rPr>
          <w:rFonts w:ascii="Times New Roman" w:hAnsi="Times New Roman" w:eastAsia="Times New Roman" w:cs="Times New Roman"/>
        </w:rPr>
        <w:t xml:space="preserve"> </w:t>
      </w:r>
      <w:r>
        <w:rPr>
          <w:rFonts w:ascii="Leelawadee UI" w:hAnsi="Leelawadee UI" w:eastAsia="Leelawadee UI" w:cs="Leelawadee UI"/>
        </w:rPr>
        <w:t>និងតំណាងផងដែរដោយការបដិសេធរបស់ពួកគេចំពោះថ្មនៃការជំពប់ដួលនៅឆ្នាំ</w:t>
      </w:r>
      <w:r>
        <w:rPr>
          <w:rFonts w:ascii="Times New Roman" w:hAnsi="Times New Roman" w:eastAsia="Times New Roman" w:cs="Times New Roman"/>
        </w:rPr>
        <w:t xml:space="preserve"> </w:t>
      </w:r>
      <w:r>
        <w:rPr>
          <w:rFonts w:ascii="Leelawadee UI" w:hAnsi="Leelawadee UI" w:eastAsia="Leelawadee UI" w:cs="Leelawadee UI"/>
        </w:rPr>
        <w:t>១៨៦៣។</w:t>
      </w:r>
      <w:r>
        <w:rPr>
          <w:rFonts w:ascii="Times New Roman" w:hAnsi="Times New Roman" w:eastAsia="Times New Roman" w:cs="Times New Roman"/>
        </w:rPr>
        <w:t xml:space="preserve"> </w:t>
      </w:r>
      <w:r>
        <w:rPr>
          <w:rFonts w:ascii="Leelawadee UI" w:hAnsi="Leelawadee UI" w:eastAsia="Leelawadee UI" w:cs="Leelawadee UI"/>
        </w:rPr>
        <w:t>ពួកគេបានក្លាយជា</w:t>
      </w:r>
      <w:r>
        <w:rPr>
          <w:rFonts w:ascii="Times New Roman" w:hAnsi="Times New Roman" w:eastAsia="Times New Roman" w:cs="Times New Roman"/>
        </w:rPr>
        <w:t xml:space="preserve"> </w:t>
      </w:r>
      <w:r>
        <w:rPr>
          <w:rFonts w:ascii="Leelawadee UI" w:hAnsi="Leelawadee UI" w:eastAsia="Leelawadee UI" w:cs="Leelawadee UI"/>
        </w:rPr>
        <w:t>ឡៅឌីសេ</w:t>
      </w:r>
      <w:r>
        <w:rPr>
          <w:rFonts w:ascii="Times New Roman" w:hAnsi="Times New Roman" w:eastAsia="Times New Roman" w:cs="Times New Roman"/>
        </w:rPr>
        <w:t xml:space="preserve"> </w:t>
      </w:r>
      <w:r>
        <w:rPr>
          <w:rFonts w:ascii="Leelawadee UI" w:hAnsi="Leelawadee UI" w:eastAsia="Leelawadee UI" w:cs="Leelawadee UI"/>
        </w:rPr>
        <w:t>ក្នុងឆ្នាំ</w:t>
      </w:r>
      <w:r>
        <w:rPr>
          <w:rFonts w:ascii="Times New Roman" w:hAnsi="Times New Roman" w:eastAsia="Times New Roman" w:cs="Times New Roman"/>
        </w:rPr>
        <w:t xml:space="preserve"> </w:t>
      </w:r>
      <w:r>
        <w:rPr>
          <w:rFonts w:ascii="Leelawadee UI" w:hAnsi="Leelawadee UI" w:eastAsia="Leelawadee UI" w:cs="Leelawadee UI"/>
        </w:rPr>
        <w:t>១៨៥៦</w:t>
      </w:r>
      <w:r>
        <w:rPr>
          <w:rFonts w:ascii="Times New Roman" w:hAnsi="Times New Roman" w:eastAsia="Times New Roman" w:cs="Times New Roman"/>
        </w:rPr>
        <w:t xml:space="preserve"> </w:t>
      </w:r>
      <w:r>
        <w:rPr>
          <w:rFonts w:ascii="Leelawadee UI" w:hAnsi="Leelawadee UI" w:eastAsia="Leelawadee UI" w:cs="Leelawadee UI"/>
        </w:rPr>
        <w:t>ហើយអស់រយៈពេលប្រាំពីរឆ្នាំ</w:t>
      </w:r>
      <w:r>
        <w:rPr>
          <w:rFonts w:ascii="Times New Roman" w:hAnsi="Times New Roman" w:eastAsia="Times New Roman" w:cs="Times New Roman"/>
        </w:rPr>
        <w:t xml:space="preserve"> </w:t>
      </w:r>
      <w:r>
        <w:rPr>
          <w:rFonts w:ascii="Leelawadee UI" w:hAnsi="Leelawadee UI" w:eastAsia="Leelawadee UI" w:cs="Leelawadee UI"/>
        </w:rPr>
        <w:t>ឬ</w:t>
      </w:r>
      <w:r>
        <w:rPr>
          <w:rFonts w:ascii="Times New Roman" w:hAnsi="Times New Roman" w:eastAsia="Times New Roman" w:cs="Times New Roman"/>
        </w:rPr>
        <w:t xml:space="preserve"> «</w:t>
      </w:r>
      <w:r>
        <w:rPr>
          <w:rFonts w:ascii="Leelawadee UI" w:hAnsi="Leelawadee UI" w:eastAsia="Leelawadee UI" w:cs="Leelawadee UI"/>
        </w:rPr>
        <w:t>ប្រាំពីរដង</w:t>
      </w:r>
      <w:r>
        <w:rPr>
          <w:rFonts w:ascii="Times New Roman" w:hAnsi="Times New Roman" w:eastAsia="Times New Roman" w:cs="Times New Roman"/>
        </w:rPr>
        <w:t xml:space="preserve">» </w:t>
      </w:r>
      <w:r>
        <w:rPr>
          <w:rFonts w:ascii="Leelawadee UI" w:hAnsi="Leelawadee UI" w:eastAsia="Leelawadee UI" w:cs="Leelawadee UI"/>
        </w:rPr>
        <w:t>ឬ</w:t>
      </w:r>
      <w:r>
        <w:rPr>
          <w:rFonts w:ascii="Times New Roman" w:hAnsi="Times New Roman" w:eastAsia="Times New Roman" w:cs="Times New Roman"/>
        </w:rPr>
        <w:t xml:space="preserve"> </w:t>
      </w:r>
      <w:r>
        <w:rPr>
          <w:rFonts w:ascii="Leelawadee UI" w:hAnsi="Leelawadee UI" w:eastAsia="Leelawadee UI" w:cs="Leelawadee UI"/>
        </w:rPr>
        <w:t>ពីរពាន់ប្រាំរយម្ភៃថ្ងៃ</w:t>
      </w:r>
      <w:r>
        <w:rPr>
          <w:rFonts w:ascii="Times New Roman" w:hAnsi="Times New Roman" w:eastAsia="Times New Roman" w:cs="Times New Roman"/>
        </w:rPr>
        <w:t xml:space="preserve"> </w:t>
      </w:r>
      <w:r>
        <w:rPr>
          <w:rFonts w:ascii="Leelawadee UI" w:hAnsi="Leelawadee UI" w:eastAsia="Leelawadee UI" w:cs="Leelawadee UI"/>
        </w:rPr>
        <w:t>ព្រះបានស្វែងរកការចូល</w:t>
      </w:r>
      <w:r>
        <w:rPr>
          <w:rFonts w:ascii="Times New Roman" w:hAnsi="Times New Roman" w:eastAsia="Times New Roman" w:cs="Times New Roman"/>
        </w:rPr>
        <w:t xml:space="preserve"> </w:t>
      </w:r>
      <w:r>
        <w:rPr>
          <w:rFonts w:ascii="Leelawadee UI" w:hAnsi="Leelawadee UI" w:eastAsia="Leelawadee UI" w:cs="Leelawadee UI"/>
        </w:rPr>
        <w:t>ប៉ុន្តែពួកគេបានបិទទ្វារទាស់នឹងទ្រង់នៅឆ្នាំ</w:t>
      </w:r>
      <w:r>
        <w:rPr>
          <w:rFonts w:ascii="Times New Roman" w:hAnsi="Times New Roman" w:eastAsia="Times New Roman" w:cs="Times New Roman"/>
        </w:rPr>
        <w:t xml:space="preserve"> </w:t>
      </w:r>
      <w:r>
        <w:rPr>
          <w:rFonts w:ascii="Leelawadee UI" w:hAnsi="Leelawadee UI" w:eastAsia="Leelawadee UI" w:cs="Leelawadee UI"/>
        </w:rPr>
        <w:t>១៨៦៣។</w:t>
      </w:r>
    </w:p>
    <w:p>
      <w:pPr>
        <w:pStyle w:val="ArticleBody"/>
        <w:jc w:val="left"/>
      </w:pPr>
      <w:r>
        <w:rPr>
          <w:rFonts w:ascii="Times New Roman" w:hAnsi="Times New Roman" w:eastAsia="Times New Roman" w:cs="Times New Roman"/>
        </w:rPr>
        <w:t>Depuis le 11 septembre 2001, ils sont liés en bottes en vue d’être entièrement vomis de sa bouche lors de la loi du dimanche. Le message à chanter à l’adventisme depuis le 11 septembre 2001 est le message à Laodicée, lequel est le message de la vigne contenant la pierre d’achoppement qui écrase tous ceux qui refusent de « voir » et de « goûter » la pierre précieuse. La promesse faite aux Laodicéens dans le passage d’Ésaïe est que tout adventiste qui choisit d’accepter cet avertissement final a encore le temps de « saisir » la « force » du Christ, afin qu’il « fasse la paix avec » le Christ, car le Christ est encore disposé à « faire la paix avec » eux. Mais au cri de minuit, juste avant la loi du dimanche qui vient bientôt, cette occasion prendra fin pour toujours.</w:t>
      </w:r>
    </w:p>
    <w:p>
      <w:pPr>
        <w:pStyle w:val="ArticleBody"/>
        <w:jc w:val="left"/>
      </w:pPr>
      <w:r>
        <w:rPr>
          <w:rFonts w:ascii="Times New Roman" w:hAnsi="Times New Roman" w:eastAsia="Times New Roman" w:cs="Times New Roman"/>
        </w:rPr>
        <w:t>Sa panahong nagsimula noong Setyembre 11, 2001, ipinangako ng Dios na yaong mga “noong una ay hindi bayan,” “isang ugat mula sa tuyong lupa,” ay “mag-uugat,” “mamumulaklak at magsusupling, at pupunuin ang mukha ng sanglibutan ng bunga.” Ang nagpapamukadkad at nagpapasibol sa ugat ni Jesse ay ang huling ulan, sapagka’t ang ugat na mamumulaklak at magsusupling ay itinadhanang ayon sa hula na maging watawat na itataas, at ang watawat ay ang ugat ni Jesse.</w:t>
      </w:r>
    </w:p>
    <w:p>
      <w:pPr>
        <w:pStyle w:val="ArticleScripture"/>
        <w:jc w:val="left"/>
      </w:pPr>
      <w:r>
        <w:rPr>
          <w:rFonts w:ascii="Times New Roman" w:hAnsi="Times New Roman" w:eastAsia="Times New Roman" w:cs="Times New Roman"/>
        </w:rPr>
        <w:t>Et en ce jour-là, il y aura une racine de Jessé, dressée comme une bannière pour les peuples; vers elle se tourneront les nations, et le lieu de son repos sera glorieux. Ésaïe 11:10.</w:t>
      </w:r>
    </w:p>
    <w:p>
      <w:pPr>
        <w:pStyle w:val="ArticleBody"/>
        <w:jc w:val="left"/>
      </w:pPr>
      <w:r>
        <w:rPr>
          <w:rFonts w:ascii="Times New Roman" w:hAnsi="Times New Roman" w:eastAsia="Times New Roman" w:cs="Times New Roman"/>
        </w:rPr>
        <w:t>Ff dambɛtɛɛra ye Jɛsi saliya ni kɔnɔgɔ la ka faamu ni toli daminɛ sisan Sɛtanburu 11, 2001, ani Kari-don Sibiiri sariyala min bɛ na kɛ kɔfɛ, o waati la, saliya bɛ dugukolo bɛɛ fa ni jɔli ye. Sibiiri sariyala min bɛ Esayi sura mugan fila ni wolonwula la, o ye taarikɛ ɲɛnabɔli ye min fana bɛ taamasiyɛn kɛ Daniyɛli kitabula sura kelen fɔ sura saba la. Dambɛtɛɛra daminɛ ye ka sirin-sirin si min na siyaaw yé dɔgɔkun na Sɛtanburu 11, 2001, ni silameya min ye Sɔrɔsaba Woyi saba-ɲɛnan ye, k’a bila ka taa, kɔfɛ ka a minɛ tɛmɛntan na.</w:t>
      </w:r>
    </w:p>
    <w:p>
      <w:pPr>
        <w:pStyle w:val="ArticleScripture"/>
        <w:jc w:val="left"/>
      </w:pPr>
      <w:r>
        <w:rPr>
          <w:rFonts w:ascii="Times New Roman" w:hAnsi="Times New Roman" w:eastAsia="Times New Roman" w:cs="Times New Roman"/>
        </w:rPr>
        <w:t>« Le commencement de ce temps de détresse », mentionné ici, ne se rapporte pas au moment où les fléaux commenceront à être répandus, mais à une courte période qui les précède, alors que Christ est dans le sanctuaire. En ce temps-là, tandis que l’œuvre du salut s’achève, la détresse viendra sur la terre, et les nations seront irritées, mais retenues de manière à ne pas empêcher l’œuvre du troisième ange. En ce temps-là, la « pluie de l’arrière-saison », ou le rafraîchissement venant de la présence du Seigneur, viendra pour donner de la puissance à la voix forte du troisième ange, et préparer les saints à subsister durant la période où les sept derniers fléaux seront répandus. Early Writings, 85.</w:t>
      </w:r>
    </w:p>
    <w:p>
      <w:pPr>
        <w:pStyle w:val="ArticleBody"/>
        <w:jc w:val="left"/>
      </w:pPr>
      <w:r>
        <w:rPr>
          <w:rFonts w:ascii="Times New Roman" w:hAnsi="Times New Roman" w:eastAsia="Times New Roman" w:cs="Times New Roman"/>
        </w:rPr>
        <w:t>Au passage considéré, Sœur White précise qu’il existe une courte période durant laquelle le salut demeure encore ouvert. Le « temps de détresse » dont elle traite est distinct du grand temps de détresse, lequel commence lorsque le temps de grâce prend pleinement fin. Dans l’adventisme, on le désigne à juste titre comme « le petit temps de détresse », par rapport au grand temps de détresse qui commence lorsque Michaël se lève. Le « petit temps de détresse » désigne la période où la ruine nationale commence avec la loi dominicale imminente, et se poursuit jusqu’à la clôture du temps de grâce.</w:t>
      </w:r>
    </w:p>
    <w:p>
      <w:pPr>
        <w:pStyle w:val="ArticleBody"/>
        <w:jc w:val="left"/>
      </w:pPr>
      <w:r>
        <w:rPr>
          <w:rFonts w:ascii="Times New Roman" w:hAnsi="Times New Roman" w:eastAsia="Times New Roman" w:cs="Times New Roman"/>
        </w:rPr>
        <w:t>منذ 11 سبتمبر 2001 وحتى قانون الأحد، يُصوَّر في هذا التاريخ التطهيرُ الأخير والدينونةُ الأخيرة للأدفنتية على أنهما يقعان أثناء «الرشّ» من المطر المتأخر. تلك هي الفترة التي يبدأ فيها المطر المتأخر، الذي هو أيضًا «الانتعاش»، على هيئة «رشّ»، ثم يتقدّم إلى أن يبلغ الانسكاب الكامل عند قانون الأحد. وفي تلك الفترة، التي تبدأ حين يجعل إسلامُ الويل الثالث الأممَ تغضب، يبدأ المطر المتأخر في الهطول، فيدرك بعضُ الناس المطرَ المتأخر ويقبلونه، بينما لا يدركه بعضٌ آخر. وبعضهم يميّز أن شيئًا ما يحدث، لكنه لا يفهم ما هو، فيتخذ موقفًا دفاعيًا في مواجهته.</w:t>
      </w:r>
    </w:p>
    <w:p>
      <w:pPr>
        <w:pStyle w:val="ArticleScripture"/>
        <w:jc w:val="left"/>
      </w:pPr>
      <w:r>
        <w:rPr>
          <w:rFonts w:ascii="Times New Roman" w:hAnsi="Times New Roman" w:eastAsia="Times New Roman" w:cs="Times New Roman"/>
        </w:rPr>
        <w:t>«Viele haben es in großem Maße versäumt, den Frühregen zu empfangen. Sie haben nicht alle Segnungen erlangt, die Gott ihnen auf diese Weise bereitet hat. Sie erwarten, dass der Mangel durch den Spätregen ausgeglichen werde. Wenn die reichste Fülle der Gnade verliehen werden wird, beabsichtigen sie, ihre Herzen zu öffnen, um sie zu empfangen. Darin begehen sie einen schrecklichen Irrtum. Das Werk, das Gott im menschlichen Herzen begonnen hat, indem Er Sein Licht und Seine Erkenntnis schenkte, muss beständig weitergeführt werden. Jeder Einzelne muss sich seiner eigenen Notwendigkeit bewusst werden. Das Herz muss von jeder Befleckung entleert und für das Innewohnen des Geistes gereinigt werden. Durch das Bekennen und Verlassen der Sünde, durch ernstliches Gebet und die Weihe ihrer selbst an Gott bereiteten sich die ersten Jünger auf die Ausgießung des Heiligen Geistes am Pfingsttag vor. Dasselbe Werk, nur in größerem Maße, muss jetzt getan werden. Damals hatte der menschliche Mitarbeiter nur um den Segen zu bitten und auf den Herrn zu warten, damit Er das Werk an ihm vollende. Gott ist es, der das Werk begonnen hat, und Er wird Sein Werk vollenden und den Menschen in Jesus Christus vollkommen machen. Doch darf die Gnade, die durch den Frühregen dargestellt wird, keinesfalls vernachlässigt werden. Nur diejenigen, die dem Licht gemäß leben, das sie haben, werden größeres Licht empfangen. Wenn wir nicht täglich darin voranschreiten, die tätigen christlichen Tugenden im Leben darzustellen, werden wir die Offenbarungen des Heiligen Geistes im Spätregen nicht erkennen. Er mag auf Herzen rings um uns her fallen, doch werden wir ihn weder unterscheiden noch empfangen.» Testimonies to Ministers, 506, 507.</w:t>
      </w:r>
    </w:p>
    <w:p>
      <w:pPr>
        <w:pStyle w:val="ArticleBody"/>
        <w:jc w:val="left"/>
      </w:pPr>
      <w:r>
        <w:rPr>
          <w:rFonts w:ascii="Times New Roman" w:hAnsi="Times New Roman" w:eastAsia="Times New Roman" w:cs="Times New Roman"/>
        </w:rPr>
        <w:t>Mvua ya mwisho sasa inanyesha, na wapo wanaoitambua, na kwa hiyo huipokea; na wapo wasioitambua, na kwa hiyo hawaipokei. Mvua ya mwisho lazima itambuliwe ili ipokewe. Mvua ya mwisho si uzoefu tu peke yake; ni uzoefu unaozalishwa na ujumbe, lakini ujumbe huo waweza kupokewa tu pale mbinu sahihi inapotumiwa kuuthibitisha. Bila kuitambua mbinu inayouthibitisha ujumbe wa mvua ya mwisho, karibu haiwezekani kuelewa masomo ya kiunabii yanayowakilishwa katika kuinuka na kuanguka kwa falme kama yalivyowekwa katika vitabu vya Danieli na Ufunuo.</w:t>
      </w:r>
    </w:p>
    <w:p>
      <w:pPr>
        <w:pStyle w:val="ArticleBody"/>
        <w:jc w:val="left"/>
      </w:pPr>
      <w:r>
        <w:rPr>
          <w:rFonts w:ascii="Nirmala UI" w:hAnsi="Nirmala UI" w:eastAsia="Nirmala UI" w:cs="Nirmala UI"/>
        </w:rPr>
        <w:t>দুনিয়ার</w:t>
      </w:r>
      <w:r>
        <w:rPr>
          <w:rFonts w:ascii="Times New Roman" w:hAnsi="Times New Roman" w:eastAsia="Times New Roman" w:cs="Times New Roman"/>
        </w:rPr>
        <w:t xml:space="preserve"> </w:t>
      </w:r>
      <w:r>
        <w:rPr>
          <w:rFonts w:ascii="Nirmala UI" w:hAnsi="Nirmala UI" w:eastAsia="Nirmala UI" w:cs="Nirmala UI"/>
        </w:rPr>
        <w:t>উদ্দেশে</w:t>
      </w:r>
      <w:r>
        <w:rPr>
          <w:rFonts w:ascii="Times New Roman" w:hAnsi="Times New Roman" w:eastAsia="Times New Roman" w:cs="Times New Roman"/>
        </w:rPr>
        <w:t xml:space="preserve"> </w:t>
      </w:r>
      <w:r>
        <w:rPr>
          <w:rFonts w:ascii="Nirmala UI" w:hAnsi="Nirmala UI" w:eastAsia="Nirmala UI" w:cs="Nirmala UI"/>
        </w:rPr>
        <w:t>উত্তোলিত</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পতাকা</w:t>
      </w:r>
      <w:r>
        <w:rPr>
          <w:rFonts w:ascii="Times New Roman" w:hAnsi="Times New Roman" w:eastAsia="Times New Roman" w:cs="Times New Roman"/>
        </w:rPr>
        <w:t xml:space="preserve">, </w:t>
      </w:r>
      <w:r>
        <w:rPr>
          <w:rFonts w:ascii="Nirmala UI" w:hAnsi="Nirmala UI" w:eastAsia="Nirmala UI" w:cs="Nirmala UI"/>
        </w:rPr>
        <w:t>যিশাইয়া</w:t>
      </w:r>
      <w:r>
        <w:rPr>
          <w:rFonts w:ascii="Times New Roman" w:hAnsi="Times New Roman" w:eastAsia="Times New Roman" w:cs="Times New Roman"/>
        </w:rPr>
        <w:t xml:space="preserve"> </w:t>
      </w:r>
      <w:r>
        <w:rPr>
          <w:rFonts w:ascii="Nirmala UI" w:hAnsi="Nirmala UI" w:eastAsia="Nirmala UI" w:cs="Nirmala UI"/>
        </w:rPr>
        <w:t>তাকে</w:t>
      </w:r>
      <w:r>
        <w:rPr>
          <w:rFonts w:ascii="Times New Roman" w:hAnsi="Times New Roman" w:eastAsia="Times New Roman" w:cs="Times New Roman"/>
        </w:rPr>
        <w:t xml:space="preserve"> “</w:t>
      </w:r>
      <w:r>
        <w:rPr>
          <w:rFonts w:ascii="Nirmala UI" w:hAnsi="Nirmala UI" w:eastAsia="Nirmala UI" w:cs="Nirmala UI"/>
        </w:rPr>
        <w:t>যিশয়ের</w:t>
      </w:r>
      <w:r>
        <w:rPr>
          <w:rFonts w:ascii="Times New Roman" w:hAnsi="Times New Roman" w:eastAsia="Times New Roman" w:cs="Times New Roman"/>
        </w:rPr>
        <w:t xml:space="preserve"> </w:t>
      </w:r>
      <w:r>
        <w:rPr>
          <w:rFonts w:ascii="Nirmala UI" w:hAnsi="Nirmala UI" w:eastAsia="Nirmala UI" w:cs="Nirmala UI"/>
        </w:rPr>
        <w:t>মূল</w:t>
      </w:r>
      <w:r>
        <w:rPr>
          <w:rFonts w:ascii="Times New Roman" w:hAnsi="Times New Roman" w:eastAsia="Times New Roman" w:cs="Times New Roman"/>
        </w:rPr>
        <w:t xml:space="preserve">” </w:t>
      </w:r>
      <w:r>
        <w:rPr>
          <w:rFonts w:ascii="Nirmala UI" w:hAnsi="Nirmala UI" w:eastAsia="Nirmala UI" w:cs="Nirmala UI"/>
        </w:rPr>
        <w:t>বলে</w:t>
      </w:r>
      <w:r>
        <w:rPr>
          <w:rFonts w:ascii="Times New Roman" w:hAnsi="Times New Roman" w:eastAsia="Times New Roman" w:cs="Times New Roman"/>
        </w:rPr>
        <w:t xml:space="preserve"> </w:t>
      </w:r>
      <w:r>
        <w:rPr>
          <w:rFonts w:ascii="Nirmala UI" w:hAnsi="Nirmala UI" w:eastAsia="Nirmala UI" w:cs="Nirmala UI"/>
        </w:rPr>
        <w:t>চিহ্নিত</w:t>
      </w:r>
      <w:r>
        <w:rPr>
          <w:rFonts w:ascii="Times New Roman" w:hAnsi="Times New Roman" w:eastAsia="Times New Roman" w:cs="Times New Roman"/>
        </w:rPr>
        <w:t xml:space="preserve"> </w:t>
      </w:r>
      <w:r>
        <w:rPr>
          <w:rFonts w:ascii="Nirmala UI" w:hAnsi="Nirmala UI" w:eastAsia="Nirmala UI" w:cs="Nirmala UI"/>
        </w:rPr>
        <w:t>করেছেন</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সাতাশ</w:t>
      </w:r>
      <w:r>
        <w:rPr>
          <w:rFonts w:ascii="Times New Roman" w:hAnsi="Times New Roman" w:eastAsia="Times New Roman" w:cs="Times New Roman"/>
        </w:rPr>
        <w:t xml:space="preserve"> </w:t>
      </w:r>
      <w:r>
        <w:rPr>
          <w:rFonts w:ascii="Nirmala UI" w:hAnsi="Nirmala UI" w:eastAsia="Nirmala UI" w:cs="Nirmala UI"/>
        </w:rPr>
        <w:t>অধ্যায়ে</w:t>
      </w:r>
      <w:r>
        <w:rPr>
          <w:rFonts w:ascii="Times New Roman" w:hAnsi="Times New Roman" w:eastAsia="Times New Roman" w:cs="Times New Roman"/>
        </w:rPr>
        <w:t xml:space="preserve"> </w:t>
      </w:r>
      <w:r>
        <w:rPr>
          <w:rFonts w:ascii="Nirmala UI" w:hAnsi="Nirmala UI" w:eastAsia="Nirmala UI" w:cs="Nirmala UI"/>
        </w:rPr>
        <w:t>যারা</w:t>
      </w:r>
      <w:r>
        <w:rPr>
          <w:rFonts w:ascii="Times New Roman" w:hAnsi="Times New Roman" w:eastAsia="Times New Roman" w:cs="Times New Roman"/>
        </w:rPr>
        <w:t xml:space="preserve"> “</w:t>
      </w:r>
      <w:r>
        <w:rPr>
          <w:rFonts w:ascii="Nirmala UI" w:hAnsi="Nirmala UI" w:eastAsia="Nirmala UI" w:cs="Nirmala UI"/>
        </w:rPr>
        <w:t>যাকোব</w:t>
      </w:r>
      <w:r>
        <w:rPr>
          <w:rFonts w:ascii="Times New Roman" w:hAnsi="Times New Roman" w:eastAsia="Times New Roman" w:cs="Times New Roman"/>
        </w:rPr>
        <w:t xml:space="preserve"> </w:t>
      </w:r>
      <w:r>
        <w:rPr>
          <w:rFonts w:ascii="Nirmala UI" w:hAnsi="Nirmala UI" w:eastAsia="Nirmala UI" w:cs="Nirmala UI"/>
        </w:rPr>
        <w:t>হইতে</w:t>
      </w:r>
      <w:r>
        <w:rPr>
          <w:rFonts w:ascii="Times New Roman" w:hAnsi="Times New Roman" w:eastAsia="Times New Roman" w:cs="Times New Roman"/>
        </w:rPr>
        <w:t xml:space="preserve"> </w:t>
      </w:r>
      <w:r>
        <w:rPr>
          <w:rFonts w:ascii="Nirmala UI" w:hAnsi="Nirmala UI" w:eastAsia="Nirmala UI" w:cs="Nirmala UI"/>
        </w:rPr>
        <w:t>আসে</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মূল</w:t>
      </w:r>
      <w:r>
        <w:rPr>
          <w:rFonts w:ascii="Times New Roman" w:hAnsi="Times New Roman" w:eastAsia="Times New Roman" w:cs="Times New Roman"/>
        </w:rPr>
        <w:t xml:space="preserve"> </w:t>
      </w:r>
      <w:r>
        <w:rPr>
          <w:rFonts w:ascii="Nirmala UI" w:hAnsi="Nirmala UI" w:eastAsia="Nirmala UI" w:cs="Nirmala UI"/>
        </w:rPr>
        <w:t>ধারণ</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যারা</w:t>
      </w:r>
      <w:r>
        <w:rPr>
          <w:rFonts w:ascii="Times New Roman" w:hAnsi="Times New Roman" w:eastAsia="Times New Roman" w:cs="Times New Roman"/>
        </w:rPr>
        <w:t xml:space="preserve"> “</w:t>
      </w:r>
      <w:r>
        <w:rPr>
          <w:rFonts w:ascii="Nirmala UI" w:hAnsi="Nirmala UI" w:eastAsia="Nirmala UI" w:cs="Nirmala UI"/>
        </w:rPr>
        <w:t>যিশয়ের</w:t>
      </w:r>
      <w:r>
        <w:rPr>
          <w:rFonts w:ascii="Times New Roman" w:hAnsi="Times New Roman" w:eastAsia="Times New Roman" w:cs="Times New Roman"/>
        </w:rPr>
        <w:t xml:space="preserve"> </w:t>
      </w:r>
      <w:r>
        <w:rPr>
          <w:rFonts w:ascii="Nirmala UI" w:hAnsi="Nirmala UI" w:eastAsia="Nirmala UI" w:cs="Nirmala UI"/>
        </w:rPr>
        <w:t>মূল</w:t>
      </w:r>
      <w:r>
        <w:rPr>
          <w:rFonts w:ascii="Times New Roman" w:hAnsi="Times New Roman" w:eastAsia="Times New Roman" w:cs="Times New Roman"/>
        </w:rPr>
        <w:t xml:space="preserve">,” </w:t>
      </w:r>
      <w:r>
        <w:rPr>
          <w:rFonts w:ascii="Nirmala UI" w:hAnsi="Nirmala UI" w:eastAsia="Nirmala UI" w:cs="Nirmala UI"/>
        </w:rPr>
        <w:t>তাহারাই</w:t>
      </w:r>
      <w:r>
        <w:rPr>
          <w:rFonts w:ascii="Times New Roman" w:hAnsi="Times New Roman" w:eastAsia="Times New Roman" w:cs="Times New Roman"/>
        </w:rPr>
        <w:t xml:space="preserve"> </w:t>
      </w:r>
      <w:r>
        <w:rPr>
          <w:rFonts w:ascii="Nirmala UI" w:hAnsi="Nirmala UI" w:eastAsia="Nirmala UI" w:cs="Nirmala UI"/>
        </w:rPr>
        <w:t>সেখানে</w:t>
      </w:r>
      <w:r>
        <w:rPr>
          <w:rFonts w:ascii="Times New Roman" w:hAnsi="Times New Roman" w:eastAsia="Times New Roman" w:cs="Times New Roman"/>
        </w:rPr>
        <w:t xml:space="preserve"> “</w:t>
      </w:r>
      <w:r>
        <w:rPr>
          <w:rFonts w:ascii="Nirmala UI" w:hAnsi="Nirmala UI" w:eastAsia="Nirmala UI" w:cs="Nirmala UI"/>
        </w:rPr>
        <w:t>ইস্রায়েল</w:t>
      </w:r>
      <w:r>
        <w:rPr>
          <w:rFonts w:ascii="Times New Roman" w:hAnsi="Times New Roman" w:eastAsia="Times New Roman" w:cs="Times New Roman"/>
        </w:rPr>
        <w:t xml:space="preserve">” </w:t>
      </w:r>
      <w:r>
        <w:rPr>
          <w:rFonts w:ascii="Nirmala UI" w:hAnsi="Nirmala UI" w:eastAsia="Nirmala UI" w:cs="Nirmala UI"/>
        </w:rPr>
        <w:t>বলিয়াও</w:t>
      </w:r>
      <w:r>
        <w:rPr>
          <w:rFonts w:ascii="Times New Roman" w:hAnsi="Times New Roman" w:eastAsia="Times New Roman" w:cs="Times New Roman"/>
        </w:rPr>
        <w:t xml:space="preserve"> </w:t>
      </w:r>
      <w:r>
        <w:rPr>
          <w:rFonts w:ascii="Nirmala UI" w:hAnsi="Nirmala UI" w:eastAsia="Nirmala UI" w:cs="Nirmala UI"/>
        </w:rPr>
        <w:t>চিহ্নিত</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তাহারাই</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সকল</w:t>
      </w:r>
      <w:r>
        <w:rPr>
          <w:rFonts w:ascii="Times New Roman" w:hAnsi="Times New Roman" w:eastAsia="Times New Roman" w:cs="Times New Roman"/>
        </w:rPr>
        <w:t xml:space="preserve">, </w:t>
      </w:r>
      <w:r>
        <w:rPr>
          <w:rFonts w:ascii="Nirmala UI" w:hAnsi="Nirmala UI" w:eastAsia="Nirmala UI" w:cs="Nirmala UI"/>
        </w:rPr>
        <w:t>যারা</w:t>
      </w:r>
      <w:r>
        <w:rPr>
          <w:rFonts w:ascii="Times New Roman" w:hAnsi="Times New Roman" w:eastAsia="Times New Roman" w:cs="Times New Roman"/>
        </w:rPr>
        <w:t xml:space="preserve"> </w:t>
      </w:r>
      <w:r>
        <w:rPr>
          <w:rFonts w:ascii="Nirmala UI" w:hAnsi="Nirmala UI" w:eastAsia="Nirmala UI" w:cs="Nirmala UI"/>
        </w:rPr>
        <w:t>প্রথমে</w:t>
      </w:r>
      <w:r>
        <w:rPr>
          <w:rFonts w:ascii="Times New Roman" w:hAnsi="Times New Roman" w:eastAsia="Times New Roman" w:cs="Times New Roman"/>
        </w:rPr>
        <w:t xml:space="preserve"> </w:t>
      </w:r>
      <w:r>
        <w:rPr>
          <w:rFonts w:ascii="Nirmala UI" w:hAnsi="Nirmala UI" w:eastAsia="Nirmala UI" w:cs="Nirmala UI"/>
        </w:rPr>
        <w:t>পুষ্পিত</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কুঁড়িত</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পরবর্তীতে</w:t>
      </w:r>
      <w:r>
        <w:rPr>
          <w:rFonts w:ascii="Times New Roman" w:hAnsi="Times New Roman" w:eastAsia="Times New Roman" w:cs="Times New Roman"/>
        </w:rPr>
        <w:t xml:space="preserve"> </w:t>
      </w:r>
      <w:r>
        <w:rPr>
          <w:rFonts w:ascii="Nirmala UI" w:hAnsi="Nirmala UI" w:eastAsia="Nirmala UI" w:cs="Nirmala UI"/>
        </w:rPr>
        <w:t>জগৎকে</w:t>
      </w:r>
      <w:r>
        <w:rPr>
          <w:rFonts w:ascii="Times New Roman" w:hAnsi="Times New Roman" w:eastAsia="Times New Roman" w:cs="Times New Roman"/>
        </w:rPr>
        <w:t xml:space="preserve"> </w:t>
      </w:r>
      <w:r>
        <w:rPr>
          <w:rFonts w:ascii="Nirmala UI" w:hAnsi="Nirmala UI" w:eastAsia="Nirmala UI" w:cs="Nirmala UI"/>
        </w:rPr>
        <w:t>ফলে</w:t>
      </w:r>
      <w:r>
        <w:rPr>
          <w:rFonts w:ascii="Times New Roman" w:hAnsi="Times New Roman" w:eastAsia="Times New Roman" w:cs="Times New Roman"/>
        </w:rPr>
        <w:t xml:space="preserve"> </w:t>
      </w:r>
      <w:r>
        <w:rPr>
          <w:rFonts w:ascii="Nirmala UI" w:hAnsi="Nirmala UI" w:eastAsia="Nirmala UI" w:cs="Nirmala UI"/>
        </w:rPr>
        <w:t>পরিপূর্ণ</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প্রকৃতির</w:t>
      </w:r>
      <w:r>
        <w:rPr>
          <w:rFonts w:ascii="Times New Roman" w:hAnsi="Times New Roman" w:eastAsia="Times New Roman" w:cs="Times New Roman"/>
        </w:rPr>
        <w:t xml:space="preserve"> </w:t>
      </w:r>
      <w:r>
        <w:rPr>
          <w:rFonts w:ascii="Nirmala UI" w:hAnsi="Nirmala UI" w:eastAsia="Nirmala UI" w:cs="Nirmala UI"/>
        </w:rPr>
        <w:t>বিধান</w:t>
      </w:r>
      <w:r>
        <w:rPr>
          <w:rFonts w:ascii="Times New Roman" w:hAnsi="Times New Roman" w:eastAsia="Times New Roman" w:cs="Times New Roman"/>
        </w:rPr>
        <w:t xml:space="preserve"> </w:t>
      </w:r>
      <w:r>
        <w:rPr>
          <w:rFonts w:ascii="Nirmala UI" w:hAnsi="Nirmala UI" w:eastAsia="Nirmala UI" w:cs="Nirmala UI"/>
        </w:rPr>
        <w:t>ভবিষ্যদ্বাণীর</w:t>
      </w:r>
      <w:r>
        <w:rPr>
          <w:rFonts w:ascii="Times New Roman" w:hAnsi="Times New Roman" w:eastAsia="Times New Roman" w:cs="Times New Roman"/>
        </w:rPr>
        <w:t xml:space="preserve"> </w:t>
      </w:r>
      <w:r>
        <w:rPr>
          <w:rFonts w:ascii="Nirmala UI" w:hAnsi="Nirmala UI" w:eastAsia="Nirmala UI" w:cs="Nirmala UI"/>
        </w:rPr>
        <w:t>বিধানের</w:t>
      </w:r>
      <w:r>
        <w:rPr>
          <w:rFonts w:ascii="Times New Roman" w:hAnsi="Times New Roman" w:eastAsia="Times New Roman" w:cs="Times New Roman"/>
        </w:rPr>
        <w:t xml:space="preserve"> </w:t>
      </w:r>
      <w:r>
        <w:rPr>
          <w:rFonts w:ascii="Nirmala UI" w:hAnsi="Nirmala UI" w:eastAsia="Nirmala UI" w:cs="Nirmala UI"/>
        </w:rPr>
        <w:t>পরিপন্থী</w:t>
      </w:r>
      <w:r>
        <w:rPr>
          <w:rFonts w:ascii="Times New Roman" w:hAnsi="Times New Roman" w:eastAsia="Times New Roman" w:cs="Times New Roman"/>
        </w:rPr>
        <w:t xml:space="preserve"> </w:t>
      </w:r>
      <w:r>
        <w:rPr>
          <w:rFonts w:ascii="Nirmala UI" w:hAnsi="Nirmala UI" w:eastAsia="Nirmala UI" w:cs="Nirmala UI"/>
        </w:rPr>
        <w:t>নয়</w:t>
      </w:r>
      <w:r>
        <w:rPr>
          <w:rFonts w:ascii="Times New Roman" w:hAnsi="Times New Roman" w:eastAsia="Times New Roman" w:cs="Times New Roman"/>
        </w:rPr>
        <w:t xml:space="preserve">, </w:t>
      </w:r>
      <w:r>
        <w:rPr>
          <w:rFonts w:ascii="Nirmala UI" w:hAnsi="Nirmala UI" w:eastAsia="Nirmala UI" w:cs="Nirmala UI"/>
        </w:rPr>
        <w:t>কারণ</w:t>
      </w:r>
      <w:r>
        <w:rPr>
          <w:rFonts w:ascii="Times New Roman" w:hAnsi="Times New Roman" w:eastAsia="Times New Roman" w:cs="Times New Roman"/>
        </w:rPr>
        <w:t xml:space="preserve"> </w:t>
      </w:r>
      <w:r>
        <w:rPr>
          <w:rFonts w:ascii="Nirmala UI" w:hAnsi="Nirmala UI" w:eastAsia="Nirmala UI" w:cs="Nirmala UI"/>
        </w:rPr>
        <w:t>প্রকৃতি</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ভবিষ্যদ্বাণী</w:t>
      </w:r>
      <w:r>
        <w:rPr>
          <w:rFonts w:ascii="Times New Roman" w:hAnsi="Times New Roman" w:eastAsia="Times New Roman" w:cs="Times New Roman"/>
        </w:rPr>
        <w:t xml:space="preserve"> </w:t>
      </w:r>
      <w:r>
        <w:rPr>
          <w:rFonts w:ascii="Nirmala UI" w:hAnsi="Nirmala UI" w:eastAsia="Nirmala UI" w:cs="Nirmala UI"/>
        </w:rPr>
        <w:t>উভয়ই</w:t>
      </w:r>
      <w:r>
        <w:rPr>
          <w:rFonts w:ascii="Times New Roman" w:hAnsi="Times New Roman" w:eastAsia="Times New Roman" w:cs="Times New Roman"/>
        </w:rPr>
        <w:t xml:space="preserve"> </w:t>
      </w:r>
      <w:r>
        <w:rPr>
          <w:rFonts w:ascii="Nirmala UI" w:hAnsi="Nirmala UI" w:eastAsia="Nirmala UI" w:cs="Nirmala UI"/>
        </w:rPr>
        <w:t>একই</w:t>
      </w:r>
      <w:r>
        <w:rPr>
          <w:rFonts w:ascii="Times New Roman" w:hAnsi="Times New Roman" w:eastAsia="Times New Roman" w:cs="Times New Roman"/>
        </w:rPr>
        <w:t xml:space="preserve"> </w:t>
      </w:r>
      <w:r>
        <w:rPr>
          <w:rFonts w:ascii="Nirmala UI" w:hAnsi="Nirmala UI" w:eastAsia="Nirmala UI" w:cs="Nirmala UI"/>
        </w:rPr>
        <w:t>বিধানদাতার</w:t>
      </w:r>
      <w:r>
        <w:rPr>
          <w:rFonts w:ascii="Times New Roman" w:hAnsi="Times New Roman" w:eastAsia="Times New Roman" w:cs="Times New Roman"/>
        </w:rPr>
        <w:t xml:space="preserve"> </w:t>
      </w:r>
      <w:r>
        <w:rPr>
          <w:rFonts w:ascii="Nirmala UI" w:hAnsi="Nirmala UI" w:eastAsia="Nirmala UI" w:cs="Nirmala UI"/>
        </w:rPr>
        <w:t>দ্বারা</w:t>
      </w:r>
      <w:r>
        <w:rPr>
          <w:rFonts w:ascii="Times New Roman" w:hAnsi="Times New Roman" w:eastAsia="Times New Roman" w:cs="Times New Roman"/>
        </w:rPr>
        <w:t xml:space="preserve"> </w:t>
      </w:r>
      <w:r>
        <w:rPr>
          <w:rFonts w:ascii="Nirmala UI" w:hAnsi="Nirmala UI" w:eastAsia="Nirmala UI" w:cs="Nirmala UI"/>
        </w:rPr>
        <w:t>উৎপন্ন।</w:t>
      </w:r>
      <w:r>
        <w:rPr>
          <w:rFonts w:ascii="Times New Roman" w:hAnsi="Times New Roman" w:eastAsia="Times New Roman" w:cs="Times New Roman"/>
        </w:rPr>
        <w:t xml:space="preserve"> </w:t>
      </w:r>
      <w:r>
        <w:rPr>
          <w:rFonts w:ascii="Nirmala UI" w:hAnsi="Nirmala UI" w:eastAsia="Nirmala UI" w:cs="Nirmala UI"/>
        </w:rPr>
        <w:t>কোনো</w:t>
      </w:r>
      <w:r>
        <w:rPr>
          <w:rFonts w:ascii="Times New Roman" w:hAnsi="Times New Roman" w:eastAsia="Times New Roman" w:cs="Times New Roman"/>
        </w:rPr>
        <w:t xml:space="preserve"> </w:t>
      </w:r>
      <w:r>
        <w:rPr>
          <w:rFonts w:ascii="Nirmala UI" w:hAnsi="Nirmala UI" w:eastAsia="Nirmala UI" w:cs="Nirmala UI"/>
        </w:rPr>
        <w:t>উদ্ভিদ</w:t>
      </w:r>
      <w:r>
        <w:rPr>
          <w:rFonts w:ascii="Times New Roman" w:hAnsi="Times New Roman" w:eastAsia="Times New Roman" w:cs="Times New Roman"/>
        </w:rPr>
        <w:t xml:space="preserve"> </w:t>
      </w:r>
      <w:r>
        <w:rPr>
          <w:rFonts w:ascii="Nirmala UI" w:hAnsi="Nirmala UI" w:eastAsia="Nirmala UI" w:cs="Nirmala UI"/>
        </w:rPr>
        <w:t>ফল</w:t>
      </w:r>
      <w:r>
        <w:rPr>
          <w:rFonts w:ascii="Times New Roman" w:hAnsi="Times New Roman" w:eastAsia="Times New Roman" w:cs="Times New Roman"/>
        </w:rPr>
        <w:t xml:space="preserve"> </w:t>
      </w:r>
      <w:r>
        <w:rPr>
          <w:rFonts w:ascii="Nirmala UI" w:hAnsi="Nirmala UI" w:eastAsia="Nirmala UI" w:cs="Nirmala UI"/>
        </w:rPr>
        <w:t>ধারণ</w:t>
      </w:r>
      <w:r>
        <w:rPr>
          <w:rFonts w:ascii="Times New Roman" w:hAnsi="Times New Roman" w:eastAsia="Times New Roman" w:cs="Times New Roman"/>
        </w:rPr>
        <w:t xml:space="preserve"> </w:t>
      </w:r>
      <w:r>
        <w:rPr>
          <w:rFonts w:ascii="Nirmala UI" w:hAnsi="Nirmala UI" w:eastAsia="Nirmala UI" w:cs="Nirmala UI"/>
        </w:rPr>
        <w:t>করিবার</w:t>
      </w:r>
      <w:r>
        <w:rPr>
          <w:rFonts w:ascii="Times New Roman" w:hAnsi="Times New Roman" w:eastAsia="Times New Roman" w:cs="Times New Roman"/>
        </w:rPr>
        <w:t xml:space="preserve"> </w:t>
      </w:r>
      <w:r>
        <w:rPr>
          <w:rFonts w:ascii="Nirmala UI" w:hAnsi="Nirmala UI" w:eastAsia="Nirmala UI" w:cs="Nirmala UI"/>
        </w:rPr>
        <w:t>পূর্বে</w:t>
      </w:r>
      <w:r>
        <w:rPr>
          <w:rFonts w:ascii="Times New Roman" w:hAnsi="Times New Roman" w:eastAsia="Times New Roman" w:cs="Times New Roman"/>
        </w:rPr>
        <w:t xml:space="preserve">, </w:t>
      </w:r>
      <w:r>
        <w:rPr>
          <w:rFonts w:ascii="Nirmala UI" w:hAnsi="Nirmala UI" w:eastAsia="Nirmala UI" w:cs="Nirmala UI"/>
        </w:rPr>
        <w:t>কুঁড়ির</w:t>
      </w:r>
      <w:r>
        <w:rPr>
          <w:rFonts w:ascii="Times New Roman" w:hAnsi="Times New Roman" w:eastAsia="Times New Roman" w:cs="Times New Roman"/>
        </w:rPr>
        <w:t xml:space="preserve"> </w:t>
      </w:r>
      <w:r>
        <w:rPr>
          <w:rFonts w:ascii="Nirmala UI" w:hAnsi="Nirmala UI" w:eastAsia="Nirmala UI" w:cs="Nirmala UI"/>
        </w:rPr>
        <w:t>দ্বারা</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পরবর্তীতে</w:t>
      </w:r>
      <w:r>
        <w:rPr>
          <w:rFonts w:ascii="Times New Roman" w:hAnsi="Times New Roman" w:eastAsia="Times New Roman" w:cs="Times New Roman"/>
        </w:rPr>
        <w:t xml:space="preserve"> </w:t>
      </w:r>
      <w:r>
        <w:rPr>
          <w:rFonts w:ascii="Nirmala UI" w:hAnsi="Nirmala UI" w:eastAsia="Nirmala UI" w:cs="Nirmala UI"/>
        </w:rPr>
        <w:t>পুষ্পের</w:t>
      </w:r>
      <w:r>
        <w:rPr>
          <w:rFonts w:ascii="Times New Roman" w:hAnsi="Times New Roman" w:eastAsia="Times New Roman" w:cs="Times New Roman"/>
        </w:rPr>
        <w:t xml:space="preserve"> </w:t>
      </w:r>
      <w:r>
        <w:rPr>
          <w:rFonts w:ascii="Nirmala UI" w:hAnsi="Nirmala UI" w:eastAsia="Nirmala UI" w:cs="Nirmala UI"/>
        </w:rPr>
        <w:t>দ্বারা</w:t>
      </w:r>
      <w:r>
        <w:rPr>
          <w:rFonts w:ascii="Times New Roman" w:hAnsi="Times New Roman" w:eastAsia="Times New Roman" w:cs="Times New Roman"/>
        </w:rPr>
        <w:t xml:space="preserve"> </w:t>
      </w:r>
      <w:r>
        <w:rPr>
          <w:rFonts w:ascii="Nirmala UI" w:hAnsi="Nirmala UI" w:eastAsia="Nirmala UI" w:cs="Nirmala UI"/>
        </w:rPr>
        <w:t>প্রমাণিত</w:t>
      </w:r>
      <w:r>
        <w:rPr>
          <w:rFonts w:ascii="Times New Roman" w:hAnsi="Times New Roman" w:eastAsia="Times New Roman" w:cs="Times New Roman"/>
        </w:rPr>
        <w:t xml:space="preserve"> </w:t>
      </w:r>
      <w:r>
        <w:rPr>
          <w:rFonts w:ascii="Nirmala UI" w:hAnsi="Nirmala UI" w:eastAsia="Nirmala UI" w:cs="Nirmala UI"/>
        </w:rPr>
        <w:t>নিদ্রাস্থা</w:t>
      </w:r>
      <w:r>
        <w:rPr>
          <w:rFonts w:ascii="Times New Roman" w:hAnsi="Times New Roman" w:eastAsia="Times New Roman" w:cs="Times New Roman"/>
        </w:rPr>
        <w:t xml:space="preserve"> </w:t>
      </w:r>
      <w:r>
        <w:rPr>
          <w:rFonts w:ascii="Nirmala UI" w:hAnsi="Nirmala UI" w:eastAsia="Nirmala UI" w:cs="Nirmala UI"/>
        </w:rPr>
        <w:t>হইতে</w:t>
      </w:r>
      <w:r>
        <w:rPr>
          <w:rFonts w:ascii="Times New Roman" w:hAnsi="Times New Roman" w:eastAsia="Times New Roman" w:cs="Times New Roman"/>
        </w:rPr>
        <w:t xml:space="preserve"> </w:t>
      </w:r>
      <w:r>
        <w:rPr>
          <w:rFonts w:ascii="Nirmala UI" w:hAnsi="Nirmala UI" w:eastAsia="Nirmala UI" w:cs="Nirmala UI"/>
        </w:rPr>
        <w:t>প্রথমে</w:t>
      </w:r>
      <w:r>
        <w:rPr>
          <w:rFonts w:ascii="Times New Roman" w:hAnsi="Times New Roman" w:eastAsia="Times New Roman" w:cs="Times New Roman"/>
        </w:rPr>
        <w:t xml:space="preserve"> </w:t>
      </w:r>
      <w:r>
        <w:rPr>
          <w:rFonts w:ascii="Nirmala UI" w:hAnsi="Nirmala UI" w:eastAsia="Nirmala UI" w:cs="Nirmala UI"/>
        </w:rPr>
        <w:t>জাগ্রত</w:t>
      </w:r>
      <w:r>
        <w:rPr>
          <w:rFonts w:ascii="Times New Roman" w:hAnsi="Times New Roman" w:eastAsia="Times New Roman" w:cs="Times New Roman"/>
        </w:rPr>
        <w:t xml:space="preserve"> </w:t>
      </w:r>
      <w:r>
        <w:rPr>
          <w:rFonts w:ascii="Nirmala UI" w:hAnsi="Nirmala UI" w:eastAsia="Nirmala UI" w:cs="Nirmala UI"/>
        </w:rPr>
        <w:t>হইতে</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আধ্যাত্মিক</w:t>
      </w:r>
      <w:r>
        <w:rPr>
          <w:rFonts w:ascii="Times New Roman" w:hAnsi="Times New Roman" w:eastAsia="Times New Roman" w:cs="Times New Roman"/>
        </w:rPr>
        <w:t xml:space="preserve"> </w:t>
      </w:r>
      <w:r>
        <w:rPr>
          <w:rFonts w:ascii="Nirmala UI" w:hAnsi="Nirmala UI" w:eastAsia="Nirmala UI" w:cs="Nirmala UI"/>
        </w:rPr>
        <w:t>ইস্রায়েল</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যিশয়ের</w:t>
      </w:r>
      <w:r>
        <w:rPr>
          <w:rFonts w:ascii="Times New Roman" w:hAnsi="Times New Roman" w:eastAsia="Times New Roman" w:cs="Times New Roman"/>
        </w:rPr>
        <w:t xml:space="preserve"> </w:t>
      </w:r>
      <w:r>
        <w:rPr>
          <w:rFonts w:ascii="Nirmala UI" w:hAnsi="Nirmala UI" w:eastAsia="Nirmala UI" w:cs="Nirmala UI"/>
        </w:rPr>
        <w:t>মূল</w:t>
      </w:r>
      <w:r>
        <w:rPr>
          <w:rFonts w:ascii="Times New Roman" w:hAnsi="Times New Roman" w:eastAsia="Times New Roman" w:cs="Times New Roman"/>
        </w:rPr>
        <w:t xml:space="preserve">,” </w:t>
      </w:r>
      <w:r>
        <w:rPr>
          <w:rFonts w:ascii="Nirmala UI" w:hAnsi="Nirmala UI" w:eastAsia="Nirmala UI" w:cs="Nirmala UI"/>
        </w:rPr>
        <w:t>সে</w:t>
      </w:r>
      <w:r>
        <w:rPr>
          <w:rFonts w:ascii="Times New Roman" w:hAnsi="Times New Roman" w:eastAsia="Times New Roman" w:cs="Times New Roman"/>
        </w:rPr>
        <w:t xml:space="preserve"> </w:t>
      </w:r>
      <w:r>
        <w:rPr>
          <w:rFonts w:ascii="Nirmala UI" w:hAnsi="Nirmala UI" w:eastAsia="Nirmala UI" w:cs="Nirmala UI"/>
        </w:rPr>
        <w:t>বৃষ্টির</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ক্রমবর্ধমান</w:t>
      </w:r>
      <w:r>
        <w:rPr>
          <w:rFonts w:ascii="Times New Roman" w:hAnsi="Times New Roman" w:eastAsia="Times New Roman" w:cs="Times New Roman"/>
        </w:rPr>
        <w:t xml:space="preserve"> </w:t>
      </w:r>
      <w:r>
        <w:rPr>
          <w:rFonts w:ascii="Nirmala UI" w:hAnsi="Nirmala UI" w:eastAsia="Nirmala UI" w:cs="Nirmala UI"/>
        </w:rPr>
        <w:t>বর্ষণ</w:t>
      </w:r>
      <w:r>
        <w:rPr>
          <w:rFonts w:ascii="Times New Roman" w:hAnsi="Times New Roman" w:eastAsia="Times New Roman" w:cs="Times New Roman"/>
        </w:rPr>
        <w:t xml:space="preserve"> </w:t>
      </w:r>
      <w:r>
        <w:rPr>
          <w:rFonts w:ascii="Nirmala UI" w:hAnsi="Nirmala UI" w:eastAsia="Nirmala UI" w:cs="Nirmala UI"/>
        </w:rPr>
        <w:t>গ্রহণ</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ইহা</w:t>
      </w:r>
      <w:r>
        <w:rPr>
          <w:rFonts w:ascii="Times New Roman" w:hAnsi="Times New Roman" w:eastAsia="Times New Roman" w:cs="Times New Roman"/>
        </w:rPr>
        <w:t xml:space="preserve"> “</w:t>
      </w:r>
      <w:r>
        <w:rPr>
          <w:rFonts w:ascii="Nirmala UI" w:hAnsi="Nirmala UI" w:eastAsia="Nirmala UI" w:cs="Nirmala UI"/>
        </w:rPr>
        <w:t>ছিটানো</w:t>
      </w:r>
      <w:r>
        <w:rPr>
          <w:rFonts w:ascii="Times New Roman" w:hAnsi="Times New Roman" w:eastAsia="Times New Roman" w:cs="Times New Roman"/>
        </w:rPr>
        <w:t xml:space="preserve">” </w:t>
      </w:r>
      <w:r>
        <w:rPr>
          <w:rFonts w:ascii="Nirmala UI" w:hAnsi="Nirmala UI" w:eastAsia="Nirmala UI" w:cs="Nirmala UI"/>
        </w:rPr>
        <w:t>দ্বারা</w:t>
      </w:r>
      <w:r>
        <w:rPr>
          <w:rFonts w:ascii="Times New Roman" w:hAnsi="Times New Roman" w:eastAsia="Times New Roman" w:cs="Times New Roman"/>
        </w:rPr>
        <w:t xml:space="preserve"> </w:t>
      </w:r>
      <w:r>
        <w:rPr>
          <w:rFonts w:ascii="Nirmala UI" w:hAnsi="Nirmala UI" w:eastAsia="Nirmala UI" w:cs="Nirmala UI"/>
        </w:rPr>
        <w:t>আরম্ভ</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পরে</w:t>
      </w:r>
      <w:r>
        <w:rPr>
          <w:rFonts w:ascii="Times New Roman" w:hAnsi="Times New Roman" w:eastAsia="Times New Roman" w:cs="Times New Roman"/>
        </w:rPr>
        <w:t xml:space="preserve"> </w:t>
      </w:r>
      <w:r>
        <w:rPr>
          <w:rFonts w:ascii="Nirmala UI" w:hAnsi="Nirmala UI" w:eastAsia="Nirmala UI" w:cs="Nirmala UI"/>
        </w:rPr>
        <w:t>পূর্ণ</w:t>
      </w:r>
      <w:r>
        <w:rPr>
          <w:rFonts w:ascii="Times New Roman" w:hAnsi="Times New Roman" w:eastAsia="Times New Roman" w:cs="Times New Roman"/>
        </w:rPr>
        <w:t xml:space="preserve"> </w:t>
      </w:r>
      <w:r>
        <w:rPr>
          <w:rFonts w:ascii="Nirmala UI" w:hAnsi="Nirmala UI" w:eastAsia="Nirmala UI" w:cs="Nirmala UI"/>
        </w:rPr>
        <w:t>বর্ষণে</w:t>
      </w:r>
      <w:r>
        <w:rPr>
          <w:rFonts w:ascii="Times New Roman" w:hAnsi="Times New Roman" w:eastAsia="Times New Roman" w:cs="Times New Roman"/>
        </w:rPr>
        <w:t xml:space="preserve"> </w:t>
      </w:r>
      <w:r>
        <w:rPr>
          <w:rFonts w:ascii="Nirmala UI" w:hAnsi="Nirmala UI" w:eastAsia="Nirmala UI" w:cs="Nirmala UI"/>
        </w:rPr>
        <w:t>পরিণত</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যখন</w:t>
      </w:r>
      <w:r>
        <w:rPr>
          <w:rFonts w:ascii="Times New Roman" w:hAnsi="Times New Roman" w:eastAsia="Times New Roman" w:cs="Times New Roman"/>
        </w:rPr>
        <w:t xml:space="preserve"> </w:t>
      </w:r>
      <w:r>
        <w:rPr>
          <w:rFonts w:ascii="Nirmala UI" w:hAnsi="Nirmala UI" w:eastAsia="Nirmala UI" w:cs="Nirmala UI"/>
        </w:rPr>
        <w:t>পতাকার</w:t>
      </w:r>
      <w:r>
        <w:rPr>
          <w:rFonts w:ascii="Times New Roman" w:hAnsi="Times New Roman" w:eastAsia="Times New Roman" w:cs="Times New Roman"/>
        </w:rPr>
        <w:t xml:space="preserve"> </w:t>
      </w:r>
      <w:r>
        <w:rPr>
          <w:rFonts w:ascii="Nirmala UI" w:hAnsi="Nirmala UI" w:eastAsia="Nirmala UI" w:cs="Nirmala UI"/>
        </w:rPr>
        <w:t>দ্বারা</w:t>
      </w:r>
      <w:r>
        <w:rPr>
          <w:rFonts w:ascii="Times New Roman" w:hAnsi="Times New Roman" w:eastAsia="Times New Roman" w:cs="Times New Roman"/>
        </w:rPr>
        <w:t xml:space="preserve"> </w:t>
      </w:r>
      <w:r>
        <w:rPr>
          <w:rFonts w:ascii="Nirmala UI" w:hAnsi="Nirmala UI" w:eastAsia="Nirmala UI" w:cs="Nirmala UI"/>
        </w:rPr>
        <w:t>উপস্থাপিত</w:t>
      </w:r>
      <w:r>
        <w:rPr>
          <w:rFonts w:ascii="Times New Roman" w:hAnsi="Times New Roman" w:eastAsia="Times New Roman" w:cs="Times New Roman"/>
        </w:rPr>
        <w:t xml:space="preserve"> </w:t>
      </w:r>
      <w:r>
        <w:rPr>
          <w:rFonts w:ascii="Nirmala UI" w:hAnsi="Nirmala UI" w:eastAsia="Nirmala UI" w:cs="Nirmala UI"/>
        </w:rPr>
        <w:t>ফলে</w:t>
      </w:r>
      <w:r>
        <w:rPr>
          <w:rFonts w:ascii="Times New Roman" w:hAnsi="Times New Roman" w:eastAsia="Times New Roman" w:cs="Times New Roman"/>
        </w:rPr>
        <w:t xml:space="preserve"> </w:t>
      </w:r>
      <w:r>
        <w:rPr>
          <w:rFonts w:ascii="Nirmala UI" w:hAnsi="Nirmala UI" w:eastAsia="Nirmala UI" w:cs="Nirmala UI"/>
        </w:rPr>
        <w:t>জগৎ</w:t>
      </w:r>
      <w:r>
        <w:rPr>
          <w:rFonts w:ascii="Times New Roman" w:hAnsi="Times New Roman" w:eastAsia="Times New Roman" w:cs="Times New Roman"/>
        </w:rPr>
        <w:t xml:space="preserve"> </w:t>
      </w:r>
      <w:r>
        <w:rPr>
          <w:rFonts w:ascii="Nirmala UI" w:hAnsi="Nirmala UI" w:eastAsia="Nirmala UI" w:cs="Nirmala UI"/>
        </w:rPr>
        <w:t>পরিপূর্ণ</w:t>
      </w:r>
      <w:r>
        <w:rPr>
          <w:rFonts w:ascii="Times New Roman" w:hAnsi="Times New Roman" w:eastAsia="Times New Roman" w:cs="Times New Roman"/>
        </w:rPr>
        <w:t xml:space="preserve"> </w:t>
      </w:r>
      <w:r>
        <w:rPr>
          <w:rFonts w:ascii="Nirmala UI" w:hAnsi="Nirmala UI" w:eastAsia="Nirmala UI" w:cs="Nirmala UI"/>
        </w:rPr>
        <w:t>হয়।</w:t>
      </w:r>
    </w:p>
    <w:p>
      <w:pPr>
        <w:pStyle w:val="ArticleBody"/>
        <w:jc w:val="left"/>
      </w:pPr>
      <w:r>
        <w:rPr>
          <w:rFonts w:ascii="Times New Roman" w:hAnsi="Times New Roman" w:eastAsia="Times New Roman" w:cs="Times New Roman"/>
        </w:rPr>
        <w:t>Nilang izkapitulo bente-siyete ti Isaias, ti pannakairugi ti pannakaiwaras ti tudo ket naipakita a mapasamak idiay panawen a dagiti sabong ket “agpudot.” Idi umuna a “agpudot”da, ti tudo ket mailasin a naibuybuya “a sipapaut.” “A sipapaut, inton agpudot.” Iti Septiembre 11, 2001, ti pannakaiwaras ti udan iti maudi a tiempo ket nangrugi a maibuybuya “a sipapaut,” ta iti dayta a tiempo dagiti trigo ken zizaña, wenno dagiti masirib ken dagiti maag, ket nairaman pay laeng a sangsangkamaysa.</w:t>
      </w:r>
    </w:p>
    <w:p>
      <w:pPr>
        <w:pStyle w:val="ArticleScripture"/>
        <w:jc w:val="left"/>
      </w:pPr>
      <w:r>
        <w:rPr>
          <w:rFonts w:ascii="Times New Roman" w:hAnsi="Times New Roman" w:eastAsia="Times New Roman" w:cs="Times New Roman"/>
        </w:rPr>
        <w:t>“Umenekano mkuu wa Roho wa Mungu, ambao huutia nuru ulimwengu wote kwa utukufu wake, hautakuja mpaka tutakapokuwa watu walioangaziwa, wanaojua kwa uzoefu maana ya kuwa watenda kazi pamoja na Mungu. Tutakapokuwa na wakfu kamili wa moyo wote kwa utumishi wa Kristo, Mungu ataitambua hali hiyo kwa umwagiko wa Roho wake usio na kipimo; lakini jambo hili halitatokea ilhali sehemu kubwa zaidi ya kanisa si watenda kazi pamoja na Mungu. Mungu hawezi kumwaga Roho wake wakati ubinafsi na kujisitiri nafsi vinapoonekana wazi hivyo; wakati roho inapotawala ambayo, kama ingewekwa katika maneno, ingeeleza jibu lile la Kaini,—‘Je, mimi ni mlinzi wa ndugu yangu?’ Ikiwa kweli ya wakati huu, ikiwa ishara zinazozidi kuongezeka kila upande, zinazoshuhudia kwamba mwisho wa mambo yote umekaribia, hazitoshi kuamsha nguvu zilizolala za wale wanaokiri kuijua kweli, basi giza linalolingana na nuru ambayo imekuwa ikiangaza litawapata nafsi hizi. Hakuna hata mfano wa udhuru kwa kutokujali kwao ambao wataweza kuuwasilisha kwa Mungu katika siku ile kuu ya hesabu ya mwisho. Hakutakuwa na sababu ya kutoa kuhusu kwa nini hawakuishi na kutembea na kutenda kazi katika nuru ya kweli takatifu ya neno la Mungu, na hivyo kuufunulia ulimwengu uliotiwa giza na dhambi, kwa mwenendo wao, huruma yao, na juhudi yao, kwamba nguvu na uhalisi wa injili havingeweza kupingwa.” Review and Herald, July 21, 1896.</w:t>
      </w:r>
    </w:p>
    <w:p>
      <w:pPr>
        <w:pStyle w:val="ArticleBody"/>
        <w:jc w:val="left"/>
      </w:pPr>
      <w:r>
        <w:rPr>
          <w:rFonts w:ascii="Times New Roman" w:hAnsi="Times New Roman" w:eastAsia="Times New Roman" w:cs="Times New Roman"/>
        </w:rPr>
        <w:t>Ésaïe vingt-sept présente l’histoire du commencement de l’effusion de la pluie de l’arrière-saison, lorsque la racine pousse d’une terre desséchée, puis tout au long du processus jusqu’à ce que la terre soit remplie de fruit. Le chapitre indique que « c’est avec mesure, quand elle pousse, que tu débattras avec elle ». Lorsque la pluie de l’arrière-saison est mesurée comme une « aspersion », Sœur White déclare que la pluie de l’arrière-saison « peut tomber sur les cœurs tout autour de nous, mais nous ne la discernerons ni ne la recevrons ».</w:t>
      </w:r>
    </w:p>
    <w:p>
      <w:pPr>
        <w:pStyle w:val="ArticleBody"/>
        <w:jc w:val="left"/>
      </w:pPr>
      <w:r>
        <w:rPr>
          <w:rFonts w:ascii="Times New Roman" w:hAnsi="Times New Roman" w:eastAsia="Times New Roman" w:cs="Times New Roman"/>
        </w:rPr>
        <w:t>En ce faisant, elle désigne une Église mêlée de personnes dont les unes reconnaissent la chute de la pluie, et les autres ne la reconnaissent pas. Dans le passage précédent, elle indique que, lorsque Dieu répand la pluie de l’arrière-saison sans mesure, cela marque le moment où il n’y a plus de mélange de vierges sages et de vierges folles, en déclarant : « Lorsque nous aurons une consécration entière et de tout cœur au service du Christ, Dieu en reconnaîtra la réalité par une effusion de son Esprit sans mesure ; mais cela n’aura pas lieu tant que la plus grande partie de l’Église ne sera pas ouvrière avec Dieu. »</w:t>
      </w:r>
    </w:p>
    <w:p>
      <w:pPr>
        <w:pStyle w:val="ArticleBody"/>
        <w:jc w:val="left"/>
      </w:pPr>
      <w:r>
        <w:rPr>
          <w:rFonts w:ascii="Times New Roman" w:hAnsi="Times New Roman" w:eastAsia="Times New Roman" w:cs="Times New Roman"/>
        </w:rPr>
        <w:t>Ɔfaa kɛse no a ɛwɔ asafo no mu, anaa asafo no mu dɔm no, wɔgyina hɔ ma wɔn a wɔyɛ mmeawa nkwaseafoɔ wɔ Mateo aduonu-num mu, efisɛ Kyerɛwsɛm mu no “bebree” na wɔfrɛ wɔn, na “kakraa bi” na wɔpaw wɔn. Wɔnam ɔsoro ahyɛdeɛ so twe nyansafoɔ ne nkwaseafoɔ no mu guare wɔ anadwo mfinimfini mu ahokyere no mu, a ɛdi Memeneda da mmara a ɛrebɛba ntɛm no anim. Saa ntetewmu no ma ɔman bi siesie wɔn a afei wɔbɛtumi agye Honhom no hwiegu ma ɛyɛ pɛ wɔ osutɔ a ɛtwa toɔ no mu na wɔadane “ɔman a wɔwo no da koro mu” no. Afei Yese nhini no bɛma so sɛ frankaa, na ahyɛ wiase nyinaa ma aba.</w:t>
      </w:r>
    </w:p>
    <w:p>
      <w:pPr>
        <w:pStyle w:val="ArticleBody"/>
        <w:jc w:val="left"/>
      </w:pPr>
      <w:r>
        <w:rPr>
          <w:rFonts w:ascii="Times New Roman" w:hAnsi="Times New Roman" w:eastAsia="Times New Roman" w:cs="Times New Roman"/>
        </w:rPr>
        <w:t>Исаия, двадцать седьмая глава, указывает, что когда поздний дождь начал изливаться «мерою», 11 сентября 2001 года, «ты будешь состязаться с ним». «Мерою, когда он пойдёт, Ты будешь состязаться с ним». Событие 11 сентября 2001 года немедленно стало предметом споров в мире и в церкви. И по сей день — более чем двадцать лет спустя — всё ещё существуют доводы против того, чтобы приписывать эти события деянию ислама, в противоположность некоей форме глобалистского заговора. Спор, связанный с приходом кропления позднего дождя, начался 11 сентября 2001 года, но споры, ведущиеся в мире, не являются тем «состязанием», которое обозначено в пророческом Слове Божьем. Это состязание касается таких предсказаний, как то, что следует далее.</w:t>
      </w:r>
    </w:p>
    <w:p>
      <w:pPr>
        <w:pStyle w:val="ArticleScripture"/>
        <w:jc w:val="left"/>
      </w:pPr>
      <w:r>
        <w:rPr>
          <w:rFonts w:ascii="Times New Roman" w:hAnsi="Times New Roman" w:eastAsia="Times New Roman" w:cs="Times New Roman"/>
        </w:rPr>
        <w:t>«Un jour, alors que je me trouvais à New York, je fus appelée, au cours de la nuit, à contempler des édifices qui s’élevaient, étage après étage, vers le ciel. Ces bâtiments étaient garantis comme étant à l’épreuve du feu, et ils avaient été construits pour glorifier leurs propriétaires et leurs bâtisseurs. Toujours plus haut ils s’élevaient, et l’on y employait les matériaux les plus coûteux. Ceux à qui appartenaient ces édifices ne se demandaient pas: “Comment pouvons-nous le mieux glorifier Dieu?” Le Seigneur n’était pas dans leurs pensées. »</w:t>
      </w:r>
    </w:p>
    <w:p>
      <w:pPr>
        <w:pStyle w:val="ArticleScripture"/>
        <w:jc w:val="left"/>
      </w:pPr>
      <w:r>
        <w:rPr>
          <w:rFonts w:ascii="Times New Roman" w:hAnsi="Times New Roman" w:eastAsia="Times New Roman" w:cs="Times New Roman"/>
        </w:rPr>
        <w:t>«Je me disais: “Oh! si ceux qui investissent ainsi leurs biens pouvaient voir leur conduite comme Dieu la voit! Ils entassent de magnifiques bâtiments; mais combien leur planification et leurs desseins sont insensés aux yeux du Souverain de l’univers! Ils n’étudient pas, de toutes les puissances du cœur et de l’esprit, comment ils peuvent glorifier Dieu. Ils ont perdu de vue ceci, le premier devoir de l’homme.”»</w:t>
      </w:r>
    </w:p>
    <w:p>
      <w:pPr>
        <w:pStyle w:val="ArticleScripture"/>
        <w:jc w:val="left"/>
      </w:pPr>
      <w:r>
        <w:rPr>
          <w:rFonts w:ascii="Times New Roman" w:hAnsi="Times New Roman" w:eastAsia="Times New Roman" w:cs="Times New Roman"/>
        </w:rPr>
        <w:t>عندما ارتفعت هذه الأبنية الشامخة، ابتهج أصحابها بكبرياءٍ طموح، إذ كان لديهم مالٌ يستخدمونه في إرضاء ذواتهم وإثارة حسد جيرانهم. وكثيرٌ من المال الذي استثمروه على هذا النحو قد حُصِّل بالابتزاز، وبسحق الفقراء وإرهاقهم. وقد نسوا أن في السماء يُحفَظ حسابٌ لكل معاملةٍ تجارية؛ وكل صفقةٍ جائرة، وكل عملٍ احتيالي، مُسجَّل هناك. ويأتي وقتٌ يبلغ فيه الناس، في احتيالهم ووقاحتهم، حدًّا لا يسمح الرب لهم أن يتجاوزوه، وسيتعلّمون أن لأناة يهوه حدًّا.</w:t>
      </w:r>
    </w:p>
    <w:p>
      <w:pPr>
        <w:pStyle w:val="ArticleScripture"/>
        <w:jc w:val="left"/>
      </w:pPr>
      <w:r>
        <w:rPr>
          <w:rFonts w:ascii="Sylfaen" w:hAnsi="Sylfaen" w:eastAsia="Sylfaen" w:cs="Sylfaen"/>
        </w:rPr>
        <w:t>შემდეგ</w:t>
      </w:r>
      <w:r>
        <w:rPr>
          <w:rFonts w:ascii="Times New Roman" w:hAnsi="Times New Roman" w:eastAsia="Times New Roman" w:cs="Times New Roman"/>
        </w:rPr>
        <w:t xml:space="preserve"> </w:t>
      </w:r>
      <w:r>
        <w:rPr>
          <w:rFonts w:ascii="Sylfaen" w:hAnsi="Sylfaen" w:eastAsia="Sylfaen" w:cs="Sylfaen"/>
        </w:rPr>
        <w:t>ჩემს</w:t>
      </w:r>
      <w:r>
        <w:rPr>
          <w:rFonts w:ascii="Times New Roman" w:hAnsi="Times New Roman" w:eastAsia="Times New Roman" w:cs="Times New Roman"/>
        </w:rPr>
        <w:t xml:space="preserve"> </w:t>
      </w:r>
      <w:r>
        <w:rPr>
          <w:rFonts w:ascii="Sylfaen" w:hAnsi="Sylfaen" w:eastAsia="Sylfaen" w:cs="Sylfaen"/>
        </w:rPr>
        <w:t>წინაშე</w:t>
      </w:r>
      <w:r>
        <w:rPr>
          <w:rFonts w:ascii="Times New Roman" w:hAnsi="Times New Roman" w:eastAsia="Times New Roman" w:cs="Times New Roman"/>
        </w:rPr>
        <w:t xml:space="preserve"> </w:t>
      </w:r>
      <w:r>
        <w:rPr>
          <w:rFonts w:ascii="Sylfaen" w:hAnsi="Sylfaen" w:eastAsia="Sylfaen" w:cs="Sylfaen"/>
        </w:rPr>
        <w:t>წარმოჩნდა</w:t>
      </w:r>
      <w:r>
        <w:rPr>
          <w:rFonts w:ascii="Times New Roman" w:hAnsi="Times New Roman" w:eastAsia="Times New Roman" w:cs="Times New Roman"/>
        </w:rPr>
        <w:t xml:space="preserve"> </w:t>
      </w:r>
      <w:r>
        <w:rPr>
          <w:rFonts w:ascii="Sylfaen" w:hAnsi="Sylfaen" w:eastAsia="Sylfaen" w:cs="Sylfaen"/>
        </w:rPr>
        <w:t>ხანძრის</w:t>
      </w:r>
      <w:r>
        <w:rPr>
          <w:rFonts w:ascii="Times New Roman" w:hAnsi="Times New Roman" w:eastAsia="Times New Roman" w:cs="Times New Roman"/>
        </w:rPr>
        <w:t xml:space="preserve"> </w:t>
      </w:r>
      <w:r>
        <w:rPr>
          <w:rFonts w:ascii="Sylfaen" w:hAnsi="Sylfaen" w:eastAsia="Sylfaen" w:cs="Sylfaen"/>
        </w:rPr>
        <w:t>განგაში</w:t>
      </w:r>
      <w:r>
        <w:rPr>
          <w:rFonts w:ascii="Times New Roman" w:hAnsi="Times New Roman" w:eastAsia="Times New Roman" w:cs="Times New Roman"/>
        </w:rPr>
        <w:t xml:space="preserve">. </w:t>
      </w:r>
      <w:r>
        <w:rPr>
          <w:rFonts w:ascii="Sylfaen" w:hAnsi="Sylfaen" w:eastAsia="Sylfaen" w:cs="Sylfaen"/>
        </w:rPr>
        <w:t>ადამიანები</w:t>
      </w:r>
      <w:r>
        <w:rPr>
          <w:rFonts w:ascii="Times New Roman" w:hAnsi="Times New Roman" w:eastAsia="Times New Roman" w:cs="Times New Roman"/>
        </w:rPr>
        <w:t xml:space="preserve"> </w:t>
      </w:r>
      <w:r>
        <w:rPr>
          <w:rFonts w:ascii="Sylfaen" w:hAnsi="Sylfaen" w:eastAsia="Sylfaen" w:cs="Sylfaen"/>
        </w:rPr>
        <w:t>შეჰყურებდნენ</w:t>
      </w:r>
      <w:r>
        <w:rPr>
          <w:rFonts w:ascii="Times New Roman" w:hAnsi="Times New Roman" w:eastAsia="Times New Roman" w:cs="Times New Roman"/>
        </w:rPr>
        <w:t xml:space="preserve"> </w:t>
      </w:r>
      <w:r>
        <w:rPr>
          <w:rFonts w:ascii="Sylfaen" w:hAnsi="Sylfaen" w:eastAsia="Sylfaen" w:cs="Sylfaen"/>
        </w:rPr>
        <w:t>მაღალ</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ვითომდა</w:t>
      </w:r>
      <w:r>
        <w:rPr>
          <w:rFonts w:ascii="Times New Roman" w:hAnsi="Times New Roman" w:eastAsia="Times New Roman" w:cs="Times New Roman"/>
        </w:rPr>
        <w:t xml:space="preserve"> </w:t>
      </w:r>
      <w:r>
        <w:rPr>
          <w:rFonts w:ascii="Sylfaen" w:hAnsi="Sylfaen" w:eastAsia="Sylfaen" w:cs="Sylfaen"/>
        </w:rPr>
        <w:t>ცეცხლგამძლე</w:t>
      </w:r>
      <w:r>
        <w:rPr>
          <w:rFonts w:ascii="Times New Roman" w:hAnsi="Times New Roman" w:eastAsia="Times New Roman" w:cs="Times New Roman"/>
        </w:rPr>
        <w:t xml:space="preserve"> </w:t>
      </w:r>
      <w:r>
        <w:rPr>
          <w:rFonts w:ascii="Sylfaen" w:hAnsi="Sylfaen" w:eastAsia="Sylfaen" w:cs="Sylfaen"/>
        </w:rPr>
        <w:t>შენობებს</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ამბობდნენ</w:t>
      </w:r>
      <w:r>
        <w:rPr>
          <w:rFonts w:ascii="Times New Roman" w:hAnsi="Times New Roman" w:eastAsia="Times New Roman" w:cs="Times New Roman"/>
        </w:rPr>
        <w:t>: „</w:t>
      </w:r>
      <w:r>
        <w:rPr>
          <w:rFonts w:ascii="Sylfaen" w:hAnsi="Sylfaen" w:eastAsia="Sylfaen" w:cs="Sylfaen"/>
        </w:rPr>
        <w:t>ისინი</w:t>
      </w:r>
      <w:r>
        <w:rPr>
          <w:rFonts w:ascii="Times New Roman" w:hAnsi="Times New Roman" w:eastAsia="Times New Roman" w:cs="Times New Roman"/>
        </w:rPr>
        <w:t xml:space="preserve"> </w:t>
      </w:r>
      <w:r>
        <w:rPr>
          <w:rFonts w:ascii="Sylfaen" w:hAnsi="Sylfaen" w:eastAsia="Sylfaen" w:cs="Sylfaen"/>
        </w:rPr>
        <w:t>სრულიად</w:t>
      </w:r>
      <w:r>
        <w:rPr>
          <w:rFonts w:ascii="Times New Roman" w:hAnsi="Times New Roman" w:eastAsia="Times New Roman" w:cs="Times New Roman"/>
        </w:rPr>
        <w:t xml:space="preserve"> </w:t>
      </w:r>
      <w:r>
        <w:rPr>
          <w:rFonts w:ascii="Sylfaen" w:hAnsi="Sylfaen" w:eastAsia="Sylfaen" w:cs="Sylfaen"/>
        </w:rPr>
        <w:t>უსაფრთხოა</w:t>
      </w:r>
      <w:r>
        <w:rPr>
          <w:rFonts w:ascii="Times New Roman" w:hAnsi="Times New Roman" w:eastAsia="Times New Roman" w:cs="Times New Roman"/>
        </w:rPr>
        <w:t xml:space="preserve">“. </w:t>
      </w:r>
      <w:r>
        <w:rPr>
          <w:rFonts w:ascii="Sylfaen" w:hAnsi="Sylfaen" w:eastAsia="Sylfaen" w:cs="Sylfaen"/>
        </w:rPr>
        <w:t>მაგრამ</w:t>
      </w:r>
      <w:r>
        <w:rPr>
          <w:rFonts w:ascii="Times New Roman" w:hAnsi="Times New Roman" w:eastAsia="Times New Roman" w:cs="Times New Roman"/>
        </w:rPr>
        <w:t xml:space="preserve"> </w:t>
      </w:r>
      <w:r>
        <w:rPr>
          <w:rFonts w:ascii="Sylfaen" w:hAnsi="Sylfaen" w:eastAsia="Sylfaen" w:cs="Sylfaen"/>
        </w:rPr>
        <w:t>ეს</w:t>
      </w:r>
      <w:r>
        <w:rPr>
          <w:rFonts w:ascii="Times New Roman" w:hAnsi="Times New Roman" w:eastAsia="Times New Roman" w:cs="Times New Roman"/>
        </w:rPr>
        <w:t xml:space="preserve"> </w:t>
      </w:r>
      <w:r>
        <w:rPr>
          <w:rFonts w:ascii="Sylfaen" w:hAnsi="Sylfaen" w:eastAsia="Sylfaen" w:cs="Sylfaen"/>
        </w:rPr>
        <w:t>შენობები</w:t>
      </w:r>
      <w:r>
        <w:rPr>
          <w:rFonts w:ascii="Times New Roman" w:hAnsi="Times New Roman" w:eastAsia="Times New Roman" w:cs="Times New Roman"/>
        </w:rPr>
        <w:t xml:space="preserve"> </w:t>
      </w:r>
      <w:r>
        <w:rPr>
          <w:rFonts w:ascii="Sylfaen" w:hAnsi="Sylfaen" w:eastAsia="Sylfaen" w:cs="Sylfaen"/>
        </w:rPr>
        <w:t>ისე</w:t>
      </w:r>
      <w:r>
        <w:rPr>
          <w:rFonts w:ascii="Times New Roman" w:hAnsi="Times New Roman" w:eastAsia="Times New Roman" w:cs="Times New Roman"/>
        </w:rPr>
        <w:t xml:space="preserve"> </w:t>
      </w:r>
      <w:r>
        <w:rPr>
          <w:rFonts w:ascii="Sylfaen" w:hAnsi="Sylfaen" w:eastAsia="Sylfaen" w:cs="Sylfaen"/>
        </w:rPr>
        <w:t>დაიწვა</w:t>
      </w:r>
      <w:r>
        <w:rPr>
          <w:rFonts w:ascii="Times New Roman" w:hAnsi="Times New Roman" w:eastAsia="Times New Roman" w:cs="Times New Roman"/>
        </w:rPr>
        <w:t xml:space="preserve">, </w:t>
      </w:r>
      <w:r>
        <w:rPr>
          <w:rFonts w:ascii="Sylfaen" w:hAnsi="Sylfaen" w:eastAsia="Sylfaen" w:cs="Sylfaen"/>
        </w:rPr>
        <w:t>თითქოს</w:t>
      </w:r>
      <w:r>
        <w:rPr>
          <w:rFonts w:ascii="Times New Roman" w:hAnsi="Times New Roman" w:eastAsia="Times New Roman" w:cs="Times New Roman"/>
        </w:rPr>
        <w:t xml:space="preserve"> </w:t>
      </w:r>
      <w:r>
        <w:rPr>
          <w:rFonts w:ascii="Sylfaen" w:hAnsi="Sylfaen" w:eastAsia="Sylfaen" w:cs="Sylfaen"/>
        </w:rPr>
        <w:t>ფისისაგან</w:t>
      </w:r>
      <w:r>
        <w:rPr>
          <w:rFonts w:ascii="Times New Roman" w:hAnsi="Times New Roman" w:eastAsia="Times New Roman" w:cs="Times New Roman"/>
        </w:rPr>
        <w:t xml:space="preserve"> </w:t>
      </w:r>
      <w:r>
        <w:rPr>
          <w:rFonts w:ascii="Sylfaen" w:hAnsi="Sylfaen" w:eastAsia="Sylfaen" w:cs="Sylfaen"/>
        </w:rPr>
        <w:t>ყოფილიყო</w:t>
      </w:r>
      <w:r>
        <w:rPr>
          <w:rFonts w:ascii="Times New Roman" w:hAnsi="Times New Roman" w:eastAsia="Times New Roman" w:cs="Times New Roman"/>
        </w:rPr>
        <w:t xml:space="preserve"> </w:t>
      </w:r>
      <w:r>
        <w:rPr>
          <w:rFonts w:ascii="Sylfaen" w:hAnsi="Sylfaen" w:eastAsia="Sylfaen" w:cs="Sylfaen"/>
        </w:rPr>
        <w:t>გაკეთებული</w:t>
      </w:r>
      <w:r>
        <w:rPr>
          <w:rFonts w:ascii="Times New Roman" w:hAnsi="Times New Roman" w:eastAsia="Times New Roman" w:cs="Times New Roman"/>
        </w:rPr>
        <w:t xml:space="preserve">. </w:t>
      </w:r>
      <w:r>
        <w:rPr>
          <w:rFonts w:ascii="Sylfaen" w:hAnsi="Sylfaen" w:eastAsia="Sylfaen" w:cs="Sylfaen"/>
        </w:rPr>
        <w:t>სახანძრო</w:t>
      </w:r>
      <w:r>
        <w:rPr>
          <w:rFonts w:ascii="Times New Roman" w:hAnsi="Times New Roman" w:eastAsia="Times New Roman" w:cs="Times New Roman"/>
        </w:rPr>
        <w:t xml:space="preserve"> </w:t>
      </w:r>
      <w:r>
        <w:rPr>
          <w:rFonts w:ascii="Sylfaen" w:hAnsi="Sylfaen" w:eastAsia="Sylfaen" w:cs="Sylfaen"/>
        </w:rPr>
        <w:t>ტუმბოებს</w:t>
      </w:r>
      <w:r>
        <w:rPr>
          <w:rFonts w:ascii="Times New Roman" w:hAnsi="Times New Roman" w:eastAsia="Times New Roman" w:cs="Times New Roman"/>
        </w:rPr>
        <w:t xml:space="preserve"> </w:t>
      </w:r>
      <w:r>
        <w:rPr>
          <w:rFonts w:ascii="Sylfaen" w:hAnsi="Sylfaen" w:eastAsia="Sylfaen" w:cs="Sylfaen"/>
        </w:rPr>
        <w:t>ვერაფერი</w:t>
      </w:r>
      <w:r>
        <w:rPr>
          <w:rFonts w:ascii="Times New Roman" w:hAnsi="Times New Roman" w:eastAsia="Times New Roman" w:cs="Times New Roman"/>
        </w:rPr>
        <w:t xml:space="preserve"> </w:t>
      </w:r>
      <w:r>
        <w:rPr>
          <w:rFonts w:ascii="Sylfaen" w:hAnsi="Sylfaen" w:eastAsia="Sylfaen" w:cs="Sylfaen"/>
        </w:rPr>
        <w:t>შეეძლოთ</w:t>
      </w:r>
      <w:r>
        <w:rPr>
          <w:rFonts w:ascii="Times New Roman" w:hAnsi="Times New Roman" w:eastAsia="Times New Roman" w:cs="Times New Roman"/>
        </w:rPr>
        <w:t xml:space="preserve"> </w:t>
      </w:r>
      <w:r>
        <w:rPr>
          <w:rFonts w:ascii="Sylfaen" w:hAnsi="Sylfaen" w:eastAsia="Sylfaen" w:cs="Sylfaen"/>
        </w:rPr>
        <w:t>განადგურების</w:t>
      </w:r>
      <w:r>
        <w:rPr>
          <w:rFonts w:ascii="Times New Roman" w:hAnsi="Times New Roman" w:eastAsia="Times New Roman" w:cs="Times New Roman"/>
        </w:rPr>
        <w:t xml:space="preserve"> </w:t>
      </w:r>
      <w:r>
        <w:rPr>
          <w:rFonts w:ascii="Sylfaen" w:hAnsi="Sylfaen" w:eastAsia="Sylfaen" w:cs="Sylfaen"/>
        </w:rPr>
        <w:t>შესაჩერებლად</w:t>
      </w:r>
      <w:r>
        <w:rPr>
          <w:rFonts w:ascii="Times New Roman" w:hAnsi="Times New Roman" w:eastAsia="Times New Roman" w:cs="Times New Roman"/>
        </w:rPr>
        <w:t xml:space="preserve">. </w:t>
      </w:r>
      <w:r>
        <w:rPr>
          <w:rFonts w:ascii="Sylfaen" w:hAnsi="Sylfaen" w:eastAsia="Sylfaen" w:cs="Sylfaen"/>
        </w:rPr>
        <w:t>მეხანძრეებს</w:t>
      </w:r>
      <w:r>
        <w:rPr>
          <w:rFonts w:ascii="Times New Roman" w:hAnsi="Times New Roman" w:eastAsia="Times New Roman" w:cs="Times New Roman"/>
        </w:rPr>
        <w:t xml:space="preserve"> </w:t>
      </w:r>
      <w:r>
        <w:rPr>
          <w:rFonts w:ascii="Sylfaen" w:hAnsi="Sylfaen" w:eastAsia="Sylfaen" w:cs="Sylfaen"/>
        </w:rPr>
        <w:t>არ</w:t>
      </w:r>
      <w:r>
        <w:rPr>
          <w:rFonts w:ascii="Times New Roman" w:hAnsi="Times New Roman" w:eastAsia="Times New Roman" w:cs="Times New Roman"/>
        </w:rPr>
        <w:t xml:space="preserve"> </w:t>
      </w:r>
      <w:r>
        <w:rPr>
          <w:rFonts w:ascii="Sylfaen" w:hAnsi="Sylfaen" w:eastAsia="Sylfaen" w:cs="Sylfaen"/>
        </w:rPr>
        <w:t>ძალუძდათ</w:t>
      </w:r>
      <w:r>
        <w:rPr>
          <w:rFonts w:ascii="Times New Roman" w:hAnsi="Times New Roman" w:eastAsia="Times New Roman" w:cs="Times New Roman"/>
        </w:rPr>
        <w:t xml:space="preserve"> </w:t>
      </w:r>
      <w:r>
        <w:rPr>
          <w:rFonts w:ascii="Sylfaen" w:hAnsi="Sylfaen" w:eastAsia="Sylfaen" w:cs="Sylfaen"/>
        </w:rPr>
        <w:t>ტუმბოების</w:t>
      </w:r>
      <w:r>
        <w:rPr>
          <w:rFonts w:ascii="Times New Roman" w:hAnsi="Times New Roman" w:eastAsia="Times New Roman" w:cs="Times New Roman"/>
        </w:rPr>
        <w:t xml:space="preserve"> </w:t>
      </w:r>
      <w:r>
        <w:rPr>
          <w:rFonts w:ascii="Sylfaen" w:hAnsi="Sylfaen" w:eastAsia="Sylfaen" w:cs="Sylfaen"/>
        </w:rPr>
        <w:t>ამოქმედება</w:t>
      </w:r>
      <w:r>
        <w:rPr>
          <w:rFonts w:ascii="Times New Roman" w:hAnsi="Times New Roman" w:eastAsia="Times New Roman" w:cs="Times New Roman"/>
        </w:rPr>
        <w:t>.“ Testimonies, volume 9, 12, 13.</w:t>
      </w:r>
    </w:p>
    <w:p>
      <w:pPr>
        <w:pStyle w:val="ArticleBody"/>
        <w:jc w:val="left"/>
      </w:pPr>
      <w:r>
        <w:rPr>
          <w:rFonts w:ascii="Times New Roman" w:hAnsi="Times New Roman" w:eastAsia="Times New Roman" w:cs="Times New Roman"/>
        </w:rPr>
        <w:t>Adventistkyrkan sökte omedelbart efter den 11 september 2001 att dölja sådana avsnitt som detta för världen. Hur skulle detta inte kunna handla om New York City och de oerhört höga byggnader vilkas efterföljande bränder brandbilarna inte kunde hejda? Hur skulle ett sådant avsnitt ur de skrifter som Adventistkyrkan bekänner vara skrivna av en profetissa inte förkunnas från hustaken efter en sådan uppfyllelse som denna?</w:t>
      </w:r>
    </w:p>
    <w:p>
      <w:pPr>
        <w:pStyle w:val="ArticleBody"/>
        <w:jc w:val="left"/>
      </w:pPr>
      <w:r>
        <w:rPr>
          <w:rFonts w:ascii="Times New Roman" w:hAnsi="Times New Roman" w:eastAsia="Times New Roman" w:cs="Times New Roman"/>
        </w:rPr>
        <w:t>La venue de l’aspersion de la pluie de l’arrière-saison, qui marque l’arrivée du « débat » prophétique, identifie également la rébellion finale de l’adventisme, car c’est là qu’ils rejettent pleinement les paroles claires et simples de celle qu’ils reconnaissent comme la prophétesse du reste.</w:t>
      </w:r>
    </w:p>
    <w:p>
      <w:pPr>
        <w:pStyle w:val="ArticleScripture"/>
        <w:jc w:val="left"/>
      </w:pPr>
      <w:r>
        <w:rPr>
          <w:rFonts w:ascii="Times New Roman" w:hAnsi="Times New Roman" w:eastAsia="Times New Roman" w:cs="Times New Roman"/>
        </w:rPr>
        <w:t>«Сатана постоянно навязывает поддельное, чтобы увести от истины. Самым последним обольщением сатаны будет сделать свидетельство Духа Божьего недейственным. „Без откровения свыше народ необуздан“ (Притчи 29:18). Сатана будет действовать изобретательно, различными способами и через различные средства, чтобы поколебать доверие остатка Божьего народа к истинному свидетельству. »</w:t>
      </w:r>
    </w:p>
    <w:p>
      <w:pPr>
        <w:pStyle w:val="ArticleScripture"/>
        <w:jc w:val="left"/>
      </w:pPr>
      <w:r>
        <w:rPr>
          <w:rFonts w:ascii="Times New Roman" w:hAnsi="Times New Roman" w:eastAsia="Times New Roman" w:cs="Times New Roman"/>
        </w:rPr>
        <w:t>«Куәліктерге қарсы шайтандық өшпенділік тұтанады. Шайтанның әрекеттері шіркеулердің оларға деген сенімін шайқалтуға бағытталады, себебі егер Құдай Рухының ескертулері, әшкерелеулері және кеңестері ескерілсе, Шайтан өз алдауларын енгізіп, жандарды өз адасуларына байлап қою үшін соншалық айқын жолға ие бола алмайды». Selected Messages, book 1, 48.</w:t>
      </w:r>
    </w:p>
    <w:p>
      <w:pPr>
        <w:pStyle w:val="ArticleBody"/>
        <w:jc w:val="left"/>
      </w:pPr>
      <w:r>
        <w:rPr>
          <w:rFonts w:ascii="Times New Roman" w:hAnsi="Times New Roman" w:eastAsia="Times New Roman" w:cs="Times New Roman"/>
        </w:rPr>
        <w:t>Kufungwa kwa kinabii kwa ngano na magugu kulianza tarehe 11 Septemba, 2001, kwa uasi dhidi ya Roho ya Unabii, ambao uliashiria hitimisho la uasi wa hatua kwa hatua ulioanza dhidi ya Biblia mnamo 1863.</w:t>
      </w:r>
    </w:p>
    <w:p>
      <w:pPr>
        <w:pStyle w:val="ArticleScripture"/>
        <w:jc w:val="left"/>
      </w:pPr>
      <w:r>
        <w:rPr>
          <w:rFonts w:ascii="Times New Roman" w:hAnsi="Times New Roman" w:eastAsia="Times New Roman" w:cs="Times New Roman"/>
        </w:rPr>
        <w:t>«Nnabantu, tweyita nti tulina amazima nga twasooka abantu abalala bonna abali ku nsi. Kale obulamu bwaffe n’empisa zaffe birina okukwatagana n’okukkiriza ng’okwo. Olunaku luli kumpi nnyo lwe balibikkiriza abatuukirivu ng’eŋŋaano ey’omuwendo mu bibbo okuteekebwa mu ggwanika ery’omu ggulu, ate ababi bo, ng’omuddo, balikung’aanyizibwa ku muliro egy’olunaku olusembayo olukulu. Naye eŋŋaano n’omuddo ‘bikula wamu okutuusa amakungula lwe galituuka.’» Testimonies, volume 5, 100.</w:t>
      </w:r>
    </w:p>
    <w:p>
      <w:pPr>
        <w:pStyle w:val="ArticleBody"/>
        <w:jc w:val="left"/>
      </w:pPr>
      <w:r>
        <w:rPr>
          <w:rFonts w:ascii="Times New Roman" w:hAnsi="Times New Roman" w:eastAsia="Times New Roman" w:cs="Times New Roman"/>
        </w:rPr>
        <w:t>Comment l’adventisme pourrait-il ignorer le passage suivant, qui déclare directement que, lorsque ces édifices s’écrouleraient, Apocalypse dix-huit, versets un à trois, s’accomplirait ?</w:t>
      </w:r>
    </w:p>
    <w:p>
      <w:pPr>
        <w:pStyle w:val="ArticleScripture"/>
        <w:jc w:val="left"/>
      </w:pPr>
      <w:r>
        <w:rPr>
          <w:rFonts w:ascii="Times New Roman" w:hAnsi="Times New Roman" w:eastAsia="Times New Roman" w:cs="Times New Roman"/>
        </w:rPr>
        <w:t>“Na liye liloba oyo nasakolaki ete New York ekolongolama na mbonge monene ya mayi? Yango nalobá naino te. Nalobaki ete, wana nazalaki kotala bandako minene oyo ezalaki kotongama kuna, etando likolo ya etando, ‘Bimonaneli ya nsɔmɔ boni ekosalema ntango Nkolo akotelema mpo na koningisa mabele na ndenge ya nsɔmɔ! Bongo maloba ya Emoniseli 18:1–3 ekokokisama.’ Mokapo mobimba ya zomi na mwambe ya Emoniseli ezali likebisi mpo na oyo ezali koya likoló ya mabele. Kasi nazali na pole moko te ya sikisiki na oyo etali oyo ezali koya likoló ya New York, longola kaka ete nayebi ete mokolo moko bandako minene kuna ekobwakama na kobongwana mpe kobongwana lisusu ya nguya ya Nzambe. Longola na pole oyo epesameli ngai, nayebi ete libebi ezali kati na mokili. Liloba moko uta na Nkolo, kosimba moko ya nguya na ye ya makasi, mpe bandako minene oyo ya kilo ekokweya. Bimonaneli ekosalema oyo nsɔmɔ na yango tokoki ata kokanisa te.” Review and Herald, July 5, 1906.</w:t>
      </w:r>
    </w:p>
    <w:p>
      <w:pPr>
        <w:pStyle w:val="ArticleBody"/>
        <w:jc w:val="left"/>
      </w:pPr>
      <w:r>
        <w:rPr>
          <w:rFonts w:ascii="Times New Roman" w:hAnsi="Times New Roman" w:eastAsia="Times New Roman" w:cs="Times New Roman"/>
        </w:rPr>
        <w:t>Mushkiladda aynu halkan ka hadlayno ma aha in tuducyadani ay rumoobeen iyo in kale 11-kii Sebtembar, 2001, waayo si buuxda ayay u rumoobeen; hase yeeshee qodobka aynu doonayno inaan ka hadalno waa “dooddii” markaas bilaabatay. Dooddu waxay ku saabsanayd hab-raac sax ah ama hab-raac khaldan. Kaniisadda Adventist-ku waxay billowday diidmadeeda afarta iyo tobanka qaanuun ee fasiraadda wax sii sheegidda ee William Miller sannadkii 1863, waxayna hadda gaadheen heer aanad iibsan karin buug daraasad Kitaabiga ah oo ay qoreen culimada fiqiga ee Adventist-ka oo aan si isdaba joog ah u ansixin culimada fiqiga ee Protestantism-ka riddaysan iyo Roman Catholicism-ka. Laga soo bilaabo 1863 ilaa 2001, welina maanta, hab-raacii markii hore uu matalayay qawaaniinta William Miller ee fasiraadda wax sii sheegidda waa la dhinac maray, iyadoo loo beddelay hab-raaca Roman Catholicism-ka iyo Protestantism-ka riddaysan. “Dooddii” nebiyadeed ee bilaabatay markii Muujintii siddeed iyo tobnaad, aayadaha kow ilaa saddex, ay rumoobeen waxay ku saabsanayd hab-raac run ah ama been ah.</w:t>
      </w:r>
    </w:p>
    <w:p>
      <w:pPr>
        <w:pStyle w:val="ArticleBody"/>
        <w:jc w:val="left"/>
      </w:pPr>
      <w:r>
        <w:rPr>
          <w:rFonts w:ascii="Times New Roman" w:hAnsi="Times New Roman" w:eastAsia="Times New Roman" w:cs="Times New Roman"/>
        </w:rPr>
        <w:t>Nous poursuivrons, dans le prochain article, notre examen du « débat » du chapitre vingt-sept d’Ésaïe.</w:t>
      </w:r>
    </w:p>
    <w:p>
      <w:pPr>
        <w:pStyle w:val="ArticleScripture"/>
        <w:jc w:val="left"/>
      </w:pPr>
      <w:r>
        <w:rPr>
          <w:rFonts w:ascii="Times New Roman" w:hAnsi="Times New Roman" w:eastAsia="Times New Roman" w:cs="Times New Roman"/>
        </w:rPr>
        <w:t>« Nous devrions savoir par nous-mêmes en quoi consiste le christianisme, ce qu’est la vérité, quelle est la foi que nous avons reçue, quelles sont les règles de la Bible — les règles qui nous ont été données par la plus haute autorité. » The 1888 Materials, 403.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Kitabu cha Danieli - Namba Ishirini na Moja</dc:title>
  <dc:subject>Na Kiwango</dc:subject>
  <dc:creator>Jeff Pippenger</dc:creator>
  <cp:keywords/>
  <dc:description>Generated by ArticleDigger from daniel\21_daniel.json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