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vingt-cinq</w:t>
      </w:r>
    </w:p>
    <w:p>
      <w:pPr>
        <w:pStyle w:val="ArticleSubtitle"/>
        <w:jc w:val="left"/>
      </w:pPr>
      <w:r>
        <w:rPr>
          <w:rFonts w:ascii="Arial" w:hAnsi="Arial" w:eastAsia="Arial" w:cs="Arial"/>
        </w:rPr>
        <w:t>La Révélation du Déclin de Babylone : un passage prophétique de Nebucadnetsar à Belshazzar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Sumal ni Belshazzar idiay kapitulo lima ket naipakita a kas maysa a tipo babaen ti pannakasumar ni Nabucodonosor idiay kapitulo uppat.</w:t>
      </w:r>
    </w:p>
    <w:p>
      <w:pPr>
        <w:pStyle w:val="ArticleScripture"/>
        <w:jc w:val="left"/>
      </w:pPr>
      <w:r>
        <w:rPr>
          <w:rFonts w:ascii="Times New Roman" w:hAnsi="Times New Roman" w:eastAsia="Times New Roman" w:cs="Times New Roman"/>
        </w:rPr>
        <w:t>«Доеведони шоҳи Бобил, чунон ки ба таври рамзӣ ба нахустини он, ҳукми Нигоҳбони илоҳӣ расида буд: “Эй подшоҳ,... ба ту гуфта мешавад: салтанат аз ту дур карда шудааст.” Дониёл 4:31.» Пайғамбарон ва Подшоҳон, 533.</w:t>
      </w:r>
    </w:p>
    <w:p>
      <w:pPr>
        <w:pStyle w:val="ArticleBody"/>
        <w:jc w:val="left"/>
      </w:pPr>
      <w:r>
        <w:rPr>
          <w:rFonts w:ascii="Times New Roman" w:hAnsi="Times New Roman" w:eastAsia="Times New Roman" w:cs="Times New Roman"/>
        </w:rPr>
        <w:t>Nebukadnetsar representar byrjanina, og Belsassar endan á tí ríki, sum valdaði í sjeyti ár, og soleiðis var ímynd av valdatíð jarðardýrsins í Opinberingini kapittul trettan (Sambandsríkin), sum skuldi ráða í teirri tíð, tá ið skøkjan úr Týrus (pávadømið) var gloymd.</w:t>
      </w:r>
    </w:p>
    <w:p>
      <w:pPr>
        <w:pStyle w:val="ArticleScripture"/>
        <w:jc w:val="left"/>
      </w:pPr>
      <w:r>
        <w:rPr>
          <w:rFonts w:ascii="Times New Roman" w:hAnsi="Times New Roman" w:eastAsia="Times New Roman" w:cs="Times New Roman"/>
        </w:rPr>
        <w:t>Und es wird geschehen an jenem Tag, dass Tyrus siebzig Jahre lang vergessen sein wird, entsprechend den Tagen eines Königs; nach Ablauf von siebzig Jahren wird es Tyrus ergehen wie einer Hure. Jesaja 23,15.</w:t>
      </w:r>
    </w:p>
    <w:p>
      <w:pPr>
        <w:pStyle w:val="ArticleBody"/>
        <w:jc w:val="left"/>
      </w:pPr>
      <w:r>
        <w:rPr>
          <w:rFonts w:ascii="Times New Roman" w:hAnsi="Times New Roman" w:eastAsia="Times New Roman" w:cs="Times New Roman"/>
        </w:rPr>
        <w:t>Por tanto, Nabucodonosor representa el comienzo de los Estados Unidos, y Belsasar representa el fin de los Estados Unidos. Nabucodonosor representa el comienzo del cuerno republicano y el comienzo del cuerno protestante. Belsasar representa el fin del cuerno republicano y del cuerno protestante.</w:t>
      </w:r>
    </w:p>
    <w:p>
      <w:pPr>
        <w:pStyle w:val="ArticleBody"/>
        <w:jc w:val="left"/>
      </w:pPr>
      <w:r>
        <w:rPr>
          <w:rFonts w:ascii="Times New Roman" w:hAnsi="Times New Roman" w:eastAsia="Times New Roman" w:cs="Times New Roman"/>
        </w:rPr>
        <w:t>Nukadnetsarin päälle tullut tuomio oli ”seitsemän aikaa”. Kertomusta siitä, kuinka Nebukadnessar eli petona kaksituhatta viisisataa kaksikymmentä päivää, William Miller käytti soveltaessaan 3. Mooseksen kirjan kahdenkymmenennenkuudennen luvun ”seitsemää aikaa”, vaikka hän ei käsitellyt sitä kaksitatta viittäsataa kahtakymmentä, jota Belsassarin tuomiossa symboloidaan.</w:t>
      </w:r>
    </w:p>
    <w:p>
      <w:pPr>
        <w:pStyle w:val="ArticleScripture"/>
        <w:jc w:val="left"/>
      </w:pPr>
      <w:r>
        <w:rPr>
          <w:rFonts w:ascii="Times New Roman" w:hAnsi="Times New Roman" w:eastAsia="Times New Roman" w:cs="Times New Roman"/>
        </w:rPr>
        <w:t>Et voici l’inscription qui a été tracée : MENE, MENE, TEKEL, UPHARSIN. Voici l’interprétation de la chose : MENE ; Dieu a compté ton royaume, et y a mis fin. TEKEL ; Tu as été pesé dans la balance, et tu as été trouvé insuffisant. PERES ; Ton royaume est divisé, et donné aux Mèdes et aux Perses. Daniel 5:25–28.</w:t>
      </w:r>
    </w:p>
    <w:p>
      <w:pPr>
        <w:pStyle w:val="ArticleBody"/>
        <w:jc w:val="left"/>
      </w:pPr>
      <w:r>
        <w:rPr>
          <w:rFonts w:ascii="Times New Roman" w:hAnsi="Times New Roman" w:eastAsia="Times New Roman" w:cs="Times New Roman"/>
        </w:rPr>
        <w:t>Au-delà de l’interprétation que Daniel donna de la mystérieuse écriture sur la muraille, les mots « mene » et « tekel » représentent une mesure de poids, et ces mots désignent aussi une valeur monétaire précise (Exode 30:13, Ézéchiel 45:12). Un « mene » vaut cinquante sicles, soit mille guéras. « Mene, mene » équivaut donc à deux mille guéras. Un « tekel » vaut vingt guéras. Par conséquent, « mene, mene, tekel » équivaut à deux mille vingt guéras. « Upharsin » signifie « diviser » et désigne donc la moitié d’un « mene », représentant cinq cents guéras. Ensemble, ils représentent la somme de deux mille cinq cent vingt.</w:t>
      </w:r>
    </w:p>
    <w:p>
      <w:pPr>
        <w:pStyle w:val="ArticleBody"/>
        <w:jc w:val="left"/>
      </w:pPr>
      <w:r>
        <w:rPr>
          <w:rFonts w:ascii="Times New Roman" w:hAnsi="Times New Roman" w:eastAsia="Times New Roman" w:cs="Times New Roman"/>
        </w:rPr>
        <w:t>La dernière référence de sœur White indique que Belshatsar était typifié par Nebucadnetsar; mais plus précisément, elle a souligné le jugement commun qui les frappa, et ces deux jugements sont présentés comme un symbole des « sept temps » de Lévitique vingt-six. Les Écritures emploient quelques termes pour désigner les « sept temps » de Lévitique vingt-six. Jérémie le représente comme l’indignation de Dieu.</w:t>
      </w:r>
    </w:p>
    <w:p>
      <w:pPr>
        <w:pStyle w:val="ArticleScripture"/>
        <w:jc w:val="left"/>
      </w:pPr>
      <w:r>
        <w:rPr>
          <w:rFonts w:ascii="Times New Roman" w:hAnsi="Times New Roman" w:eastAsia="Times New Roman" w:cs="Times New Roman"/>
        </w:rPr>
        <w:t>Ka nga ni Jiova sa ubi na goneyalewa ni Saioni ena o, ena nona cudru, ka biuta sobu mai lomalagi ki vuravura na lagilagi i Isireli, ka sega ni nanuma na nona itutu ni yavana ena siga ni nona cudru! Sa tiloma tani o Jiova na veitikotiko kecega nei Jekope, ka sega ni yalololoma: sa vuki sobu ena nona cudru na nodra qaletaki kaukauwa na goneyalewa ni Juta; sa kauti ira sobu ki na qele: sa vakacacana na matanitu kei ira na kena turaga. Sa musuka tani ena nona cudru katakata na kaukauwa kecega i Isireli: sa dreta lesu na ligana i matau mai na mata ni meca, ka sa kama vei Jekope me vaka na bukawaqa wa vulavula, sa kania na ka kecega e veiyavoliti. Sa loveca na nona dakaititi me vaka e dua na meca: sa tu kei na ligana i matau me vaka e dua na meca kaukauwa, ka vakamatea na ka kecega e vinaka ki na mata ena vale laca ni goneyalewa ni Saioni: sa livia yani na nona cudru waqa me vaka na bukawaqa. Sa vaka e dua na meca o Jiova: sa tiloma tani vei Isireli, sa tiloma tani na nona vale vakaturaga kecega: sa vakarusai ira na nona qaletaki kaukauwa, ka vakalevutaka ena goneyalewa ni Juta na lolosi kei na tagi ni rarawa. Ka sa kauta vakaukauwa tani na nona vale laca, me vaka ga ni ka ni were: sa vakarusai ira na nona vanua ni soqoni: sa vakavuna o Jiova me guilecavi mai Saioni na veivakatakilai bibi kei na veisiga ni vakacecegu, ka sa beca ena cudru katakata ni nona yaloca na tui kei na bete. Sa cata tani o Jiova na nona icabocabo-ni-soro, sa sevata na nona vale tabu, sa soli ira yani ki na liga ni meca na bai ni nona vale vakaturaga; era sa vakayacora e dua na rorogo ena vale i Jiova, me vaka ena siga ni solevu bibi. Sa nakita o Jiova me vakarusai na bai ni goneyalewa ni Saioni: sa dodoka e dua na dali ni vakarautaki, sa sega ni tarova lesu na ligana mai na vakarusai: o koya oqo sa vakavuna kina me tagi na bai ni taqomaki kei na bai; era sa malumalumu vata. Ai Tagi 2:1–8.</w:t>
      </w:r>
    </w:p>
    <w:p>
      <w:pPr>
        <w:pStyle w:val="ArticleBody"/>
        <w:jc w:val="left"/>
      </w:pPr>
      <w:r>
        <w:rPr>
          <w:rFonts w:ascii="Times New Roman" w:hAnsi="Times New Roman" w:eastAsia="Times New Roman" w:cs="Times New Roman"/>
        </w:rPr>
        <w:t>حمبواڠن توان digambarkan sebagai “kemurkaan daripada murka-Nya,” dan murka-Nya telah dilaksanakan atas kedua-dua kerajaan utara dan kerajaan selatan Israel. Inilah sebabnya kitab Daniel mengenal pasti suatu kemurkaan yang “pertama” dan yang “terakhir.” Yeremia mengenal pasti suatu “garis” yang telah “direntangkan” oleh Tuhan apabila Dia melaksanakan murka-Nya terhadap umat pilihan-Nya. Garis itu juga disebut dalam 2 Raja-raja.</w:t>
      </w:r>
    </w:p>
    <w:p>
      <w:pPr>
        <w:pStyle w:val="ArticleScripture"/>
        <w:jc w:val="left"/>
      </w:pPr>
      <w:r>
        <w:rPr>
          <w:rFonts w:ascii="Myanmar Text" w:hAnsi="Myanmar Text" w:eastAsia="Myanmar Text" w:cs="Myanmar Text"/>
        </w:rPr>
        <w:t>နောက်တဖန်</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မိမိ၏ကျွန်</w:t>
      </w:r>
      <w:r>
        <w:rPr>
          <w:rFonts w:ascii="Times New Roman" w:hAnsi="Times New Roman" w:eastAsia="Times New Roman" w:cs="Times New Roman"/>
        </w:rPr>
        <w:t xml:space="preserve"> </w:t>
      </w:r>
      <w:r>
        <w:rPr>
          <w:rFonts w:ascii="Myanmar Text" w:hAnsi="Myanmar Text" w:eastAsia="Myanmar Text" w:cs="Myanmar Text"/>
        </w:rPr>
        <w:t>ပရောဖက်တို့အားဖြင့်</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ယုဒရှင်ဘုရင်</w:t>
      </w:r>
      <w:r>
        <w:rPr>
          <w:rFonts w:ascii="Times New Roman" w:hAnsi="Times New Roman" w:eastAsia="Times New Roman" w:cs="Times New Roman"/>
        </w:rPr>
        <w:t xml:space="preserve"> </w:t>
      </w:r>
      <w:r>
        <w:rPr>
          <w:rFonts w:ascii="Myanmar Text" w:hAnsi="Myanmar Text" w:eastAsia="Myanmar Text" w:cs="Myanmar Text"/>
        </w:rPr>
        <w:t>မနာရှေသည်</w:t>
      </w:r>
      <w:r>
        <w:rPr>
          <w:rFonts w:ascii="Times New Roman" w:hAnsi="Times New Roman" w:eastAsia="Times New Roman" w:cs="Times New Roman"/>
        </w:rPr>
        <w:t xml:space="preserve"> </w:t>
      </w:r>
      <w:r>
        <w:rPr>
          <w:rFonts w:ascii="Myanmar Text" w:hAnsi="Myanmar Text" w:eastAsia="Myanmar Text" w:cs="Myanmar Text"/>
        </w:rPr>
        <w:t>ဤစက်ဆုပ်ရွံရှာဖွယ်အမှုများကို</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မိမိမတိုင်မီရှိခဲ့သော</w:t>
      </w:r>
      <w:r>
        <w:rPr>
          <w:rFonts w:ascii="Times New Roman" w:hAnsi="Times New Roman" w:eastAsia="Times New Roman" w:cs="Times New Roman"/>
        </w:rPr>
        <w:t xml:space="preserve"> </w:t>
      </w:r>
      <w:r>
        <w:rPr>
          <w:rFonts w:ascii="Myanmar Text" w:hAnsi="Myanmar Text" w:eastAsia="Myanmar Text" w:cs="Myanmar Text"/>
        </w:rPr>
        <w:t>အာမောရိလူတို့</w:t>
      </w:r>
      <w:r>
        <w:rPr>
          <w:rFonts w:ascii="Times New Roman" w:hAnsi="Times New Roman" w:eastAsia="Times New Roman" w:cs="Times New Roman"/>
        </w:rPr>
        <w:t xml:space="preserve"> </w:t>
      </w:r>
      <w:r>
        <w:rPr>
          <w:rFonts w:ascii="Myanmar Text" w:hAnsi="Myanmar Text" w:eastAsia="Myanmar Text" w:cs="Myanmar Text"/>
        </w:rPr>
        <w:t>ပြုသမျှထက်ပင်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ဆိုးယုတ်စွာ</w:t>
      </w:r>
      <w:r>
        <w:rPr>
          <w:rFonts w:ascii="Times New Roman" w:hAnsi="Times New Roman" w:eastAsia="Times New Roman" w:cs="Times New Roman"/>
        </w:rPr>
        <w:t xml:space="preserve"> </w:t>
      </w:r>
      <w:r>
        <w:rPr>
          <w:rFonts w:ascii="Myanmar Text" w:hAnsi="Myanmar Text" w:eastAsia="Myanmar Text" w:cs="Myanmar Text"/>
        </w:rPr>
        <w:t>ပြုလျက်၊</w:t>
      </w:r>
      <w:r>
        <w:rPr>
          <w:rFonts w:ascii="Times New Roman" w:hAnsi="Times New Roman" w:eastAsia="Times New Roman" w:cs="Times New Roman"/>
        </w:rPr>
        <w:t xml:space="preserve"> </w:t>
      </w:r>
      <w:r>
        <w:rPr>
          <w:rFonts w:ascii="Myanmar Text" w:hAnsi="Myanmar Text" w:eastAsia="Myanmar Text" w:cs="Myanmar Text"/>
        </w:rPr>
        <w:t>ယုဒပြည်ကိုလည်း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ရုပ်တုများအားဖြင့်</w:t>
      </w:r>
      <w:r>
        <w:rPr>
          <w:rFonts w:ascii="Times New Roman" w:hAnsi="Times New Roman" w:eastAsia="Times New Roman" w:cs="Times New Roman"/>
        </w:rPr>
        <w:t xml:space="preserve"> </w:t>
      </w:r>
      <w:r>
        <w:rPr>
          <w:rFonts w:ascii="Myanmar Text" w:hAnsi="Myanmar Text" w:eastAsia="Myanmar Text" w:cs="Myanmar Text"/>
        </w:rPr>
        <w:t>အပြစ်ကျူးလွန်စေသောကြောင့်၊</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ဣသရေလအမျိုး၏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ယေရုရှလင်မြို့နှင့်</w:t>
      </w:r>
      <w:r>
        <w:rPr>
          <w:rFonts w:ascii="Times New Roman" w:hAnsi="Times New Roman" w:eastAsia="Times New Roman" w:cs="Times New Roman"/>
        </w:rPr>
        <w:t xml:space="preserve"> </w:t>
      </w:r>
      <w:r>
        <w:rPr>
          <w:rFonts w:ascii="Myanmar Text" w:hAnsi="Myanmar Text" w:eastAsia="Myanmar Text" w:cs="Myanmar Text"/>
        </w:rPr>
        <w:t>ယုဒပြည်အပေါ်သို့</w:t>
      </w:r>
      <w:r>
        <w:rPr>
          <w:rFonts w:ascii="Times New Roman" w:hAnsi="Times New Roman" w:eastAsia="Times New Roman" w:cs="Times New Roman"/>
        </w:rPr>
        <w:t xml:space="preserve"> </w:t>
      </w:r>
      <w:r>
        <w:rPr>
          <w:rFonts w:ascii="Myanmar Text" w:hAnsi="Myanmar Text" w:eastAsia="Myanmar Text" w:cs="Myanmar Text"/>
        </w:rPr>
        <w:t>ထိုသို့သော</w:t>
      </w:r>
      <w:r>
        <w:rPr>
          <w:rFonts w:ascii="Times New Roman" w:hAnsi="Times New Roman" w:eastAsia="Times New Roman" w:cs="Times New Roman"/>
        </w:rPr>
        <w:t xml:space="preserve"> </w:t>
      </w:r>
      <w:r>
        <w:rPr>
          <w:rFonts w:ascii="Myanmar Text" w:hAnsi="Myanmar Text" w:eastAsia="Myanmar Text" w:cs="Myanmar Text"/>
        </w:rPr>
        <w:t>ဘေးအန္တရာယ်ကို</w:t>
      </w:r>
      <w:r>
        <w:rPr>
          <w:rFonts w:ascii="Times New Roman" w:hAnsi="Times New Roman" w:eastAsia="Times New Roman" w:cs="Times New Roman"/>
        </w:rPr>
        <w:t xml:space="preserve"> </w:t>
      </w:r>
      <w:r>
        <w:rPr>
          <w:rFonts w:ascii="Myanmar Text" w:hAnsi="Myanmar Text" w:eastAsia="Myanmar Text" w:cs="Myanmar Text"/>
        </w:rPr>
        <w:t>ကျရောက်စေမည်။</w:t>
      </w:r>
      <w:r>
        <w:rPr>
          <w:rFonts w:ascii="Times New Roman" w:hAnsi="Times New Roman" w:eastAsia="Times New Roman" w:cs="Times New Roman"/>
        </w:rPr>
        <w:t xml:space="preserve"> </w:t>
      </w:r>
      <w:r>
        <w:rPr>
          <w:rFonts w:ascii="Myanmar Text" w:hAnsi="Myanmar Text" w:eastAsia="Myanmar Text" w:cs="Myanmar Text"/>
        </w:rPr>
        <w:t>ထိုသတင်းကို</w:t>
      </w:r>
      <w:r>
        <w:rPr>
          <w:rFonts w:ascii="Times New Roman" w:hAnsi="Times New Roman" w:eastAsia="Times New Roman" w:cs="Times New Roman"/>
        </w:rPr>
        <w:t xml:space="preserve"> </w:t>
      </w:r>
      <w:r>
        <w:rPr>
          <w:rFonts w:ascii="Myanmar Text" w:hAnsi="Myanmar Text" w:eastAsia="Myanmar Text" w:cs="Myanmar Text"/>
        </w:rPr>
        <w:t>ကြားသောသူမည်သည်ကား၊</w:t>
      </w:r>
      <w:r>
        <w:rPr>
          <w:rFonts w:ascii="Times New Roman" w:hAnsi="Times New Roman" w:eastAsia="Times New Roman" w:cs="Times New Roman"/>
        </w:rPr>
        <w:t xml:space="preserve"> </w:t>
      </w:r>
      <w:r>
        <w:rPr>
          <w:rFonts w:ascii="Myanmar Text" w:hAnsi="Myanmar Text" w:eastAsia="Myanmar Text" w:cs="Myanmar Text"/>
        </w:rPr>
        <w:t>နားနှစ်ဖက်လုံး</w:t>
      </w:r>
      <w:r>
        <w:rPr>
          <w:rFonts w:ascii="Times New Roman" w:hAnsi="Times New Roman" w:eastAsia="Times New Roman" w:cs="Times New Roman"/>
        </w:rPr>
        <w:t xml:space="preserve"> </w:t>
      </w:r>
      <w:r>
        <w:rPr>
          <w:rFonts w:ascii="Myanmar Text" w:hAnsi="Myanmar Text" w:eastAsia="Myanmar Text" w:cs="Myanmar Text"/>
        </w:rPr>
        <w:t>တုန်လှုပ်မည်။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ရှမာရိ၏</w:t>
      </w:r>
      <w:r>
        <w:rPr>
          <w:rFonts w:ascii="Times New Roman" w:hAnsi="Times New Roman" w:eastAsia="Times New Roman" w:cs="Times New Roman"/>
        </w:rPr>
        <w:t xml:space="preserve"> </w:t>
      </w:r>
      <w:r>
        <w:rPr>
          <w:rFonts w:ascii="Myanmar Text" w:hAnsi="Myanmar Text" w:eastAsia="Myanmar Text" w:cs="Myanmar Text"/>
        </w:rPr>
        <w:t>တိုင်းကြိုးနှင့်</w:t>
      </w:r>
      <w:r>
        <w:rPr>
          <w:rFonts w:ascii="Times New Roman" w:hAnsi="Times New Roman" w:eastAsia="Times New Roman" w:cs="Times New Roman"/>
        </w:rPr>
        <w:t xml:space="preserve"> </w:t>
      </w:r>
      <w:r>
        <w:rPr>
          <w:rFonts w:ascii="Myanmar Text" w:hAnsi="Myanmar Text" w:eastAsia="Myanmar Text" w:cs="Myanmar Text"/>
        </w:rPr>
        <w:t>အာဟပ်အမျိုး၏</w:t>
      </w:r>
      <w:r>
        <w:rPr>
          <w:rFonts w:ascii="Times New Roman" w:hAnsi="Times New Roman" w:eastAsia="Times New Roman" w:cs="Times New Roman"/>
        </w:rPr>
        <w:t xml:space="preserve"> </w:t>
      </w:r>
      <w:r>
        <w:rPr>
          <w:rFonts w:ascii="Myanmar Text" w:hAnsi="Myanmar Text" w:eastAsia="Myanmar Text" w:cs="Myanmar Text"/>
        </w:rPr>
        <w:t>ချိန်ကြိုးကို</w:t>
      </w:r>
      <w:r>
        <w:rPr>
          <w:rFonts w:ascii="Times New Roman" w:hAnsi="Times New Roman" w:eastAsia="Times New Roman" w:cs="Times New Roman"/>
        </w:rPr>
        <w:t xml:space="preserve"> </w:t>
      </w:r>
      <w:r>
        <w:rPr>
          <w:rFonts w:ascii="Myanmar Text" w:hAnsi="Myanmar Text" w:eastAsia="Myanmar Text" w:cs="Myanmar Text"/>
        </w:rPr>
        <w:t>ယေရုရှလင်မြို့အပေါ်သို့</w:t>
      </w:r>
      <w:r>
        <w:rPr>
          <w:rFonts w:ascii="Times New Roman" w:hAnsi="Times New Roman" w:eastAsia="Times New Roman" w:cs="Times New Roman"/>
        </w:rPr>
        <w:t xml:space="preserve"> </w:t>
      </w:r>
      <w:r>
        <w:rPr>
          <w:rFonts w:ascii="Myanmar Text" w:hAnsi="Myanmar Text" w:eastAsia="Myanmar Text" w:cs="Myanmar Text"/>
        </w:rPr>
        <w:t>ဆန့်မည်။</w:t>
      </w:r>
      <w:r>
        <w:rPr>
          <w:rFonts w:ascii="Times New Roman" w:hAnsi="Times New Roman" w:eastAsia="Times New Roman" w:cs="Times New Roman"/>
        </w:rPr>
        <w:t xml:space="preserve"> </w:t>
      </w:r>
      <w:r>
        <w:rPr>
          <w:rFonts w:ascii="Myanmar Text" w:hAnsi="Myanmar Text" w:eastAsia="Myanmar Text" w:cs="Myanmar Text"/>
        </w:rPr>
        <w:t>လူတစ်ယောက်သည်</w:t>
      </w:r>
      <w:r>
        <w:rPr>
          <w:rFonts w:ascii="Times New Roman" w:hAnsi="Times New Roman" w:eastAsia="Times New Roman" w:cs="Times New Roman"/>
        </w:rPr>
        <w:t xml:space="preserve"> </w:t>
      </w:r>
      <w:r>
        <w:rPr>
          <w:rFonts w:ascii="Myanmar Text" w:hAnsi="Myanmar Text" w:eastAsia="Myanmar Text" w:cs="Myanmar Text"/>
        </w:rPr>
        <w:t>ပန်းကန်ကို</w:t>
      </w:r>
      <w:r>
        <w:rPr>
          <w:rFonts w:ascii="Times New Roman" w:hAnsi="Times New Roman" w:eastAsia="Times New Roman" w:cs="Times New Roman"/>
        </w:rPr>
        <w:t xml:space="preserve"> </w:t>
      </w:r>
      <w:r>
        <w:rPr>
          <w:rFonts w:ascii="Myanmar Text" w:hAnsi="Myanmar Text" w:eastAsia="Myanmar Text" w:cs="Myanmar Text"/>
        </w:rPr>
        <w:t>သုတ်သင်၍</w:t>
      </w:r>
      <w:r>
        <w:rPr>
          <w:rFonts w:ascii="Times New Roman" w:hAnsi="Times New Roman" w:eastAsia="Times New Roman" w:cs="Times New Roman"/>
        </w:rPr>
        <w:t xml:space="preserve"> </w:t>
      </w:r>
      <w:r>
        <w:rPr>
          <w:rFonts w:ascii="Myanmar Text" w:hAnsi="Myanmar Text" w:eastAsia="Myanmar Text" w:cs="Myanmar Text"/>
        </w:rPr>
        <w:t>ပြန်လှန်ထားသကဲ့သို့၊</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ယေရုရှလင်မြို့ကို</w:t>
      </w:r>
      <w:r>
        <w:rPr>
          <w:rFonts w:ascii="Times New Roman" w:hAnsi="Times New Roman" w:eastAsia="Times New Roman" w:cs="Times New Roman"/>
        </w:rPr>
        <w:t xml:space="preserve"> </w:t>
      </w:r>
      <w:r>
        <w:rPr>
          <w:rFonts w:ascii="Myanmar Text" w:hAnsi="Myanmar Text" w:eastAsia="Myanmar Text" w:cs="Myanmar Text"/>
        </w:rPr>
        <w:t>သုတ်သင်၍</w:t>
      </w:r>
      <w:r>
        <w:rPr>
          <w:rFonts w:ascii="Times New Roman" w:hAnsi="Times New Roman" w:eastAsia="Times New Roman" w:cs="Times New Roman"/>
        </w:rPr>
        <w:t xml:space="preserve"> </w:t>
      </w:r>
      <w:r>
        <w:rPr>
          <w:rFonts w:ascii="Myanmar Text" w:hAnsi="Myanmar Text" w:eastAsia="Myanmar Text" w:cs="Myanmar Text"/>
        </w:rPr>
        <w:t>မှောက်လှန်ပစ်မည်။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ငါ၏အမွေတော်၌</w:t>
      </w:r>
      <w:r>
        <w:rPr>
          <w:rFonts w:ascii="Times New Roman" w:hAnsi="Times New Roman" w:eastAsia="Times New Roman" w:cs="Times New Roman"/>
        </w:rPr>
        <w:t xml:space="preserve"> </w:t>
      </w:r>
      <w:r>
        <w:rPr>
          <w:rFonts w:ascii="Myanmar Text" w:hAnsi="Myanmar Text" w:eastAsia="Myanmar Text" w:cs="Myanmar Text"/>
        </w:rPr>
        <w:t>ကျန်ရစ်သောအမျိုးကို</w:t>
      </w:r>
      <w:r>
        <w:rPr>
          <w:rFonts w:ascii="Times New Roman" w:hAnsi="Times New Roman" w:eastAsia="Times New Roman" w:cs="Times New Roman"/>
        </w:rPr>
        <w:t xml:space="preserve"> </w:t>
      </w:r>
      <w:r>
        <w:rPr>
          <w:rFonts w:ascii="Myanmar Text" w:hAnsi="Myanmar Text" w:eastAsia="Myanmar Text" w:cs="Myanmar Text"/>
        </w:rPr>
        <w:t>ငါစွန့်ပယ်၍</w:t>
      </w:r>
      <w:r>
        <w:rPr>
          <w:rFonts w:ascii="Times New Roman" w:hAnsi="Times New Roman" w:eastAsia="Times New Roman" w:cs="Times New Roman"/>
        </w:rPr>
        <w:t xml:space="preserve"> </w:t>
      </w:r>
      <w:r>
        <w:rPr>
          <w:rFonts w:ascii="Myanmar Text" w:hAnsi="Myanmar Text" w:eastAsia="Myanmar Text" w:cs="Myanmar Text"/>
        </w:rPr>
        <w:t>သူတို့၏ရန်သူတို့လက်သို့</w:t>
      </w:r>
      <w:r>
        <w:rPr>
          <w:rFonts w:ascii="Times New Roman" w:hAnsi="Times New Roman" w:eastAsia="Times New Roman" w:cs="Times New Roman"/>
        </w:rPr>
        <w:t xml:space="preserve"> </w:t>
      </w:r>
      <w:r>
        <w:rPr>
          <w:rFonts w:ascii="Myanmar Text" w:hAnsi="Myanmar Text" w:eastAsia="Myanmar Text" w:cs="Myanmar Text"/>
        </w:rPr>
        <w:t>အပ်မည်။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ရန်သူအပေါင်းတို့အတွက်</w:t>
      </w:r>
      <w:r>
        <w:rPr>
          <w:rFonts w:ascii="Times New Roman" w:hAnsi="Times New Roman" w:eastAsia="Times New Roman" w:cs="Times New Roman"/>
        </w:rPr>
        <w:t xml:space="preserve"> </w:t>
      </w:r>
      <w:r>
        <w:rPr>
          <w:rFonts w:ascii="Myanmar Text" w:hAnsi="Myanmar Text" w:eastAsia="Myanmar Text" w:cs="Myanmar Text"/>
        </w:rPr>
        <w:t>လုယူရာနှင့်</w:t>
      </w:r>
      <w:r>
        <w:rPr>
          <w:rFonts w:ascii="Times New Roman" w:hAnsi="Times New Roman" w:eastAsia="Times New Roman" w:cs="Times New Roman"/>
        </w:rPr>
        <w:t xml:space="preserve"> </w:t>
      </w:r>
      <w:r>
        <w:rPr>
          <w:rFonts w:ascii="Myanmar Text" w:hAnsi="Myanmar Text" w:eastAsia="Myanmar Text" w:cs="Myanmar Text"/>
        </w:rPr>
        <w:t>သိမ်းယူရာ</w:t>
      </w:r>
      <w:r>
        <w:rPr>
          <w:rFonts w:ascii="Times New Roman" w:hAnsi="Times New Roman" w:eastAsia="Times New Roman" w:cs="Times New Roman"/>
        </w:rPr>
        <w:t xml:space="preserve"> </w:t>
      </w:r>
      <w:r>
        <w:rPr>
          <w:rFonts w:ascii="Myanmar Text" w:hAnsi="Myanmar Text" w:eastAsia="Myanmar Text" w:cs="Myanmar Text"/>
        </w:rPr>
        <w:t>ဖြစ်ကြလိမ့်မည်။</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ရာဇဝင်ချုပ်</w:t>
      </w:r>
      <w:r>
        <w:rPr>
          <w:rFonts w:ascii="Times New Roman" w:hAnsi="Times New Roman" w:eastAsia="Times New Roman" w:cs="Times New Roman"/>
        </w:rPr>
        <w:t xml:space="preserve"> </w:t>
      </w:r>
      <w:r>
        <w:rPr>
          <w:rFonts w:ascii="Myanmar Text" w:hAnsi="Myanmar Text" w:eastAsia="Myanmar Text" w:cs="Myanmar Text"/>
        </w:rPr>
        <w:t>၂၁</w:t>
      </w:r>
      <w:r>
        <w:rPr>
          <w:rFonts w:ascii="Times New Roman" w:hAnsi="Times New Roman" w:eastAsia="Times New Roman" w:cs="Times New Roman"/>
        </w:rPr>
        <w:t>:</w:t>
      </w:r>
      <w:r>
        <w:rPr>
          <w:rFonts w:ascii="Myanmar Text" w:hAnsi="Myanmar Text" w:eastAsia="Myanmar Text" w:cs="Myanmar Text"/>
        </w:rPr>
        <w:t>၁၀</w:t>
      </w:r>
      <w:r>
        <w:rPr>
          <w:rFonts w:ascii="Times New Roman" w:hAnsi="Times New Roman" w:eastAsia="Times New Roman" w:cs="Times New Roman"/>
        </w:rPr>
        <w:t>–</w:t>
      </w:r>
      <w:r>
        <w:rPr>
          <w:rFonts w:ascii="Myanmar Text" w:hAnsi="Myanmar Text" w:eastAsia="Myanmar Text" w:cs="Myanmar Text"/>
        </w:rPr>
        <w:t>၁၄။</w:t>
      </w:r>
    </w:p>
    <w:p>
      <w:pPr>
        <w:pStyle w:val="ArticleBody"/>
        <w:jc w:val="left"/>
      </w:pPr>
      <w:r>
        <w:rPr>
          <w:rFonts w:ascii="Times New Roman" w:hAnsi="Times New Roman" w:eastAsia="Times New Roman" w:cs="Times New Roman"/>
        </w:rPr>
        <w:t>“</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क्रोधको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मोशाको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पल्ट</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राज्यमाथि</w:t>
      </w:r>
      <w:r>
        <w:rPr>
          <w:rFonts w:ascii="Times New Roman" w:hAnsi="Times New Roman" w:eastAsia="Times New Roman" w:cs="Times New Roman"/>
        </w:rPr>
        <w:t xml:space="preserve"> (</w:t>
      </w:r>
      <w:r>
        <w:rPr>
          <w:rFonts w:ascii="Nirmala UI" w:hAnsi="Nirmala UI" w:eastAsia="Nirmala UI" w:cs="Nirmala UI"/>
        </w:rPr>
        <w:t>आहाबको</w:t>
      </w:r>
      <w:r>
        <w:rPr>
          <w:rFonts w:ascii="Times New Roman" w:hAnsi="Times New Roman" w:eastAsia="Times New Roman" w:cs="Times New Roman"/>
        </w:rPr>
        <w:t xml:space="preserve"> </w:t>
      </w:r>
      <w:r>
        <w:rPr>
          <w:rFonts w:ascii="Nirmala UI" w:hAnsi="Nirmala UI" w:eastAsia="Nirmala UI" w:cs="Nirmala UI"/>
        </w:rPr>
        <w:t>घरानामाथि</w:t>
      </w:r>
      <w:r>
        <w:rPr>
          <w:rFonts w:ascii="Times New Roman" w:hAnsi="Times New Roman" w:eastAsia="Times New Roman" w:cs="Times New Roman"/>
        </w:rPr>
        <w:t xml:space="preserve">) </w:t>
      </w:r>
      <w:r>
        <w:rPr>
          <w:rFonts w:ascii="Nirmala UI" w:hAnsi="Nirmala UI" w:eastAsia="Nirmala UI" w:cs="Nirmala UI"/>
        </w:rPr>
        <w:t>तानियो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यहूदामाथि।</w:t>
      </w:r>
      <w:r>
        <w:rPr>
          <w:rFonts w:ascii="Times New Roman" w:hAnsi="Times New Roman" w:eastAsia="Times New Roman" w:cs="Times New Roman"/>
        </w:rPr>
        <w:t xml:space="preserve"> </w:t>
      </w:r>
      <w:r>
        <w:rPr>
          <w:rFonts w:ascii="Nirmala UI" w:hAnsi="Nirmala UI" w:eastAsia="Nirmala UI" w:cs="Nirmala UI"/>
        </w:rPr>
        <w:t>लेवीव्यवस्था</w:t>
      </w:r>
      <w:r>
        <w:rPr>
          <w:rFonts w:ascii="Times New Roman" w:hAnsi="Times New Roman" w:eastAsia="Times New Roman" w:cs="Times New Roman"/>
        </w:rPr>
        <w:t xml:space="preserve"> </w:t>
      </w:r>
      <w:r>
        <w:rPr>
          <w:rFonts w:ascii="Nirmala UI" w:hAnsi="Nirmala UI" w:eastAsia="Nirmala UI" w:cs="Nirmala UI"/>
        </w:rPr>
        <w:t>छब्बीसबाट</w:t>
      </w:r>
      <w:r>
        <w:rPr>
          <w:rFonts w:ascii="Times New Roman" w:hAnsi="Times New Roman" w:eastAsia="Times New Roman" w:cs="Times New Roman"/>
        </w:rPr>
        <w:t xml:space="preserve"> </w:t>
      </w:r>
      <w:r>
        <w:rPr>
          <w:rFonts w:ascii="Nirmala UI" w:hAnsi="Nirmala UI" w:eastAsia="Nirmala UI" w:cs="Nirmala UI"/>
        </w:rPr>
        <w:t>व्युत्पन्न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पल्ट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तितरबितर</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Afei te hinga ia iate koutou i roto i te aritarita; ā, ko ahau, āe, ko ahau anō, ka whiu i a koutou, kia whitu ngā wā mō ō koutou hara. Ā, ka kai koutou i te kikokiko o ā koutou tama, ā, ko te kikokiko o ā koutou tamāhine ka kainga e koutou. Ā, ka whakangaromia e ahau ō koutou wāhi tiketike, ka turakina hoki ō koutou whakapakoko, ā, ka panga ō koutou tinana mate ki runga ki ngā tinana mate o ō koutou whakapakoko; ā, ka whakarihariha tōku wairua ki a koutou. Ā, ka meinga e ahau ō koutou pā hei ururua, ka takoto kau hoki ō koutou wāhi tapu; ā, e kore ahau e hongi i te kakara o ā koutou whakahere kakara reka. Ā, ka meinga e ahau te whenua kia ururua; ā, ka mīharo ō koutou hoariri e noho ana i reira ki taua mea. Ā, ka whakamararatia koutou e ahau ki roto ki ngā tauiwi, ā, ka unuhia he hoari hei aru i a koutou; ā, ka ururua tō koutou whenua, ka takoto kau hoki ō koutou pā. Katahi ka koa te whenua ki ōna hapati, i ngā rā katoa e takoto ururua ai ia, i a koutou anō e noho ana ki te whenua o ō koutou hoariri; ā, ko reira anō te whenua okioki ai, e koa ai hoki ki ōna hapati. I ngā rā katoa e takoto ururua ai ia ka okioki; nō te mea kīhai ia i okioki i ō koutou hapati, i a koutou e noho ana i runga i a ia. Leviticus 26:28–35.</w:t>
      </w:r>
    </w:p>
    <w:p>
      <w:pPr>
        <w:pStyle w:val="ArticleBody"/>
        <w:jc w:val="left"/>
      </w:pPr>
      <w:r>
        <w:rPr>
          <w:rFonts w:ascii="Times New Roman" w:hAnsi="Times New Roman" w:eastAsia="Times New Roman" w:cs="Times New Roman"/>
        </w:rPr>
        <w:t>L’éparpillement parmi les païens s’accomplit pour Daniel lorsqu’il fut emmené comme esclave à Babylone, lors de la captivité de Jehoïakim. Alors, tandis que Daniel était dans le « pays des ennemis », le pays se reposa et jouit de « ses sabbats ». Le deuxième livre des Chroniques nous apprend que cette période fut les soixante-dix années de Jérémie, que Daniel en vint à reconnaître au chapitre neuf.</w:t>
      </w:r>
    </w:p>
    <w:p>
      <w:pPr>
        <w:pStyle w:val="ArticleScripture"/>
        <w:jc w:val="left"/>
      </w:pPr>
      <w:r>
        <w:rPr>
          <w:rFonts w:ascii="Times New Roman" w:hAnsi="Times New Roman" w:eastAsia="Times New Roman" w:cs="Times New Roman"/>
        </w:rPr>
        <w:t>Ndị ahụ fọdụrụ n’aka mma-agha ka ọ kpọgara n’agha laa Babilọn; ebe ha ghọrọ ndị ohu nye ya na ụmụ ya ndị ikom ruo mgbe alaeze Persia malitere ịchị: ka e wee mezuo okwu nke Onyenwe anyị site n’ọnụ Jeremaya, ruo mgbe ala ahụ natara izu-ike Sabat ya nile: n’ihi na ogologo oge niile ọ tọgbọrọ n’efu, ọ debere Sabat, ka afọ iri asaa wee mezuo. Ugbu a n’afọ mbụ nke Sairọs eze Persia, ka okwu nke Onyenwe anyị kwuru site n’ọnụ Jeremaya wee mezuo, Onyenwe anyị kpaliri mmụọ Sairọs eze Persia, nke mere na o mere nkwusa n’alaeze ya nile, deekwa ya n’akwụkwọ, sị, Otu a ka Sairọs eze Persia kwuru, Alaeze nile nke ụwa ka Onyenwe anyị Chineke nke eluigwe enyewo m; ọ kpọkwasịwokwa m iwu iwuru ya ụlọ n’Jerusalem, nke dị na Juda. Ònye nọ n’etiti unu niile nke bụ nke ndị ya? Ka Onyenwe anyị Chineke ya nọnyeere ya, ka ọ rigokwa. 2 Ihe E Mere 36:20–23.</w:t>
      </w:r>
    </w:p>
    <w:p>
      <w:pPr>
        <w:pStyle w:val="ArticleBody"/>
        <w:jc w:val="left"/>
      </w:pPr>
      <w:r>
        <w:rPr>
          <w:rFonts w:ascii="Nirmala UI" w:hAnsi="Nirmala UI" w:eastAsia="Nirmala UI" w:cs="Nirmala UI"/>
        </w:rPr>
        <w:t>শব্দটি</w:t>
      </w:r>
      <w:r>
        <w:rPr>
          <w:rFonts w:ascii="Times New Roman" w:hAnsi="Times New Roman" w:eastAsia="Times New Roman" w:cs="Times New Roman"/>
        </w:rPr>
        <w:t xml:space="preserve"> “scattering” </w:t>
      </w:r>
      <w:r>
        <w:rPr>
          <w:rFonts w:ascii="Nirmala UI" w:hAnsi="Nirmala UI" w:eastAsia="Nirmala UI" w:cs="Nirmala UI"/>
        </w:rPr>
        <w:t>হলো</w:t>
      </w:r>
      <w:r>
        <w:rPr>
          <w:rFonts w:ascii="Times New Roman" w:hAnsi="Times New Roman" w:eastAsia="Times New Roman" w:cs="Times New Roman"/>
        </w:rPr>
        <w:t xml:space="preserve"> “seven times”-</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নেবূখদনেসরের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“seven times”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বাস</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এসেছিল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বেলশৎসরের</w:t>
      </w:r>
      <w:r>
        <w:rPr>
          <w:rFonts w:ascii="Times New Roman" w:hAnsi="Times New Roman" w:eastAsia="Times New Roman" w:cs="Times New Roman"/>
        </w:rPr>
        <w:t xml:space="preserve"> </w:t>
      </w:r>
      <w:r>
        <w:rPr>
          <w:rFonts w:ascii="Nirmala UI" w:hAnsi="Nirmala UI" w:eastAsia="Nirmala UI" w:cs="Nirmala UI"/>
        </w:rPr>
        <w:t>বিচারের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পূর্বপ্রতিমা</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যেমনটি</w:t>
      </w:r>
      <w:r>
        <w:rPr>
          <w:rFonts w:ascii="Times New Roman" w:hAnsi="Times New Roman" w:eastAsia="Times New Roman" w:cs="Times New Roman"/>
        </w:rPr>
        <w:t xml:space="preserve"> </w:t>
      </w:r>
      <w:r>
        <w:rPr>
          <w:rFonts w:ascii="Nirmala UI" w:hAnsi="Nirmala UI" w:eastAsia="Nirmala UI" w:cs="Nirmala UI"/>
        </w:rPr>
        <w:t>দেয়ালের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লিখিত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রহস্যময়</w:t>
      </w:r>
      <w:r>
        <w:rPr>
          <w:rFonts w:ascii="Times New Roman" w:hAnsi="Times New Roman" w:eastAsia="Times New Roman" w:cs="Times New Roman"/>
        </w:rPr>
        <w:t xml:space="preserve"> </w:t>
      </w:r>
      <w:r>
        <w:rPr>
          <w:rFonts w:ascii="Nirmala UI" w:hAnsi="Nirmala UI" w:eastAsia="Nirmala UI" w:cs="Nirmala UI"/>
        </w:rPr>
        <w:t>বাক্যসমূহে</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“mene, mene, tekel upharsin.” </w:t>
      </w:r>
      <w:r>
        <w:rPr>
          <w:rFonts w:ascii="Nirmala UI" w:hAnsi="Nirmala UI" w:eastAsia="Nirmala UI" w:cs="Nirmala UI"/>
        </w:rPr>
        <w:t>বেলশৎসরের</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হস্তলিখনের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হাজার</w:t>
      </w:r>
      <w:r>
        <w:rPr>
          <w:rFonts w:ascii="Times New Roman" w:hAnsi="Times New Roman" w:eastAsia="Times New Roman" w:cs="Times New Roman"/>
        </w:rPr>
        <w:t xml:space="preserve"> </w:t>
      </w:r>
      <w:r>
        <w:rPr>
          <w:rFonts w:ascii="Nirmala UI" w:hAnsi="Nirmala UI" w:eastAsia="Nirmala UI" w:cs="Nirmala UI"/>
        </w:rPr>
        <w:t>পাঁচ</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কুড়ির</w:t>
      </w:r>
      <w:r>
        <w:rPr>
          <w:rFonts w:ascii="Times New Roman" w:hAnsi="Times New Roman" w:eastAsia="Times New Roman" w:cs="Times New Roman"/>
        </w:rPr>
        <w:t xml:space="preserve"> </w:t>
      </w:r>
      <w:r>
        <w:rPr>
          <w:rFonts w:ascii="Nirmala UI" w:hAnsi="Nirmala UI" w:eastAsia="Nirmala UI" w:cs="Nirmala UI"/>
        </w:rPr>
        <w:t>সমান</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সংখ্যক</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নেবূখদনেসর</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বাস</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সংখ্যক</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লেবীয়</w:t>
      </w:r>
      <w:r>
        <w:rPr>
          <w:rFonts w:ascii="Times New Roman" w:hAnsi="Times New Roman" w:eastAsia="Times New Roman" w:cs="Times New Roman"/>
        </w:rPr>
        <w:t xml:space="preserve"> </w:t>
      </w:r>
      <w:r>
        <w:rPr>
          <w:rFonts w:ascii="Nirmala UI" w:hAnsi="Nirmala UI" w:eastAsia="Nirmala UI" w:cs="Nirmala UI"/>
        </w:rPr>
        <w:t>পুস্তক</w:t>
      </w:r>
      <w:r>
        <w:rPr>
          <w:rFonts w:ascii="Times New Roman" w:hAnsi="Times New Roman" w:eastAsia="Times New Roman" w:cs="Times New Roman"/>
        </w:rPr>
        <w:t xml:space="preserve"> </w:t>
      </w:r>
      <w:r>
        <w:rPr>
          <w:rFonts w:ascii="Nirmala UI" w:hAnsi="Nirmala UI" w:eastAsia="Nirmala UI" w:cs="Nirmala UI"/>
        </w:rPr>
        <w:t>ছাব্বিশের</w:t>
      </w:r>
      <w:r>
        <w:rPr>
          <w:rFonts w:ascii="Times New Roman" w:hAnsi="Times New Roman" w:eastAsia="Times New Roman" w:cs="Times New Roman"/>
        </w:rPr>
        <w:t xml:space="preserve"> “seven times”-</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প্রতীকীভাবে</w:t>
      </w:r>
      <w:r>
        <w:rPr>
          <w:rFonts w:ascii="Times New Roman" w:hAnsi="Times New Roman" w:eastAsia="Times New Roman" w:cs="Times New Roman"/>
        </w:rPr>
        <w:t xml:space="preserve"> </w:t>
      </w:r>
      <w:r>
        <w:rPr>
          <w:rFonts w:ascii="Nirmala UI" w:hAnsi="Nirmala UI" w:eastAsia="Nirmala UI" w:cs="Nirmala UI"/>
        </w:rPr>
        <w:t>নির্দেশিত</w:t>
      </w:r>
      <w:r>
        <w:rPr>
          <w:rFonts w:ascii="Times New Roman" w:hAnsi="Times New Roman" w:eastAsia="Times New Roman" w:cs="Times New Roman"/>
        </w:rPr>
        <w:t xml:space="preserve"> </w:t>
      </w:r>
      <w:r>
        <w:rPr>
          <w:rFonts w:ascii="Nirmala UI" w:hAnsi="Nirmala UI" w:eastAsia="Nirmala UI" w:cs="Nirmala UI"/>
        </w:rPr>
        <w:t>হয়েছে।</w:t>
      </w:r>
    </w:p>
    <w:p>
      <w:pPr>
        <w:pStyle w:val="ArticleBody"/>
        <w:jc w:val="left"/>
      </w:pPr>
      <w:r>
        <w:rPr>
          <w:rFonts w:ascii="Times New Roman" w:hAnsi="Times New Roman" w:eastAsia="Times New Roman" w:cs="Times New Roman"/>
        </w:rPr>
        <w:t>Ukwahlulela kukaBelshazzar, okwakufanekiselwe ngokwahlulela kukaNebukadinesari, kwakumelwe ngokomfanekiso “yizikhathi eziyisikhombisa,” futhi kokubili lokho kwahlulela kwakumelela “ukuwa kweBabiloni,” okuyisibonakaliso somlayezo wengelosi yesibili. Ukuwa kokuqala kweBabiloni kwaba yilapho umbhoshongo kaNimrodi udilizwa.</w:t>
      </w:r>
    </w:p>
    <w:p>
      <w:pPr>
        <w:pStyle w:val="ArticleScripture"/>
        <w:jc w:val="left"/>
      </w:pPr>
      <w:r>
        <w:rPr>
          <w:rFonts w:ascii="Times New Roman" w:hAnsi="Times New Roman" w:eastAsia="Times New Roman" w:cs="Times New Roman"/>
        </w:rPr>
        <w:t>Wycałkołána zemja běše jadneho rěča a jadneje mowy. A stawa so, hdyž pućowachu wot wuchoda, zo namakachu runinu w kraju Šinar; a tam bydlichu. A prajachu jedyn k druhemu: Nuže, dźmy cyrgle činić a je porjadnje wypalić. A mějachu cyrgle město kamjenja, a smołu mějachu město malty. A prajachu: Nuže, zbudujmy sej město a věžu, kotrejež wjeršk njech dosaha do njebjes; a čińmy sej mjeno, zo njebyli rozsyłeni po wobliču cyłeje zemje. A Hospodin stupi dele, zo by widźał město a věžu, kotrež synojo čłowjekow twórjachu. A Hospodin praji: Hlej, lud je jedyn, a wšitcy maja jadyn rěč; a to je to, štož započinaja činić; a nětko njebudźe jim ničo zbrajene, štož su sej zamyslili činić. Nuže, dźmy dele a tam změšajmy jich rěč, zo njebudu rozumić jedyn druheho mowy. Tak Hospodin rozsyła jich wot tam po wobliču wšěch zemjow; a přestachu twarić město. 1. Mojžišowa 11:1–8.</w:t>
      </w:r>
    </w:p>
    <w:p>
      <w:pPr>
        <w:pStyle w:val="ArticleBody"/>
        <w:jc w:val="left"/>
      </w:pPr>
      <w:r>
        <w:rPr>
          <w:rFonts w:ascii="Times New Roman" w:hAnsi="Times New Roman" w:eastAsia="Times New Roman" w:cs="Times New Roman"/>
        </w:rPr>
        <w:t>Kwiherezo ya Babeli, ari yo kwiherezo kwa Nimurodi, Umwami “yatatanyije” abagome ba Nimurodi ku “buso bw’isi yose.” Nimurodi n’abo bari kumwe bari bazi ko ubugome bwabo bwari gutuma batatanywa, kuko bari baravuze ko impamvu yo kubaka umunara n’umurwa ari iyo “kwihesha izina, kugira ngo tudatatanyirizwa hirya no hino ku buso bw’isi yose.”</w:t>
      </w:r>
    </w:p>
    <w:p>
      <w:pPr>
        <w:pStyle w:val="ArticleBody"/>
        <w:jc w:val="left"/>
      </w:pPr>
      <w:r>
        <w:rPr>
          <w:rFonts w:ascii="Times New Roman" w:hAnsi="Times New Roman" w:eastAsia="Times New Roman" w:cs="Times New Roman"/>
        </w:rPr>
        <w:t>Mu buryo bw’ubuhanuzi, “izina” ni ikimenyetso cy’imico. Imico Nimurodi n’abo bafatanije na we bashinze ihagarariwe n’imirimo yabo, kuko ari ku mbuto ni ho muzamenyera imico. Imbuto z’ubwigomeke bwa Nimurodi, bityo kikaba ikimenyetso cy’imico ye, ni iyubakwa ry’umunara n’umujyi. “Umunara” ni ikimenyetso cy’itorero, kandi “umujyi” ni ikimenyetso cy’igihugu. Izina ry’abigometse ba Nimurodi, rihagarariye imico yabo, ryari ihuriro ry’itorero n’igihugu, na ryo rikaba rigereranywa mu buryo bw’ikimenyetso nk’ishusho ya ya nyamaswa.</w:t>
      </w:r>
    </w:p>
    <w:p>
      <w:pPr>
        <w:pStyle w:val="ArticleBody"/>
        <w:jc w:val="left"/>
      </w:pPr>
      <w:r>
        <w:rPr>
          <w:rFonts w:ascii="Times New Roman" w:hAnsi="Times New Roman" w:eastAsia="Times New Roman" w:cs="Times New Roman"/>
        </w:rPr>
        <w:t>Le passage qui identifie la chute de Babel contient l’expression « go to » répétée trois fois. La troisième occurrence survient lorsque Dieu fait venir le jugement en confondant leur langage et en les dispersant au loin. Le premier « go to » était la préparation du second « go to », lorsqu’ils construisirent leur ville et leur tour. Lorsqu’ils eurent achevé leur œuvre au cours de l’histoire de la seconde occurrence de « go to », Dieu descendit pour considérer visiblement leur rébellion. Le troisième « go to » était le jugement, et le second « go to » était une épreuve visuelle. Le premier « go to » représente leur premier échec, et, prophétiquement, les trois occurrences de « go to » identifient le processus d’épreuve en trois étapes de l’Évangile éternel. Il y a beaucoup plus d’informations dans le témoignage de la rébellion et de la chute de Nimrod, mais nous nous bornons simplement à relever que la première fois que Babylone (Babel) tomba, le symbole des « sept temps », tel qu’il est représenté par la « dispersion », est identifié. Le jugement de Nimrod fut représenté par une dispersion, celui de Nebucadnetsar par les « sept temps », et celui de Belshazzar par « deux mille cinq cent vingt ».</w:t>
      </w:r>
    </w:p>
    <w:p>
      <w:pPr>
        <w:pStyle w:val="ArticleBody"/>
        <w:jc w:val="left"/>
      </w:pPr>
      <w:r>
        <w:rPr>
          <w:rFonts w:ascii="Leelawadee UI" w:hAnsi="Leelawadee UI" w:eastAsia="Leelawadee UI" w:cs="Leelawadee UI"/>
        </w:rPr>
        <w:t>ລາຍເຊັນຂອງອາລຟາ</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ໂອເມກາ</w:t>
      </w:r>
      <w:r>
        <w:rPr>
          <w:rFonts w:ascii="Times New Roman" w:hAnsi="Times New Roman" w:eastAsia="Times New Roman" w:cs="Times New Roman"/>
        </w:rPr>
        <w:t xml:space="preserve"> </w:t>
      </w:r>
      <w:r>
        <w:rPr>
          <w:rFonts w:ascii="Leelawadee UI" w:hAnsi="Leelawadee UI" w:eastAsia="Leelawadee UI" w:cs="Leelawadee UI"/>
        </w:rPr>
        <w:t>ຊີ້ບອກວ່າ</w:t>
      </w:r>
      <w:r>
        <w:rPr>
          <w:rFonts w:ascii="Times New Roman" w:hAnsi="Times New Roman" w:eastAsia="Times New Roman" w:cs="Times New Roman"/>
        </w:rPr>
        <w:t xml:space="preserve"> </w:t>
      </w:r>
      <w:r>
        <w:rPr>
          <w:rFonts w:ascii="Leelawadee UI" w:hAnsi="Leelawadee UI" w:eastAsia="Leelawadee UI" w:cs="Leelawadee UI"/>
        </w:rPr>
        <w:t>ແນວຄຳພະຍາກອນທີ່ຖືກເປັນຕົວແທນໂດຍບົດທີສີ່</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ຫ້າ</w:t>
      </w:r>
      <w:r>
        <w:rPr>
          <w:rFonts w:ascii="Times New Roman" w:hAnsi="Times New Roman" w:eastAsia="Times New Roman" w:cs="Times New Roman"/>
        </w:rPr>
        <w:t xml:space="preserve"> </w:t>
      </w:r>
      <w:r>
        <w:rPr>
          <w:rFonts w:ascii="Leelawadee UI" w:hAnsi="Leelawadee UI" w:eastAsia="Leelawadee UI" w:cs="Leelawadee UI"/>
        </w:rPr>
        <w:t>ແມ່ນຂ່າວສານຝົນປາຍລະດູຂອງທູດສະຫວັນອົງທີສອງ</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ສຽງຮ້ອງເວລາທ່ຽງຄືນ</w:t>
      </w:r>
      <w:r>
        <w:rPr>
          <w:rFonts w:ascii="Times New Roman" w:hAnsi="Times New Roman" w:eastAsia="Times New Roman" w:cs="Times New Roman"/>
        </w:rPr>
        <w:t xml:space="preserve">. </w:t>
      </w:r>
      <w:r>
        <w:rPr>
          <w:rFonts w:ascii="Leelawadee UI" w:hAnsi="Leelawadee UI" w:eastAsia="Leelawadee UI" w:cs="Leelawadee UI"/>
        </w:rPr>
        <w:t>ແນວນັ້ນເລີ່ມຕົ້ນດ້ວຍການລົ້ມຂອງບາບີໂລນທີ່ຖືກເປັນຕົວແທນໂດຍເນບູກາດເນັດຊາ</w:t>
      </w:r>
      <w:r>
        <w:rPr>
          <w:rFonts w:ascii="Times New Roman" w:hAnsi="Times New Roman" w:eastAsia="Times New Roman" w:cs="Times New Roman"/>
        </w:rPr>
        <w:t xml:space="preserve"> </w:t>
      </w:r>
      <w:r>
        <w:rPr>
          <w:rFonts w:ascii="Leelawadee UI" w:hAnsi="Leelawadee UI" w:eastAsia="Leelawadee UI" w:cs="Leelawadee UI"/>
        </w:rPr>
        <w:t>ຊຶ່ງຊີ້ບອກເຖິງປີ</w:t>
      </w:r>
      <w:r>
        <w:rPr>
          <w:rFonts w:ascii="Times New Roman" w:hAnsi="Times New Roman" w:eastAsia="Times New Roman" w:cs="Times New Roman"/>
        </w:rPr>
        <w:t xml:space="preserve"> 1798 </w:t>
      </w:r>
      <w:r>
        <w:rPr>
          <w:rFonts w:ascii="Leelawadee UI" w:hAnsi="Leelawadee UI" w:eastAsia="Leelawadee UI" w:cs="Leelawadee UI"/>
        </w:rPr>
        <w:t>ອັນເປັນເວລາທີ່ບາບີໂລນຝ່າຍວິນຍານ</w:t>
      </w:r>
      <w:r>
        <w:rPr>
          <w:rFonts w:ascii="Times New Roman" w:hAnsi="Times New Roman" w:eastAsia="Times New Roman" w:cs="Times New Roman"/>
        </w:rPr>
        <w:t xml:space="preserve"> (</w:t>
      </w:r>
      <w:r>
        <w:rPr>
          <w:rFonts w:ascii="Leelawadee UI" w:hAnsi="Leelawadee UI" w:eastAsia="Leelawadee UI" w:cs="Leelawadee UI"/>
        </w:rPr>
        <w:t>ອຳນາດສັນຕະປາປາ</w:t>
      </w:r>
      <w:r>
        <w:rPr>
          <w:rFonts w:ascii="Times New Roman" w:hAnsi="Times New Roman" w:eastAsia="Times New Roman" w:cs="Times New Roman"/>
        </w:rPr>
        <w:t xml:space="preserve">) </w:t>
      </w:r>
      <w:r>
        <w:rPr>
          <w:rFonts w:ascii="Leelawadee UI" w:hAnsi="Leelawadee UI" w:eastAsia="Leelawadee UI" w:cs="Leelawadee UI"/>
        </w:rPr>
        <w:t>ໄດ້ລົ້ມເປັນຄັ້ງທຳອິດ</w:t>
      </w:r>
      <w:r>
        <w:rPr>
          <w:rFonts w:ascii="Times New Roman" w:hAnsi="Times New Roman" w:eastAsia="Times New Roman" w:cs="Times New Roman"/>
        </w:rPr>
        <w:t xml:space="preserve">. </w:t>
      </w:r>
      <w:r>
        <w:rPr>
          <w:rFonts w:ascii="Leelawadee UI" w:hAnsi="Leelawadee UI" w:eastAsia="Leelawadee UI" w:cs="Leelawadee UI"/>
        </w:rPr>
        <w:t>ຈາກນັ້ນ</w:t>
      </w:r>
      <w:r>
        <w:rPr>
          <w:rFonts w:ascii="Times New Roman" w:hAnsi="Times New Roman" w:eastAsia="Times New Roman" w:cs="Times New Roman"/>
        </w:rPr>
        <w:t xml:space="preserve"> </w:t>
      </w:r>
      <w:r>
        <w:rPr>
          <w:rFonts w:ascii="Leelawadee UI" w:hAnsi="Leelawadee UI" w:eastAsia="Leelawadee UI" w:cs="Leelawadee UI"/>
        </w:rPr>
        <w:t>ທີ່ຕອນທ້າຍຂອງແນວນັ້ນ</w:t>
      </w:r>
      <w:r>
        <w:rPr>
          <w:rFonts w:ascii="Times New Roman" w:hAnsi="Times New Roman" w:eastAsia="Times New Roman" w:cs="Times New Roman"/>
        </w:rPr>
        <w:t xml:space="preserve"> </w:t>
      </w:r>
      <w:r>
        <w:rPr>
          <w:rFonts w:ascii="Leelawadee UI" w:hAnsi="Leelawadee UI" w:eastAsia="Leelawadee UI" w:cs="Leelawadee UI"/>
        </w:rPr>
        <w:t>ບາບີໂລນຂອງເບນຊັດຊາໄດ້ລົ້ມລົງ</w:t>
      </w:r>
      <w:r>
        <w:rPr>
          <w:rFonts w:ascii="Times New Roman" w:hAnsi="Times New Roman" w:eastAsia="Times New Roman" w:cs="Times New Roman"/>
        </w:rPr>
        <w:t xml:space="preserve"> </w:t>
      </w:r>
      <w:r>
        <w:rPr>
          <w:rFonts w:ascii="Leelawadee UI" w:hAnsi="Leelawadee UI" w:eastAsia="Leelawadee UI" w:cs="Leelawadee UI"/>
        </w:rPr>
        <w:t>ເປັນເຄື່ອງໝາຍເຖິງການເລີ່ມຕົ້ນແຫ່ງການລົ້ມລົງຢ່າງຕໍ່ເນື່ອງຂອງບາບີໂລນຝ່າຍວິນຍານ</w:t>
      </w:r>
      <w:r>
        <w:rPr>
          <w:rFonts w:ascii="Times New Roman" w:hAnsi="Times New Roman" w:eastAsia="Times New Roman" w:cs="Times New Roman"/>
        </w:rPr>
        <w:t xml:space="preserve"> (</w:t>
      </w:r>
      <w:r>
        <w:rPr>
          <w:rFonts w:ascii="Leelawadee UI" w:hAnsi="Leelawadee UI" w:eastAsia="Leelawadee UI" w:cs="Leelawadee UI"/>
        </w:rPr>
        <w:t>ອຳນາດສັນຕະປາປາອີກຄັ້ງໜຶ່ງ</w:t>
      </w:r>
      <w:r>
        <w:rPr>
          <w:rFonts w:ascii="Times New Roman" w:hAnsi="Times New Roman" w:eastAsia="Times New Roman" w:cs="Times New Roman"/>
        </w:rPr>
        <w:t xml:space="preserve">) </w:t>
      </w:r>
      <w:r>
        <w:rPr>
          <w:rFonts w:ascii="Leelawadee UI" w:hAnsi="Leelawadee UI" w:eastAsia="Leelawadee UI" w:cs="Leelawadee UI"/>
        </w:rPr>
        <w:t>ໂດຍເລີ່ມຕົ້ນໃນວິກິດກົດໝາຍວັນອາທິດ</w:t>
      </w:r>
      <w:r>
        <w:rPr>
          <w:rFonts w:ascii="Times New Roman" w:hAnsi="Times New Roman" w:eastAsia="Times New Roman" w:cs="Times New Roman"/>
        </w:rPr>
        <w:t xml:space="preserve">. </w:t>
      </w:r>
      <w:r>
        <w:rPr>
          <w:rFonts w:ascii="Leelawadee UI" w:hAnsi="Leelawadee UI" w:eastAsia="Leelawadee UI" w:cs="Leelawadee UI"/>
        </w:rPr>
        <w:t>ມີພະຍານສອງປະການກ່ຽວກັບການລົ້ມຂອງບາບີໂລນຢູ່ຕົ້ນແນວ</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ມີພະຍານສອງປະການຢູ່ຕອນທ້າຍ</w:t>
      </w:r>
      <w:r>
        <w:rPr>
          <w:rFonts w:ascii="Times New Roman" w:hAnsi="Times New Roman" w:eastAsia="Times New Roman" w:cs="Times New Roman"/>
        </w:rPr>
        <w:t xml:space="preserve">. </w:t>
      </w:r>
      <w:r>
        <w:rPr>
          <w:rFonts w:ascii="Leelawadee UI" w:hAnsi="Leelawadee UI" w:eastAsia="Leelawadee UI" w:cs="Leelawadee UI"/>
        </w:rPr>
        <w:t>ເຫດຜົນແຫ່ງຄຳພະຍາກອນຮັບຮູ້ລາຍເຊັນຂອງພຣະຜູ້ເປັນການເລີ່ມຕົ້ນ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ການສິ້ນສຸດອັນຍິ່ງໃຫຍ່</w:t>
      </w:r>
      <w:r>
        <w:rPr>
          <w:rFonts w:ascii="Times New Roman" w:hAnsi="Times New Roman" w:eastAsia="Times New Roman" w:cs="Times New Roman"/>
        </w:rPr>
        <w:t xml:space="preserve"> </w:t>
      </w:r>
      <w:r>
        <w:rPr>
          <w:rFonts w:ascii="Leelawadee UI" w:hAnsi="Leelawadee UI" w:eastAsia="Leelawadee UI" w:cs="Leelawadee UI"/>
        </w:rPr>
        <w:t>ພ້ອມທັງເຫັນວ່າ</w:t>
      </w:r>
      <w:r>
        <w:rPr>
          <w:rFonts w:ascii="Times New Roman" w:hAnsi="Times New Roman" w:eastAsia="Times New Roman" w:cs="Times New Roman"/>
        </w:rPr>
        <w:t xml:space="preserve"> </w:t>
      </w:r>
      <w:r>
        <w:rPr>
          <w:rFonts w:ascii="Leelawadee UI" w:hAnsi="Leelawadee UI" w:eastAsia="Leelawadee UI" w:cs="Leelawadee UI"/>
        </w:rPr>
        <w:t>ຫົວຂໍ້ເລື່ອງການລົ້ມຂອງບາບີໂລນນັ້ນ</w:t>
      </w:r>
      <w:r>
        <w:rPr>
          <w:rFonts w:ascii="Times New Roman" w:hAnsi="Times New Roman" w:eastAsia="Times New Roman" w:cs="Times New Roman"/>
        </w:rPr>
        <w:t xml:space="preserve"> </w:t>
      </w:r>
      <w:r>
        <w:rPr>
          <w:rFonts w:ascii="Leelawadee UI" w:hAnsi="Leelawadee UI" w:eastAsia="Leelawadee UI" w:cs="Leelawadee UI"/>
        </w:rPr>
        <w:t>ໄດ້ຖືກຢືນຢັນໂດຍພະຍານສີ່ປະການໃນແນວທີ່ຖືກເປັນຕົວແທນໂດຍພຣະທຳດານີເອນບົດທີສີ່</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ຫ້າ</w:t>
      </w:r>
      <w:r>
        <w:rPr>
          <w:rFonts w:ascii="Times New Roman" w:hAnsi="Times New Roman" w:eastAsia="Times New Roman" w:cs="Times New Roman"/>
        </w:rPr>
        <w:t>.</w:t>
      </w:r>
    </w:p>
    <w:p>
      <w:pPr>
        <w:pStyle w:val="ArticleBody"/>
        <w:jc w:val="left"/>
      </w:pP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ዘመናትን</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በማስተካከል</w:t>
      </w:r>
      <w:r>
        <w:rPr>
          <w:rFonts w:ascii="Times New Roman" w:hAnsi="Times New Roman" w:eastAsia="Times New Roman" w:cs="Times New Roman"/>
        </w:rPr>
        <w:t xml:space="preserve"> </w:t>
      </w:r>
      <w:r>
        <w:rPr>
          <w:rFonts w:ascii="Ebrima" w:hAnsi="Ebrima" w:eastAsia="Ebrima" w:cs="Ebrima"/>
        </w:rPr>
        <w:t>በናቡከደነፆርና</w:t>
      </w:r>
      <w:r>
        <w:rPr>
          <w:rFonts w:ascii="Times New Roman" w:hAnsi="Times New Roman" w:eastAsia="Times New Roman" w:cs="Times New Roman"/>
        </w:rPr>
        <w:t xml:space="preserve"> </w:t>
      </w:r>
      <w:r>
        <w:rPr>
          <w:rFonts w:ascii="Ebrima" w:hAnsi="Ebrima" w:eastAsia="Ebrima" w:cs="Ebrima"/>
        </w:rPr>
        <w:t>በቤልሻጸር</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ባለው</w:t>
      </w:r>
      <w:r>
        <w:rPr>
          <w:rFonts w:ascii="Times New Roman" w:hAnsi="Times New Roman" w:eastAsia="Times New Roman" w:cs="Times New Roman"/>
        </w:rPr>
        <w:t xml:space="preserve"> </w:t>
      </w:r>
      <w:r>
        <w:rPr>
          <w:rFonts w:ascii="Ebrima" w:hAnsi="Ebrima" w:eastAsia="Ebrima" w:cs="Ebrima"/>
        </w:rPr>
        <w:t>የአይነትና</w:t>
      </w:r>
      <w:r>
        <w:rPr>
          <w:rFonts w:ascii="Times New Roman" w:hAnsi="Times New Roman" w:eastAsia="Times New Roman" w:cs="Times New Roman"/>
        </w:rPr>
        <w:t xml:space="preserve"> </w:t>
      </w:r>
      <w:r>
        <w:rPr>
          <w:rFonts w:ascii="Ebrima" w:hAnsi="Ebrima" w:eastAsia="Ebrima" w:cs="Ebrima"/>
        </w:rPr>
        <w:t>የፍጻሜ</w:t>
      </w:r>
      <w:r>
        <w:rPr>
          <w:rFonts w:ascii="Times New Roman" w:hAnsi="Times New Roman" w:eastAsia="Times New Roman" w:cs="Times New Roman"/>
        </w:rPr>
        <w:t xml:space="preserve"> </w:t>
      </w:r>
      <w:r>
        <w:rPr>
          <w:rFonts w:ascii="Ebrima" w:hAnsi="Ebrima" w:eastAsia="Ebrima" w:cs="Ebrima"/>
        </w:rPr>
        <w:t>ተዛማጅነት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የምድር</w:t>
      </w:r>
      <w:r>
        <w:rPr>
          <w:rFonts w:ascii="Times New Roman" w:hAnsi="Times New Roman" w:eastAsia="Times New Roman" w:cs="Times New Roman"/>
        </w:rPr>
        <w:t xml:space="preserve"> </w:t>
      </w:r>
      <w:r>
        <w:rPr>
          <w:rFonts w:ascii="Ebrima" w:hAnsi="Ebrima" w:eastAsia="Ebrima" w:cs="Ebrima"/>
        </w:rPr>
        <w:t>አውሬው</w:t>
      </w:r>
      <w:r>
        <w:rPr>
          <w:rFonts w:ascii="Times New Roman" w:hAnsi="Times New Roman" w:eastAsia="Times New Roman" w:cs="Times New Roman"/>
        </w:rPr>
        <w:t xml:space="preserve"> </w:t>
      </w:r>
      <w:r>
        <w:rPr>
          <w:rFonts w:ascii="Ebrima" w:hAnsi="Ebrima" w:eastAsia="Ebrima" w:cs="Ebrima"/>
        </w:rPr>
        <w:t>በበግ</w:t>
      </w:r>
      <w:r>
        <w:rPr>
          <w:rFonts w:ascii="Times New Roman" w:hAnsi="Times New Roman" w:eastAsia="Times New Roman" w:cs="Times New Roman"/>
        </w:rPr>
        <w:t xml:space="preserve"> </w:t>
      </w:r>
      <w:r>
        <w:rPr>
          <w:rFonts w:ascii="Ebrima" w:hAnsi="Ebrima" w:eastAsia="Ebrima" w:cs="Ebrima"/>
        </w:rPr>
        <w:t>የሚመስል</w:t>
      </w:r>
      <w:r>
        <w:rPr>
          <w:rFonts w:ascii="Times New Roman" w:hAnsi="Times New Roman" w:eastAsia="Times New Roman" w:cs="Times New Roman"/>
        </w:rPr>
        <w:t xml:space="preserve"> </w:t>
      </w:r>
      <w:r>
        <w:rPr>
          <w:rFonts w:ascii="Ebrima" w:hAnsi="Ebrima" w:eastAsia="Ebrima" w:cs="Ebrima"/>
        </w:rPr>
        <w:t>ሁኔታው</w:t>
      </w:r>
      <w:r>
        <w:rPr>
          <w:rFonts w:ascii="Times New Roman" w:hAnsi="Times New Roman" w:eastAsia="Times New Roman" w:cs="Times New Roman"/>
        </w:rPr>
        <w:t xml:space="preserve"> </w:t>
      </w:r>
      <w:r>
        <w:rPr>
          <w:rFonts w:ascii="Ebrima" w:hAnsi="Ebrima" w:eastAsia="Ebrima" w:cs="Ebrima"/>
        </w:rPr>
        <w:t>በናቡከደነፆር</w:t>
      </w:r>
      <w:r>
        <w:rPr>
          <w:rFonts w:ascii="Times New Roman" w:hAnsi="Times New Roman" w:eastAsia="Times New Roman" w:cs="Times New Roman"/>
        </w:rPr>
        <w:t xml:space="preserve"> </w:t>
      </w:r>
      <w:r>
        <w:rPr>
          <w:rFonts w:ascii="Ebrima" w:hAnsi="Ebrima" w:eastAsia="Ebrima" w:cs="Ebrima"/>
        </w:rPr>
        <w:t>እንደተወከለ</w:t>
      </w:r>
      <w:r>
        <w:rPr>
          <w:rFonts w:ascii="Times New Roman" w:hAnsi="Times New Roman" w:eastAsia="Times New Roman" w:cs="Times New Roman"/>
        </w:rPr>
        <w:t xml:space="preserve"> </w:t>
      </w:r>
      <w:r>
        <w:rPr>
          <w:rFonts w:ascii="Ebrima" w:hAnsi="Ebrima" w:eastAsia="Ebrima" w:cs="Ebrima"/>
        </w:rPr>
        <w:t>እናገኛለን፤</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ዘንዶ</w:t>
      </w:r>
      <w:r>
        <w:rPr>
          <w:rFonts w:ascii="Times New Roman" w:hAnsi="Times New Roman" w:eastAsia="Times New Roman" w:cs="Times New Roman"/>
        </w:rPr>
        <w:t xml:space="preserve"> </w:t>
      </w:r>
      <w:r>
        <w:rPr>
          <w:rFonts w:ascii="Ebrima" w:hAnsi="Ebrima" w:eastAsia="Ebrima" w:cs="Ebrima"/>
        </w:rPr>
        <w:t>ሲናገር</w:t>
      </w:r>
      <w:r>
        <w:rPr>
          <w:rFonts w:ascii="Times New Roman" w:hAnsi="Times New Roman" w:eastAsia="Times New Roman" w:cs="Times New Roman"/>
        </w:rPr>
        <w:t xml:space="preserve"> </w:t>
      </w:r>
      <w:r>
        <w:rPr>
          <w:rFonts w:ascii="Ebrima" w:hAnsi="Ebrima" w:eastAsia="Ebrima" w:cs="Ebrima"/>
        </w:rPr>
        <w:t>ቤልሻጸርን</w:t>
      </w:r>
      <w:r>
        <w:rPr>
          <w:rFonts w:ascii="Times New Roman" w:hAnsi="Times New Roman" w:eastAsia="Times New Roman" w:cs="Times New Roman"/>
        </w:rPr>
        <w:t xml:space="preserve"> </w:t>
      </w:r>
      <w:r>
        <w:rPr>
          <w:rFonts w:ascii="Ebrima" w:hAnsi="Ebrima" w:eastAsia="Ebrima" w:cs="Ebrima"/>
        </w:rPr>
        <w:t>እናያለን።</w:t>
      </w:r>
      <w:r>
        <w:rPr>
          <w:rFonts w:ascii="Times New Roman" w:hAnsi="Times New Roman" w:eastAsia="Times New Roman" w:cs="Times New Roman"/>
        </w:rPr>
        <w:t xml:space="preserve"> </w:t>
      </w:r>
      <w:r>
        <w:rPr>
          <w:rFonts w:ascii="Ebrima" w:hAnsi="Ebrima" w:eastAsia="Ebrima" w:cs="Ebrima"/>
        </w:rPr>
        <w:t>በትንቢታዊ</w:t>
      </w:r>
      <w:r>
        <w:rPr>
          <w:rFonts w:ascii="Times New Roman" w:hAnsi="Times New Roman" w:eastAsia="Times New Roman" w:cs="Times New Roman"/>
        </w:rPr>
        <w:t xml:space="preserve"> </w:t>
      </w:r>
      <w:r>
        <w:rPr>
          <w:rFonts w:ascii="Ebrima" w:hAnsi="Ebrima" w:eastAsia="Ebrima" w:cs="Ebrima"/>
        </w:rPr>
        <w:t>ግንኙነቱም፣</w:t>
      </w:r>
      <w:r>
        <w:rPr>
          <w:rFonts w:ascii="Times New Roman" w:hAnsi="Times New Roman" w:eastAsia="Times New Roman" w:cs="Times New Roman"/>
        </w:rPr>
        <w:t xml:space="preserve"> </w:t>
      </w:r>
      <w:r>
        <w:rPr>
          <w:rFonts w:ascii="Ebrima" w:hAnsi="Ebrima" w:eastAsia="Ebrima" w:cs="Ebrima"/>
        </w:rPr>
        <w:t>በአሜሪካ</w:t>
      </w:r>
      <w:r>
        <w:rPr>
          <w:rFonts w:ascii="Times New Roman" w:hAnsi="Times New Roman" w:eastAsia="Times New Roman" w:cs="Times New Roman"/>
        </w:rPr>
        <w:t xml:space="preserve"> </w:t>
      </w:r>
      <w:r>
        <w:rPr>
          <w:rFonts w:ascii="Ebrima" w:hAnsi="Ebrima" w:eastAsia="Ebrima" w:cs="Ebrima"/>
        </w:rPr>
        <w:t>ዩናይትድ</w:t>
      </w:r>
      <w:r>
        <w:rPr>
          <w:rFonts w:ascii="Times New Roman" w:hAnsi="Times New Roman" w:eastAsia="Times New Roman" w:cs="Times New Roman"/>
        </w:rPr>
        <w:t xml:space="preserve"> </w:t>
      </w:r>
      <w:r>
        <w:rPr>
          <w:rFonts w:ascii="Ebrima" w:hAnsi="Ebrima" w:eastAsia="Ebrima" w:cs="Ebrima"/>
        </w:rPr>
        <w:t>ስቴትስ</w:t>
      </w:r>
      <w:r>
        <w:rPr>
          <w:rFonts w:ascii="Times New Roman" w:hAnsi="Times New Roman" w:eastAsia="Times New Roman" w:cs="Times New Roman"/>
        </w:rPr>
        <w:t xml:space="preserve"> </w:t>
      </w:r>
      <w:r>
        <w:rPr>
          <w:rFonts w:ascii="Ebrima" w:hAnsi="Ebrima" w:eastAsia="Ebrima" w:cs="Ebrima"/>
        </w:rPr>
        <w:t>ሕገ</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የሚመራው</w:t>
      </w:r>
      <w:r>
        <w:rPr>
          <w:rFonts w:ascii="Times New Roman" w:hAnsi="Times New Roman" w:eastAsia="Times New Roman" w:cs="Times New Roman"/>
        </w:rPr>
        <w:t xml:space="preserve"> </w:t>
      </w:r>
      <w:r>
        <w:rPr>
          <w:rFonts w:ascii="Ebrima" w:hAnsi="Ebrima" w:eastAsia="Ebrima" w:cs="Ebrima"/>
        </w:rPr>
        <w:t>የሪፐብሊካን</w:t>
      </w:r>
      <w:r>
        <w:rPr>
          <w:rFonts w:ascii="Times New Roman" w:hAnsi="Times New Roman" w:eastAsia="Times New Roman" w:cs="Times New Roman"/>
        </w:rPr>
        <w:t xml:space="preserve"> </w:t>
      </w:r>
      <w:r>
        <w:rPr>
          <w:rFonts w:ascii="Ebrima" w:hAnsi="Ebrima" w:eastAsia="Ebrima" w:cs="Ebrima"/>
        </w:rPr>
        <w:t>ቀንድ</w:t>
      </w:r>
      <w:r>
        <w:rPr>
          <w:rFonts w:ascii="Times New Roman" w:hAnsi="Times New Roman" w:eastAsia="Times New Roman" w:cs="Times New Roman"/>
        </w:rPr>
        <w:t xml:space="preserve"> </w:t>
      </w:r>
      <w:r>
        <w:rPr>
          <w:rFonts w:ascii="Ebrima" w:hAnsi="Ebrima" w:eastAsia="Ebrima" w:cs="Ebrima"/>
        </w:rPr>
        <w:t>በናቡከደነፆር</w:t>
      </w:r>
      <w:r>
        <w:rPr>
          <w:rFonts w:ascii="Times New Roman" w:hAnsi="Times New Roman" w:eastAsia="Times New Roman" w:cs="Times New Roman"/>
        </w:rPr>
        <w:t xml:space="preserve"> </w:t>
      </w:r>
      <w:r>
        <w:rPr>
          <w:rFonts w:ascii="Ebrima" w:hAnsi="Ebrima" w:eastAsia="Ebrima" w:cs="Ebrima"/>
        </w:rPr>
        <w:t>እንደተወከለ፣</w:t>
      </w:r>
      <w:r>
        <w:rPr>
          <w:rFonts w:ascii="Times New Roman" w:hAnsi="Times New Roman" w:eastAsia="Times New Roman" w:cs="Times New Roman"/>
        </w:rPr>
        <w:t xml:space="preserve"> </w:t>
      </w:r>
      <w:r>
        <w:rPr>
          <w:rFonts w:ascii="Ebrima" w:hAnsi="Ebrima" w:eastAsia="Ebrima" w:cs="Ebrima"/>
        </w:rPr>
        <w:t>ሕገ</w:t>
      </w:r>
      <w:r>
        <w:rPr>
          <w:rFonts w:ascii="Times New Roman" w:hAnsi="Times New Roman" w:eastAsia="Times New Roman" w:cs="Times New Roman"/>
        </w:rPr>
        <w:t xml:space="preserve"> </w:t>
      </w:r>
      <w:r>
        <w:rPr>
          <w:rFonts w:ascii="Ebrima" w:hAnsi="Ebrima" w:eastAsia="Ebrima" w:cs="Ebrima"/>
        </w:rPr>
        <w:t>መንግሥቱም</w:t>
      </w:r>
      <w:r>
        <w:rPr>
          <w:rFonts w:ascii="Times New Roman" w:hAnsi="Times New Roman" w:eastAsia="Times New Roman" w:cs="Times New Roman"/>
        </w:rPr>
        <w:t xml:space="preserve"> </w:t>
      </w:r>
      <w:r>
        <w:rPr>
          <w:rFonts w:ascii="Ebrima" w:hAnsi="Ebrima" w:eastAsia="Ebrima" w:cs="Ebrima"/>
        </w:rPr>
        <w:t>መገልበጥ</w:t>
      </w:r>
      <w:r>
        <w:rPr>
          <w:rFonts w:ascii="Times New Roman" w:hAnsi="Times New Roman" w:eastAsia="Times New Roman" w:cs="Times New Roman"/>
        </w:rPr>
        <w:t xml:space="preserve"> </w:t>
      </w:r>
      <w:r>
        <w:rPr>
          <w:rFonts w:ascii="Ebrima" w:hAnsi="Ebrima" w:eastAsia="Ebrima" w:cs="Ebrima"/>
        </w:rPr>
        <w:t>በቤልሻጸር</w:t>
      </w:r>
      <w:r>
        <w:rPr>
          <w:rFonts w:ascii="Times New Roman" w:hAnsi="Times New Roman" w:eastAsia="Times New Roman" w:cs="Times New Roman"/>
        </w:rPr>
        <w:t xml:space="preserve"> </w:t>
      </w:r>
      <w:r>
        <w:rPr>
          <w:rFonts w:ascii="Ebrima" w:hAnsi="Ebrima" w:eastAsia="Ebrima" w:cs="Ebrima"/>
        </w:rPr>
        <w:t>እንደተወከለ</w:t>
      </w:r>
      <w:r>
        <w:rPr>
          <w:rFonts w:ascii="Times New Roman" w:hAnsi="Times New Roman" w:eastAsia="Times New Roman" w:cs="Times New Roman"/>
        </w:rPr>
        <w:t xml:space="preserve"> </w:t>
      </w:r>
      <w:r>
        <w:rPr>
          <w:rFonts w:ascii="Ebrima" w:hAnsi="Ebrima" w:eastAsia="Ebrima" w:cs="Ebrima"/>
        </w:rPr>
        <w:t>እናያለን።</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ናቡከደነፆርን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ጥበበኛ</w:t>
      </w:r>
      <w:r>
        <w:rPr>
          <w:rFonts w:ascii="Times New Roman" w:hAnsi="Times New Roman" w:eastAsia="Times New Roman" w:cs="Times New Roman"/>
        </w:rPr>
        <w:t xml:space="preserve"> </w:t>
      </w:r>
      <w:r>
        <w:rPr>
          <w:rFonts w:ascii="Ebrima" w:hAnsi="Ebrima" w:eastAsia="Ebrima" w:cs="Ebrima"/>
        </w:rPr>
        <w:t>ድንግል፣</w:t>
      </w:r>
      <w:r>
        <w:rPr>
          <w:rFonts w:ascii="Times New Roman" w:hAnsi="Times New Roman" w:eastAsia="Times New Roman" w:cs="Times New Roman"/>
        </w:rPr>
        <w:t xml:space="preserve"> </w:t>
      </w:r>
      <w:r>
        <w:rPr>
          <w:rFonts w:ascii="Ebrima" w:hAnsi="Ebrima" w:eastAsia="Ebrima" w:cs="Ebrima"/>
        </w:rPr>
        <w:t>ቤልሻጸርንም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ሰነፍ</w:t>
      </w:r>
      <w:r>
        <w:rPr>
          <w:rFonts w:ascii="Times New Roman" w:hAnsi="Times New Roman" w:eastAsia="Times New Roman" w:cs="Times New Roman"/>
        </w:rPr>
        <w:t xml:space="preserve"> </w:t>
      </w:r>
      <w:r>
        <w:rPr>
          <w:rFonts w:ascii="Ebrima" w:hAnsi="Ebrima" w:eastAsia="Ebrima" w:cs="Ebrima"/>
        </w:rPr>
        <w:t>ድንግል</w:t>
      </w:r>
      <w:r>
        <w:rPr>
          <w:rFonts w:ascii="Times New Roman" w:hAnsi="Times New Roman" w:eastAsia="Times New Roman" w:cs="Times New Roman"/>
        </w:rPr>
        <w:t xml:space="preserve"> </w:t>
      </w:r>
      <w:r>
        <w:rPr>
          <w:rFonts w:ascii="Ebrima" w:hAnsi="Ebrima" w:eastAsia="Ebrima" w:cs="Ebrima"/>
        </w:rPr>
        <w:t>እናያለን።</w:t>
      </w:r>
    </w:p>
    <w:p>
      <w:pPr>
        <w:pStyle w:val="ArticleBody"/>
        <w:jc w:val="left"/>
      </w:pPr>
      <w:r>
        <w:rPr>
          <w:rFonts w:ascii="Times New Roman" w:hAnsi="Times New Roman" w:eastAsia="Times New Roman" w:cs="Times New Roman"/>
        </w:rPr>
        <w:t>Nous poursuivrons notre étude des chapitres quatre et cinq du livre de Daniel dans le prochain article.</w:t>
      </w:r>
    </w:p>
    <w:p>
      <w:pPr>
        <w:pStyle w:val="ArticleScripture"/>
        <w:jc w:val="left"/>
      </w:pPr>
      <w:r>
        <w:rPr>
          <w:rFonts w:ascii="Times New Roman" w:hAnsi="Times New Roman" w:eastAsia="Times New Roman" w:cs="Times New Roman"/>
        </w:rPr>
        <w:t>“Belshazzar se ne e filwe dibaka tse dintsi tsa go itse le go dira thato ya Modimo. O ne a bone rragwemogoloagwe Nebukadenesare a lelekwa mo setšhabeng sa batho. O ne a bone tlhaloganyo e kgosi e e ikgogomosang e neng e ipelafatsa ka yone e tseelwa kgakala ke Ene yo o e neileng. O ne a bone kgosi e kobiwa mo bogosing jwa yone, mme e dirwa molekane wa dibatana tsa naga. Mme lorato lwa Belshazzar lwa boitumelo le go ikgodisa lo ne lwa phimola dithuto tse a neng a sa tshwanela go di lebala le ka motlha; mme a dira dibe tse di tshwanang le tse di neng tsa tlisetsa Nebukadenesare dikatlholo tse di bonalang sentle. O ne a senya dibaka tse a di neilweng ka bopelonomi, a tlhokomologa go dirisa dibaka tse di neng di le mo seemong sa gagwe gore a tle a tlwaelane le boammaaruri. ‘Ke tshwanetse go dira eng gore ke bolokwe?’ e ne e le potso e kgosi e kgolo mme e le sematla e neng ya e feta fela ka go sa kgathale.”</w:t>
      </w:r>
    </w:p>
    <w:p>
      <w:pPr>
        <w:pStyle w:val="ArticleScripture"/>
        <w:jc w:val="left"/>
      </w:pPr>
      <w:r>
        <w:rPr>
          <w:rFonts w:ascii="Times New Roman" w:hAnsi="Times New Roman" w:eastAsia="Times New Roman" w:cs="Times New Roman"/>
        </w:rPr>
        <w:t>«Това е опасността на днешната безразсъдна, необуздана младост. Божията ръка ще събуди грешника, както събуди Валтасар, но за мнозина ще бъде твърде късно да се покаят. »</w:t>
      </w:r>
    </w:p>
    <w:p>
      <w:pPr>
        <w:pStyle w:val="ArticleScripture"/>
        <w:jc w:val="left"/>
      </w:pPr>
      <w:r>
        <w:rPr>
          <w:rFonts w:ascii="Times New Roman" w:hAnsi="Times New Roman" w:eastAsia="Times New Roman" w:cs="Times New Roman"/>
        </w:rPr>
        <w:t>“Die heerser van Babilon het rykdom en eer besit, en in sy hoogmoedige selfoorgawe het hy hom verhef teen die God van hemel en aarde. Hy het op sy eie arm vertrou en nie vermoed dat iemand dit sou waag om te sê: ‘Waarom doen u dit?’ nie. Maar toe die geheimsinnige hand letters op die muur van sy paleis skryf, is Belsasar met ontsag vervul en tot swye gebring. In ’n oomblik is hy volkome van sy krag ontneem en soos ’n kind verneder. Hy het besef dat hy uitgelewer was aan die genade van Een wat groter is as Belsasar. Hy het met heilige dinge gespot. Nou is sy gewete wakker geskud. Hy het besef dat hy die voorreg gehad het om die wil van God te ken en te doen. Die geskiedenis van sy grootvader het net so lewendig voor hom gestaan soos die skrif aan die muur.” Bible Echo, 25 April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vingt-cinq</dc:title>
  <dc:subject>La Révélation du Déclin de Babylone : un passage prophétique de Nebucadnetsar à Belshazzar</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