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Vingt-six</w:t>
      </w:r>
    </w:p>
    <w:p>
      <w:pPr>
        <w:pStyle w:val="ArticleSubtitle"/>
        <w:jc w:val="left"/>
      </w:pPr>
      <w:r>
        <w:rPr>
          <w:rFonts w:ascii="Nirmala UI" w:hAnsi="Nirmala UI" w:eastAsia="Nirmala UI" w:cs="Nirmala UI"/>
        </w:rPr>
        <w:t>ਸੱਤ</w:t>
      </w:r>
      <w:r>
        <w:rPr>
          <w:rFonts w:ascii="Arial" w:hAnsi="Arial" w:eastAsia="Arial" w:cs="Arial"/>
        </w:rPr>
        <w:t xml:space="preserve"> </w:t>
      </w:r>
      <w:r>
        <w:rPr>
          <w:rFonts w:ascii="Nirmala UI" w:hAnsi="Nirmala UI" w:eastAsia="Nirmala UI" w:cs="Nirmala UI"/>
        </w:rPr>
        <w:t>ਕਾਲਾਂ</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ਨਬੂਕਦਨੱਸਰ</w:t>
      </w:r>
      <w:r>
        <w:rPr>
          <w:rFonts w:ascii="Arial" w:hAnsi="Arial" w:eastAsia="Arial" w:cs="Arial"/>
        </w:rPr>
        <w:t xml:space="preserve">: </w:t>
      </w:r>
      <w:r>
        <w:rPr>
          <w:rFonts w:ascii="Nirmala UI" w:hAnsi="Nirmala UI" w:eastAsia="Nirmala UI" w:cs="Nirmala UI"/>
        </w:rPr>
        <w:t>ਇੱਕ</w:t>
      </w:r>
      <w:r>
        <w:rPr>
          <w:rFonts w:ascii="Arial" w:hAnsi="Arial" w:eastAsia="Arial" w:cs="Arial"/>
        </w:rPr>
        <w:t xml:space="preserve"> </w:t>
      </w:r>
      <w:r>
        <w:rPr>
          <w:rFonts w:ascii="Nirmala UI" w:hAnsi="Nirmala UI" w:eastAsia="Nirmala UI" w:cs="Nirmala UI"/>
        </w:rPr>
        <w:t>ਭਵਿੱਖਬਾਣੀਕ</w:t>
      </w:r>
      <w:r>
        <w:rPr>
          <w:rFonts w:ascii="Arial" w:hAnsi="Arial" w:eastAsia="Arial" w:cs="Arial"/>
        </w:rPr>
        <w:t xml:space="preserve"> </w:t>
      </w:r>
      <w:r>
        <w:rPr>
          <w:rFonts w:ascii="Nirmala UI" w:hAnsi="Nirmala UI" w:eastAsia="Nirmala UI" w:cs="Nirmala UI"/>
        </w:rPr>
        <w:t>ਗੁੰਥਣ</w:t>
      </w:r>
      <w:r>
        <w:rPr>
          <w:rFonts w:ascii="Arial" w:hAnsi="Arial" w:eastAsia="Arial" w:cs="Arial"/>
        </w:rPr>
        <w:t xml:space="preserve"> </w:t>
      </w:r>
      <w:r>
        <w:rPr>
          <w:rFonts w:ascii="Nirmala UI" w:hAnsi="Nirmala UI" w:eastAsia="Nirmala UI" w:cs="Nirmala UI"/>
        </w:rPr>
        <w:t>ਜੋ</w:t>
      </w:r>
      <w:r>
        <w:rPr>
          <w:rFonts w:ascii="Arial" w:hAnsi="Arial" w:eastAsia="Arial" w:cs="Arial"/>
        </w:rPr>
        <w:t xml:space="preserve"> </w:t>
      </w:r>
      <w:r>
        <w:rPr>
          <w:rFonts w:ascii="Nirmala UI" w:hAnsi="Nirmala UI" w:eastAsia="Nirmala UI" w:cs="Nirmala UI"/>
        </w:rPr>
        <w:t>ਬੁਤਪਰਸਤੀ</w:t>
      </w:r>
      <w:r>
        <w:rPr>
          <w:rFonts w:ascii="Arial" w:hAnsi="Arial" w:eastAsia="Arial" w:cs="Arial"/>
        </w:rPr>
        <w:t xml:space="preserve">, </w:t>
      </w:r>
      <w:r>
        <w:rPr>
          <w:rFonts w:ascii="Nirmala UI" w:hAnsi="Nirmala UI" w:eastAsia="Nirmala UI" w:cs="Nirmala UI"/>
        </w:rPr>
        <w:t>ਪਾਪਾਈ</w:t>
      </w:r>
      <w:r>
        <w:rPr>
          <w:rFonts w:ascii="Arial" w:hAnsi="Arial" w:eastAsia="Arial" w:cs="Arial"/>
        </w:rPr>
        <w:t xml:space="preserve"> </w:t>
      </w:r>
      <w:r>
        <w:rPr>
          <w:rFonts w:ascii="Nirmala UI" w:hAnsi="Nirmala UI" w:eastAsia="Nirmala UI" w:cs="Nirmala UI"/>
        </w:rPr>
        <w:t>ਪ੍ਰਣਾਲੀ</w:t>
      </w:r>
      <w:r>
        <w:rPr>
          <w:rFonts w:ascii="Arial" w:hAnsi="Arial" w:eastAsia="Arial" w:cs="Arial"/>
        </w:rPr>
        <w:t xml:space="preserve"> </w:t>
      </w:r>
      <w:r>
        <w:rPr>
          <w:rFonts w:ascii="Nirmala UI" w:hAnsi="Nirmala UI" w:eastAsia="Nirmala UI" w:cs="Nirmala UI"/>
        </w:rPr>
        <w:t>ਅਤੇ</w:t>
      </w:r>
      <w:r>
        <w:rPr>
          <w:rFonts w:ascii="Arial" w:hAnsi="Arial" w:eastAsia="Arial" w:cs="Arial"/>
        </w:rPr>
        <w:t xml:space="preserve"> </w:t>
      </w:r>
      <w:r>
        <w:rPr>
          <w:rFonts w:ascii="Nirmala UI" w:hAnsi="Nirmala UI" w:eastAsia="Nirmala UI" w:cs="Nirmala UI"/>
        </w:rPr>
        <w:t>ਸੰਯੁਕਤ</w:t>
      </w:r>
      <w:r>
        <w:rPr>
          <w:rFonts w:ascii="Arial" w:hAnsi="Arial" w:eastAsia="Arial" w:cs="Arial"/>
        </w:rPr>
        <w:t xml:space="preserve"> </w:t>
      </w:r>
      <w:r>
        <w:rPr>
          <w:rFonts w:ascii="Nirmala UI" w:hAnsi="Nirmala UI" w:eastAsia="Nirmala UI" w:cs="Nirmala UI"/>
        </w:rPr>
        <w:t>ਰਾਜ</w:t>
      </w:r>
      <w:r>
        <w:rPr>
          <w:rFonts w:ascii="Arial" w:hAnsi="Arial" w:eastAsia="Arial" w:cs="Arial"/>
        </w:rPr>
        <w:t xml:space="preserve"> </w:t>
      </w:r>
      <w:r>
        <w:rPr>
          <w:rFonts w:ascii="Nirmala UI" w:hAnsi="Nirmala UI" w:eastAsia="Nirmala UI" w:cs="Nirmala UI"/>
        </w:rPr>
        <w:t>ਅਮਰੀਕਾ</w:t>
      </w:r>
      <w:r>
        <w:rPr>
          <w:rFonts w:ascii="Arial" w:hAnsi="Arial" w:eastAsia="Arial" w:cs="Arial"/>
        </w:rPr>
        <w:t xml:space="preserve"> </w:t>
      </w:r>
      <w:r>
        <w:rPr>
          <w:rFonts w:ascii="Nirmala UI" w:hAnsi="Nirmala UI" w:eastAsia="Nirmala UI" w:cs="Nirmala UI"/>
        </w:rPr>
        <w:t>ਨੂੰ</w:t>
      </w:r>
      <w:r>
        <w:rPr>
          <w:rFonts w:ascii="Arial" w:hAnsi="Arial" w:eastAsia="Arial" w:cs="Arial"/>
        </w:rPr>
        <w:t xml:space="preserve"> </w:t>
      </w:r>
      <w:r>
        <w:rPr>
          <w:rFonts w:ascii="Nirmala UI" w:hAnsi="Nirmala UI" w:eastAsia="Nirmala UI" w:cs="Nirmala UI"/>
        </w:rPr>
        <w:t>ਪ੍ਰਗਟ</w:t>
      </w:r>
      <w:r>
        <w:rPr>
          <w:rFonts w:ascii="Arial" w:hAnsi="Arial" w:eastAsia="Arial" w:cs="Arial"/>
        </w:rPr>
        <w:t xml:space="preserve"> </w:t>
      </w:r>
      <w:r>
        <w:rPr>
          <w:rFonts w:ascii="Nirmala UI" w:hAnsi="Nirmala UI" w:eastAsia="Nirmala UI" w:cs="Nirmala UI"/>
        </w:rPr>
        <w:t>ਕਰਦੀ</w:t>
      </w:r>
      <w:r>
        <w:rPr>
          <w:rFonts w:ascii="Arial" w:hAnsi="Arial" w:eastAsia="Arial" w:cs="Arial"/>
        </w:rPr>
        <w:t xml:space="preserve"> </w:t>
      </w:r>
      <w:r>
        <w:rPr>
          <w:rFonts w:ascii="Nirmala UI" w:hAnsi="Nirmala UI" w:eastAsia="Nirmala UI" w:cs="Nirmala UI"/>
        </w:rPr>
        <w:t>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Le symbole de Nebucadnetsar au chapitre quatre est saisissant. Ses « sept temps » préfiguraient les périodes durant lesquelles le paganisme (le perpétuel) et la papauté (la transgression dévastatrice) foulèrent aux pieds le sanctuaire et l’armée.</w:t>
      </w:r>
    </w:p>
    <w:p>
      <w:pPr>
        <w:pStyle w:val="ArticleScripture"/>
        <w:jc w:val="left"/>
      </w:pPr>
      <w:r>
        <w:rPr>
          <w:rFonts w:ascii="Times New Roman" w:hAnsi="Times New Roman" w:eastAsia="Times New Roman" w:cs="Times New Roman"/>
        </w:rPr>
        <w:t>Puis j’entendis un saint qui parlait; et un autre saint dit à celui qui parlait: Jusques à quand durera la vision concernant le sacrifice perpétuel et la transgression dévastatrice, pour livrer à la fois le sanctuaire et l’armée à être foulés aux pieds? Daniel 8:13.</w:t>
      </w:r>
    </w:p>
    <w:p>
      <w:pPr>
        <w:pStyle w:val="ArticleBody"/>
        <w:jc w:val="left"/>
      </w:pPr>
      <w:r>
        <w:rPr>
          <w:rFonts w:ascii="Times New Roman" w:hAnsi="Times New Roman" w:eastAsia="Times New Roman" w:cs="Times New Roman"/>
        </w:rPr>
        <w:t>Kuburandurwa kw’“Ubuturo bwera n’ingabo,” kuvugwa mu murongo wa cumi na gatatu, kugereranya na ya “bihe birindwi” byari ibya nyuma muri bibiri by’uburakari bw’Imana; kandi “bihe birindwi” bya Nebukadinezari bigereranya na bya “bihe birindwi” byari ibya mbere by’uburakari bw’Imana, ariko byombi bihagararirwa mu buhanuzi nk’umurongo umwe.</w:t>
      </w:r>
    </w:p>
    <w:p>
      <w:pPr>
        <w:pStyle w:val="ArticleScripture"/>
        <w:jc w:val="left"/>
      </w:pPr>
      <w:r>
        <w:rPr>
          <w:rFonts w:ascii="Times New Roman" w:hAnsi="Times New Roman" w:eastAsia="Times New Roman" w:cs="Times New Roman"/>
        </w:rPr>
        <w:t>Na nitanyoosha juu ya Yerusalemu kamba ya Samaria, na timazi ya nyumba ya Ahabu; nami nitaifuta Yerusalemu kama mtu aifutavyo sahani, akiifuta na kuigeuza juu chini. 2 Wafalme 21:13.</w:t>
      </w:r>
    </w:p>
    <w:p>
      <w:pPr>
        <w:pStyle w:val="ArticleBody"/>
        <w:jc w:val="left"/>
      </w:pPr>
      <w:r>
        <w:rPr>
          <w:rFonts w:ascii="Times New Roman" w:hAnsi="Times New Roman" w:eastAsia="Times New Roman" w:cs="Times New Roman"/>
        </w:rPr>
        <w:t>Daniel chapitre huit, et le verset treize, traite de la seconde ligne des indignations de Dieu, telle qu’elle fut exercée contre le royaume méridional de Juda, à partir de 677 av. J.-C. Les « sept temps » de Nebucadnetsar représentent la ligne de la première indignation de Dieu, telle qu’elle fut exercée contre le royaume septentrional d’Israël, à partir de 723 av. J.-C. Les « sept temps » de Nebucadnetsar représentent mille deux cent soixante années durant lesquelles le paganisme foula aux pieds le sanctuaire et l’armée, suivies des mille deux cent soixante années durant lesquelles la papauté foula aux pieds le sanctuaire et l’armée.</w:t>
      </w:r>
    </w:p>
    <w:p>
      <w:pPr>
        <w:pStyle w:val="ArticleBody"/>
        <w:jc w:val="left"/>
      </w:pPr>
      <w:r>
        <w:rPr>
          <w:rFonts w:ascii="Times New Roman" w:hAnsi="Times New Roman" w:eastAsia="Times New Roman" w:cs="Times New Roman"/>
        </w:rPr>
        <w:t>Papalismus est tout simplement le paganisme revêtu de la profession du christianisme. Un « paganisme baptisé », pour ainsi dire. Il n’y a dans le catholicisme rien qui représente le Christ ni le christianisme. Le monde a appris ce fait dans l’histoire du Moyen Âge, mais depuis 1798, le monde l’a oublié. La papauté a le même cœur que le paganisme. La religion et les rites des religions sont identiques. Le jugement de Nebucadnetsar des « sept temps » consista en ce qu’un cœur de bête lui fut donné. Le cœur de bête qui lui fut donné était le cœur qui représentait la religion du paganisme, qu’il s’agît du paganisme ouvertement professé ou du paganisme voilé sous la forme du catholicisme. Sœur White identifie le dragon d’Apocalypse douze à Satan, mais, dans un sens secondaire, il désigne la Rome païenne.</w:t>
      </w:r>
    </w:p>
    <w:p>
      <w:pPr>
        <w:pStyle w:val="ArticleScripture"/>
        <w:jc w:val="left"/>
      </w:pPr>
      <w:r>
        <w:rPr>
          <w:rFonts w:ascii="Times New Roman" w:hAnsi="Times New Roman" w:eastAsia="Times New Roman" w:cs="Times New Roman"/>
        </w:rPr>
        <w:t>« Ainsi, bien que le dragon représente, au sens premier, Satan, il est aussi, au sens secondaire, un symbole de la Rome païenne. » The Great Controversy, 439.</w:t>
      </w:r>
    </w:p>
    <w:p>
      <w:pPr>
        <w:pStyle w:val="ArticleBody"/>
        <w:jc w:val="left"/>
      </w:pPr>
      <w:r>
        <w:rPr>
          <w:rFonts w:ascii="Times New Roman" w:hAnsi="Times New Roman" w:eastAsia="Times New Roman" w:cs="Times New Roman"/>
        </w:rPr>
        <w:t>La bête que Nebucadnetsar représentait pendant « sept temps » fut la bête du dragon pendant mille deux cent soixante jours, puis la bête du catholicisme pendant encore mille deux cent soixante jours. À la fin de ces jours, Nebucadnetsar est un symbole des États-Unis, qui sont finalement le faux prophète. Prophétiquement, Nebucadnetsar représentait le dragon, la bête et le faux prophète, qui sont les trois puissances constituant Babylone spirituelle et qui conduisent le monde à Armageddon. Nebucadnetsar représente Babylone littérale et, ce faisant, il fut employé comme symbole des trois puissances qui composent la Babylone spirituelle des derniers jours.</w:t>
      </w:r>
    </w:p>
    <w:p>
      <w:pPr>
        <w:pStyle w:val="ArticleBody"/>
        <w:jc w:val="left"/>
      </w:pPr>
      <w:r>
        <w:rPr>
          <w:rFonts w:ascii="Times New Roman" w:hAnsi="Times New Roman" w:eastAsia="Times New Roman" w:cs="Times New Roman"/>
        </w:rPr>
        <w:t>Afin de reconnaître le symbolisme qui vient d’être identifié, il est important de situer d’abord Nebucadnetsar en 1798, lorsque son royaume est rétabli à la fin des « sept temps ». Nous établirons ce repère dans le chapitre quatre de Daniel, avant de commencer à parcourir le chapitre d’une manière plus systématique.</w:t>
      </w:r>
    </w:p>
    <w:p>
      <w:pPr>
        <w:pStyle w:val="ArticleBody"/>
        <w:jc w:val="left"/>
      </w:pPr>
      <w:r>
        <w:rPr>
          <w:rFonts w:ascii="Times New Roman" w:hAnsi="Times New Roman" w:eastAsia="Times New Roman" w:cs="Times New Roman"/>
        </w:rPr>
        <w:t>Aku “bere fɛɛr de ban” ci 1798, a yalaŋ Danyɛli dafaŋa, ka yalaŋ o kɛlɛra o la a taamako la ka kɛnɛyaara ka nyɛta bɛɛ tɔɔ cogo la min bɛ se ka kɔrɔsi, ka saniya, ani ka se ka bɔ baarakɛlaw fɔɔrɔ fila. Danyɛli yalaŋa dafaŋa ye taamako-saba kɔrɔsiya kɔnɔ fɔlɔ ye, min sigilen don can minnu bɔra waati o waati la.</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ሂድ፤</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የተዘጉና</w:t>
      </w:r>
      <w:r>
        <w:rPr>
          <w:rFonts w:ascii="Times New Roman" w:hAnsi="Times New Roman" w:eastAsia="Times New Roman" w:cs="Times New Roman"/>
        </w:rPr>
        <w:t xml:space="preserve"> </w:t>
      </w:r>
      <w:r>
        <w:rPr>
          <w:rFonts w:ascii="Ebrima" w:hAnsi="Ebrima" w:eastAsia="Ebrima" w:cs="Ebrima"/>
        </w:rPr>
        <w:t>የታተሙ</w:t>
      </w:r>
      <w:r>
        <w:rPr>
          <w:rFonts w:ascii="Times New Roman" w:hAnsi="Times New Roman" w:eastAsia="Times New Roman" w:cs="Times New Roman"/>
        </w:rPr>
        <w:t xml:space="preserve"> </w:t>
      </w:r>
      <w:r>
        <w:rPr>
          <w:rFonts w:ascii="Ebrima" w:hAnsi="Ebrima" w:eastAsia="Ebrima" w:cs="Ebrima"/>
        </w:rPr>
        <w:t>ናቸውና።</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ይነጻሉ፥</w:t>
      </w:r>
      <w:r>
        <w:rPr>
          <w:rFonts w:ascii="Times New Roman" w:hAnsi="Times New Roman" w:eastAsia="Times New Roman" w:cs="Times New Roman"/>
        </w:rPr>
        <w:t xml:space="preserve"> </w:t>
      </w:r>
      <w:r>
        <w:rPr>
          <w:rFonts w:ascii="Ebrima" w:hAnsi="Ebrima" w:eastAsia="Ebrima" w:cs="Ebrima"/>
        </w:rPr>
        <w:t>ነጭም</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ይፈተኑማል፤</w:t>
      </w:r>
      <w:r>
        <w:rPr>
          <w:rFonts w:ascii="Times New Roman" w:hAnsi="Times New Roman" w:eastAsia="Times New Roman" w:cs="Times New Roman"/>
        </w:rPr>
        <w:t xml:space="preserve"> </w:t>
      </w:r>
      <w:r>
        <w:rPr>
          <w:rFonts w:ascii="Ebrima" w:hAnsi="Ebrima" w:eastAsia="Ebrima" w:cs="Ebrima"/>
        </w:rPr>
        <w:t>ክፉዎች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ያደርጋሉ፤</w:t>
      </w:r>
      <w:r>
        <w:rPr>
          <w:rFonts w:ascii="Times New Roman" w:hAnsi="Times New Roman" w:eastAsia="Times New Roman" w:cs="Times New Roman"/>
        </w:rPr>
        <w:t xml:space="preserve"> </w:t>
      </w:r>
      <w:r>
        <w:rPr>
          <w:rFonts w:ascii="Ebrima" w:hAnsi="Ebrima" w:eastAsia="Ebrima" w:cs="Ebrima"/>
        </w:rPr>
        <w:t>ከክፉዎችም</w:t>
      </w:r>
      <w:r>
        <w:rPr>
          <w:rFonts w:ascii="Times New Roman" w:hAnsi="Times New Roman" w:eastAsia="Times New Roman" w:cs="Times New Roman"/>
        </w:rPr>
        <w:t xml:space="preserve"> </w:t>
      </w:r>
      <w:r>
        <w:rPr>
          <w:rFonts w:ascii="Ebrima" w:hAnsi="Ebrima" w:eastAsia="Ebrima" w:cs="Ebrima"/>
        </w:rPr>
        <w:t>አንዳቸው</w:t>
      </w:r>
      <w:r>
        <w:rPr>
          <w:rFonts w:ascii="Times New Roman" w:hAnsi="Times New Roman" w:eastAsia="Times New Roman" w:cs="Times New Roman"/>
        </w:rPr>
        <w:t xml:space="preserve"> </w:t>
      </w:r>
      <w:r>
        <w:rPr>
          <w:rFonts w:ascii="Ebrima" w:hAnsi="Ebrima" w:eastAsia="Ebrima" w:cs="Ebrima"/>
        </w:rPr>
        <w:t>አያስተውሉም፤</w:t>
      </w:r>
      <w:r>
        <w:rPr>
          <w:rFonts w:ascii="Times New Roman" w:hAnsi="Times New Roman" w:eastAsia="Times New Roman" w:cs="Times New Roman"/>
        </w:rPr>
        <w:t xml:space="preserve"> </w:t>
      </w:r>
      <w:r>
        <w:rPr>
          <w:rFonts w:ascii="Ebrima" w:hAnsi="Ebrima" w:eastAsia="Ebrima" w:cs="Ebrima"/>
        </w:rPr>
        <w:t>ጥበበኞች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ያስተውላሉ።</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12</w:t>
      </w:r>
      <w:r>
        <w:rPr>
          <w:rFonts w:ascii="Ebrima" w:hAnsi="Ebrima" w:eastAsia="Ebrima" w:cs="Ebrima"/>
        </w:rPr>
        <w:t>፥</w:t>
      </w:r>
      <w:r>
        <w:rPr>
          <w:rFonts w:ascii="Times New Roman" w:hAnsi="Times New Roman" w:eastAsia="Times New Roman" w:cs="Times New Roman"/>
        </w:rPr>
        <w:t>9, 10</w:t>
      </w:r>
      <w:r>
        <w:rPr>
          <w:rFonts w:ascii="Ebrima" w:hAnsi="Ebrima" w:eastAsia="Ebrima" w:cs="Ebrima"/>
        </w:rPr>
        <w:t>።</w:t>
      </w:r>
    </w:p>
    <w:p>
      <w:pPr>
        <w:pStyle w:val="ArticleBody"/>
        <w:jc w:val="left"/>
      </w:pPr>
      <w:r>
        <w:rPr>
          <w:rFonts w:ascii="Times New Roman" w:hAnsi="Times New Roman" w:eastAsia="Times New Roman" w:cs="Times New Roman"/>
        </w:rPr>
        <w:t>L’objectif prophétique du descellement du livre, qui se compose du livre de Daniel et du livre de l’Apocalypse, est de mettre à l’épreuve la génération qui est vivante pendant l’histoire où le livre est descellé. Dans Daniel douze, trois prophéties de temps sont identifiées. La première est les mille deux cent soixante années durant lesquelles la puissance du peuple saint devait être dispersée.</w:t>
      </w:r>
    </w:p>
    <w:p>
      <w:pPr>
        <w:pStyle w:val="ArticleScripture"/>
        <w:jc w:val="left"/>
      </w:pPr>
      <w:r>
        <w:rPr>
          <w:rFonts w:ascii="Times New Roman" w:hAnsi="Times New Roman" w:eastAsia="Times New Roman" w:cs="Times New Roman"/>
        </w:rPr>
        <w:t>Ngunit ikaw, Oh Daniel, isara mo ang mga salita, at tatakan mo ang aklat, hanggang sa panahon ng kawakasan: marami ang paroo’t parito, at ang kaalaman ay lalago. Nang magkagayo’y akong si Daniel ay tumingin, at narito, may nakatayong dalawa pa, ang isa sa dakong ito ng pampang ng ilog, at ang isa naman sa dakong yaon ng pampang ng ilog. At may nagsabi sa lalaking nadaramtan ng lino, na nasa ibabaw ng mga tubig ng ilog, Hanggang kailan mangyayari ang wakas ng mga kababalaghang ito? At aking narinig ang lalaking nadaramtan ng lino, na nasa ibabaw ng mga tubig ng ilog, nang itaas niya ang kaniyang kanang kamay at ang kaniyang kaliwang kamay sa langit, at sumumpa sa kaniya na nabubuhay magpakailanman na magiging sa isang panahon, mga panahon, at kalahati ng isang panahon; at kapag natapos na niyang pangalatin ang kapangyarihan ng banal na bayan, lahat ng mga bagay na ito ay matatapos. Daniel 12:4–7.</w:t>
      </w:r>
    </w:p>
    <w:p>
      <w:pPr>
        <w:pStyle w:val="ArticleBody"/>
        <w:jc w:val="left"/>
      </w:pPr>
      <w:r>
        <w:rPr>
          <w:rFonts w:ascii="Times New Roman" w:hAnsi="Times New Roman" w:eastAsia="Times New Roman" w:cs="Times New Roman"/>
        </w:rPr>
        <w:t>Les deux autres périodes prophétiques du chapitre douze sont de mille deux cent quatre-vingt-dix jours et de mille trois cent trente-cinq jours.</w:t>
      </w:r>
    </w:p>
    <w:p>
      <w:pPr>
        <w:pStyle w:val="ArticleScripture"/>
        <w:jc w:val="left"/>
      </w:pPr>
      <w:r>
        <w:rPr>
          <w:rFonts w:ascii="Nirmala UI" w:hAnsi="Nirmala UI" w:eastAsia="Nirmala UI" w:cs="Nirmala UI"/>
        </w:rPr>
        <w:t>വേറെ</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ഗ്രഹിച്ചില്ല</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ചോദിച്ചു</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കാര്യങ്ങളുടെ</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എന്തായിരിക്കും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അരുളിച്ചെയ്തു</w:t>
      </w:r>
      <w:r>
        <w:rPr>
          <w:rFonts w:ascii="Times New Roman" w:hAnsi="Times New Roman" w:eastAsia="Times New Roman" w:cs="Times New Roman"/>
        </w:rPr>
        <w:t xml:space="preserve">: </w:t>
      </w:r>
      <w:r>
        <w:rPr>
          <w:rFonts w:ascii="Nirmala UI" w:hAnsi="Nirmala UI" w:eastAsia="Nirmala UI" w:cs="Nirmala UI"/>
        </w:rPr>
        <w:t>ദാനിയേലേ</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വഴിക്കുപോവുക</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വാക്കുകൾ</w:t>
      </w:r>
      <w:r>
        <w:rPr>
          <w:rFonts w:ascii="Times New Roman" w:hAnsi="Times New Roman" w:eastAsia="Times New Roman" w:cs="Times New Roman"/>
        </w:rPr>
        <w:t xml:space="preserve"> </w:t>
      </w:r>
      <w:r>
        <w:rPr>
          <w:rFonts w:ascii="Nirmala UI" w:hAnsi="Nirmala UI" w:eastAsia="Nirmala UI" w:cs="Nirmala UI"/>
        </w:rPr>
        <w:t>അന്ത്യകാലംവരെ</w:t>
      </w:r>
      <w:r>
        <w:rPr>
          <w:rFonts w:ascii="Times New Roman" w:hAnsi="Times New Roman" w:eastAsia="Times New Roman" w:cs="Times New Roman"/>
        </w:rPr>
        <w:t xml:space="preserve"> </w:t>
      </w:r>
      <w:r>
        <w:rPr>
          <w:rFonts w:ascii="Nirmala UI" w:hAnsi="Nirmala UI" w:eastAsia="Nirmala UI" w:cs="Nirmala UI"/>
        </w:rPr>
        <w:t>അടച്ചുവെക്കപ്പെട്ടും</w:t>
      </w:r>
      <w:r>
        <w:rPr>
          <w:rFonts w:ascii="Times New Roman" w:hAnsi="Times New Roman" w:eastAsia="Times New Roman" w:cs="Times New Roman"/>
        </w:rPr>
        <w:t xml:space="preserve"> </w:t>
      </w:r>
      <w:r>
        <w:rPr>
          <w:rFonts w:ascii="Nirmala UI" w:hAnsi="Nirmala UI" w:eastAsia="Nirmala UI" w:cs="Nirmala UI"/>
        </w:rPr>
        <w:t>മുദ്രയിടപ്പെട്ടും</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പലരും</w:t>
      </w:r>
      <w:r>
        <w:rPr>
          <w:rFonts w:ascii="Times New Roman" w:hAnsi="Times New Roman" w:eastAsia="Times New Roman" w:cs="Times New Roman"/>
        </w:rPr>
        <w:t xml:space="preserve"> </w:t>
      </w:r>
      <w:r>
        <w:rPr>
          <w:rFonts w:ascii="Nirmala UI" w:hAnsi="Nirmala UI" w:eastAsia="Nirmala UI" w:cs="Nirmala UI"/>
        </w:rPr>
        <w:t>ശുദ്ധീകരിക്കപ്പെടുകയും</w:t>
      </w:r>
      <w:r>
        <w:rPr>
          <w:rFonts w:ascii="Times New Roman" w:hAnsi="Times New Roman" w:eastAsia="Times New Roman" w:cs="Times New Roman"/>
        </w:rPr>
        <w:t xml:space="preserve"> </w:t>
      </w:r>
      <w:r>
        <w:rPr>
          <w:rFonts w:ascii="Nirmala UI" w:hAnsi="Nirmala UI" w:eastAsia="Nirmala UI" w:cs="Nirmala UI"/>
        </w:rPr>
        <w:t>വെളുപ്പിക്കപ്പെടുകയും</w:t>
      </w:r>
      <w:r>
        <w:rPr>
          <w:rFonts w:ascii="Times New Roman" w:hAnsi="Times New Roman" w:eastAsia="Times New Roman" w:cs="Times New Roman"/>
        </w:rPr>
        <w:t xml:space="preserve"> </w:t>
      </w:r>
      <w:r>
        <w:rPr>
          <w:rFonts w:ascii="Nirmala UI" w:hAnsi="Nirmala UI" w:eastAsia="Nirmala UI" w:cs="Nirmala UI"/>
        </w:rPr>
        <w:t>പരീക്ഷിക്കപ്പെടുകയും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ദുഷ്ടന്മാർ</w:t>
      </w:r>
      <w:r>
        <w:rPr>
          <w:rFonts w:ascii="Times New Roman" w:hAnsi="Times New Roman" w:eastAsia="Times New Roman" w:cs="Times New Roman"/>
        </w:rPr>
        <w:t xml:space="preserve"> </w:t>
      </w:r>
      <w:r>
        <w:rPr>
          <w:rFonts w:ascii="Nirmala UI" w:hAnsi="Nirmala UI" w:eastAsia="Nirmala UI" w:cs="Nirmala UI"/>
        </w:rPr>
        <w:t>ദുഷ്ടത</w:t>
      </w:r>
      <w:r>
        <w:rPr>
          <w:rFonts w:ascii="Times New Roman" w:hAnsi="Times New Roman" w:eastAsia="Times New Roman" w:cs="Times New Roman"/>
        </w:rPr>
        <w:t xml:space="preserve"> </w:t>
      </w:r>
      <w:r>
        <w:rPr>
          <w:rFonts w:ascii="Nirmala UI" w:hAnsi="Nirmala UI" w:eastAsia="Nirmala UI" w:cs="Nirmala UI"/>
        </w:rPr>
        <w:t>ചെയ്യുകയും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ദുഷ്ടന്മാരിൽ</w:t>
      </w:r>
      <w:r>
        <w:rPr>
          <w:rFonts w:ascii="Times New Roman" w:hAnsi="Times New Roman" w:eastAsia="Times New Roman" w:cs="Times New Roman"/>
        </w:rPr>
        <w:t xml:space="preserve"> </w:t>
      </w:r>
      <w:r>
        <w:rPr>
          <w:rFonts w:ascii="Nirmala UI" w:hAnsi="Nirmala UI" w:eastAsia="Nirmala UI" w:cs="Nirmala UI"/>
        </w:rPr>
        <w:t>ആരും</w:t>
      </w:r>
      <w:r>
        <w:rPr>
          <w:rFonts w:ascii="Times New Roman" w:hAnsi="Times New Roman" w:eastAsia="Times New Roman" w:cs="Times New Roman"/>
        </w:rPr>
        <w:t xml:space="preserve"> </w:t>
      </w:r>
      <w:r>
        <w:rPr>
          <w:rFonts w:ascii="Nirmala UI" w:hAnsi="Nirmala UI" w:eastAsia="Nirmala UI" w:cs="Nirmala UI"/>
        </w:rPr>
        <w:t>ഗ്രഹിക്കയില്ല</w:t>
      </w:r>
      <w:r>
        <w:rPr>
          <w:rFonts w:ascii="Times New Roman" w:hAnsi="Times New Roman" w:eastAsia="Times New Roman" w:cs="Times New Roman"/>
        </w:rPr>
        <w:t xml:space="preserve">; </w:t>
      </w:r>
      <w:r>
        <w:rPr>
          <w:rFonts w:ascii="Nirmala UI" w:hAnsi="Nirmala UI" w:eastAsia="Nirmala UI" w:cs="Nirmala UI"/>
        </w:rPr>
        <w:t>ജ്ഞാനികൾ</w:t>
      </w:r>
      <w:r>
        <w:rPr>
          <w:rFonts w:ascii="Times New Roman" w:hAnsi="Times New Roman" w:eastAsia="Times New Roman" w:cs="Times New Roman"/>
        </w:rPr>
        <w:t xml:space="preserve"> </w:t>
      </w:r>
      <w:r>
        <w:rPr>
          <w:rFonts w:ascii="Nirmala UI" w:hAnsi="Nirmala UI" w:eastAsia="Nirmala UI" w:cs="Nirmala UI"/>
        </w:rPr>
        <w:t>മാത്രമേ</w:t>
      </w:r>
      <w:r>
        <w:rPr>
          <w:rFonts w:ascii="Times New Roman" w:hAnsi="Times New Roman" w:eastAsia="Times New Roman" w:cs="Times New Roman"/>
        </w:rPr>
        <w:t xml:space="preserve"> </w:t>
      </w:r>
      <w:r>
        <w:rPr>
          <w:rFonts w:ascii="Nirmala UI" w:hAnsi="Nirmala UI" w:eastAsia="Nirmala UI" w:cs="Nirmala UI"/>
        </w:rPr>
        <w:t>ഗ്രഹിക്കയുള്ളു</w:t>
      </w:r>
      <w:r>
        <w:rPr>
          <w:rFonts w:ascii="Times New Roman" w:hAnsi="Times New Roman" w:eastAsia="Times New Roman" w:cs="Times New Roman"/>
        </w:rPr>
        <w:t xml:space="preserve">. </w:t>
      </w:r>
      <w:r>
        <w:rPr>
          <w:rFonts w:ascii="Nirmala UI" w:hAnsi="Nirmala UI" w:eastAsia="Nirmala UI" w:cs="Nirmala UI"/>
        </w:rPr>
        <w:t>നിത്യത്യാഗം</w:t>
      </w:r>
      <w:r>
        <w:rPr>
          <w:rFonts w:ascii="Times New Roman" w:hAnsi="Times New Roman" w:eastAsia="Times New Roman" w:cs="Times New Roman"/>
        </w:rPr>
        <w:t xml:space="preserve"> </w:t>
      </w:r>
      <w:r>
        <w:rPr>
          <w:rFonts w:ascii="Nirmala UI" w:hAnsi="Nirmala UI" w:eastAsia="Nirmala UI" w:cs="Nirmala UI"/>
        </w:rPr>
        <w:t>നീക്കിക്കളയപ്പെടുകയും</w:t>
      </w:r>
      <w:r>
        <w:rPr>
          <w:rFonts w:ascii="Times New Roman" w:hAnsi="Times New Roman" w:eastAsia="Times New Roman" w:cs="Times New Roman"/>
        </w:rPr>
        <w:t xml:space="preserve"> </w:t>
      </w:r>
      <w:r>
        <w:rPr>
          <w:rFonts w:ascii="Nirmala UI" w:hAnsi="Nirmala UI" w:eastAsia="Nirmala UI" w:cs="Nirmala UI"/>
        </w:rPr>
        <w:t>ശൂന്യത</w:t>
      </w:r>
      <w:r>
        <w:rPr>
          <w:rFonts w:ascii="Times New Roman" w:hAnsi="Times New Roman" w:eastAsia="Times New Roman" w:cs="Times New Roman"/>
        </w:rPr>
        <w:t xml:space="preserve"> </w:t>
      </w:r>
      <w:r>
        <w:rPr>
          <w:rFonts w:ascii="Nirmala UI" w:hAnsi="Nirmala UI" w:eastAsia="Nirmala UI" w:cs="Nirmala UI"/>
        </w:rPr>
        <w:t>വരുത്തുന്ന</w:t>
      </w:r>
      <w:r>
        <w:rPr>
          <w:rFonts w:ascii="Times New Roman" w:hAnsi="Times New Roman" w:eastAsia="Times New Roman" w:cs="Times New Roman"/>
        </w:rPr>
        <w:t xml:space="preserve"> </w:t>
      </w:r>
      <w:r>
        <w:rPr>
          <w:rFonts w:ascii="Nirmala UI" w:hAnsi="Nirmala UI" w:eastAsia="Nirmala UI" w:cs="Nirmala UI"/>
        </w:rPr>
        <w:t>മ്ലേച്ഛവിഗ്രഹം</w:t>
      </w:r>
      <w:r>
        <w:rPr>
          <w:rFonts w:ascii="Times New Roman" w:hAnsi="Times New Roman" w:eastAsia="Times New Roman" w:cs="Times New Roman"/>
        </w:rPr>
        <w:t xml:space="preserve"> </w:t>
      </w:r>
      <w:r>
        <w:rPr>
          <w:rFonts w:ascii="Nirmala UI" w:hAnsi="Nirmala UI" w:eastAsia="Nirmala UI" w:cs="Nirmala UI"/>
        </w:rPr>
        <w:t>സ്ഥാപിക്കപ്പെടുകയും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സമയമുതൽ</w:t>
      </w:r>
      <w:r>
        <w:rPr>
          <w:rFonts w:ascii="Times New Roman" w:hAnsi="Times New Roman" w:eastAsia="Times New Roman" w:cs="Times New Roman"/>
        </w:rPr>
        <w:t xml:space="preserve"> </w:t>
      </w:r>
      <w:r>
        <w:rPr>
          <w:rFonts w:ascii="Nirmala UI" w:hAnsi="Nirmala UI" w:eastAsia="Nirmala UI" w:cs="Nirmala UI"/>
        </w:rPr>
        <w:t>ആയിരത്തി</w:t>
      </w:r>
      <w:r>
        <w:rPr>
          <w:rFonts w:ascii="Times New Roman" w:hAnsi="Times New Roman" w:eastAsia="Times New Roman" w:cs="Times New Roman"/>
        </w:rPr>
        <w:t xml:space="preserve"> </w:t>
      </w:r>
      <w:r>
        <w:rPr>
          <w:rFonts w:ascii="Nirmala UI" w:hAnsi="Nirmala UI" w:eastAsia="Nirmala UI" w:cs="Nirmala UI"/>
        </w:rPr>
        <w:t>ഇരുനൂറും</w:t>
      </w:r>
      <w:r>
        <w:rPr>
          <w:rFonts w:ascii="Times New Roman" w:hAnsi="Times New Roman" w:eastAsia="Times New Roman" w:cs="Times New Roman"/>
        </w:rPr>
        <w:t xml:space="preserve"> </w:t>
      </w:r>
      <w:r>
        <w:rPr>
          <w:rFonts w:ascii="Nirmala UI" w:hAnsi="Nirmala UI" w:eastAsia="Nirmala UI" w:cs="Nirmala UI"/>
        </w:rPr>
        <w:t>തൊണ്ണൂറും</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ഉണ്ടാകും</w:t>
      </w:r>
      <w:r>
        <w:rPr>
          <w:rFonts w:ascii="Times New Roman" w:hAnsi="Times New Roman" w:eastAsia="Times New Roman" w:cs="Times New Roman"/>
        </w:rPr>
        <w:t xml:space="preserve">. </w:t>
      </w:r>
      <w:r>
        <w:rPr>
          <w:rFonts w:ascii="Nirmala UI" w:hAnsi="Nirmala UI" w:eastAsia="Nirmala UI" w:cs="Nirmala UI"/>
        </w:rPr>
        <w:t>കാത്തிருந்து</w:t>
      </w:r>
      <w:r>
        <w:rPr>
          <w:rFonts w:ascii="Times New Roman" w:hAnsi="Times New Roman" w:eastAsia="Times New Roman" w:cs="Times New Roman"/>
        </w:rPr>
        <w:t xml:space="preserve"> </w:t>
      </w:r>
      <w:r>
        <w:rPr>
          <w:rFonts w:ascii="Nirmala UI" w:hAnsi="Nirmala UI" w:eastAsia="Nirmala UI" w:cs="Nirmala UI"/>
        </w:rPr>
        <w:t>ആയിരത്തി</w:t>
      </w:r>
      <w:r>
        <w:rPr>
          <w:rFonts w:ascii="Times New Roman" w:hAnsi="Times New Roman" w:eastAsia="Times New Roman" w:cs="Times New Roman"/>
        </w:rPr>
        <w:t xml:space="preserve"> </w:t>
      </w:r>
      <w:r>
        <w:rPr>
          <w:rFonts w:ascii="Nirmala UI" w:hAnsi="Nirmala UI" w:eastAsia="Nirmala UI" w:cs="Nirmala UI"/>
        </w:rPr>
        <w:t>മൂന്നുനൂറും</w:t>
      </w:r>
      <w:r>
        <w:rPr>
          <w:rFonts w:ascii="Times New Roman" w:hAnsi="Times New Roman" w:eastAsia="Times New Roman" w:cs="Times New Roman"/>
        </w:rPr>
        <w:t xml:space="preserve"> </w:t>
      </w:r>
      <w:r>
        <w:rPr>
          <w:rFonts w:ascii="Nirmala UI" w:hAnsi="Nirmala UI" w:eastAsia="Nirmala UI" w:cs="Nirmala UI"/>
        </w:rPr>
        <w:t>മുപ്പത്തഞ്ചും</w:t>
      </w:r>
      <w:r>
        <w:rPr>
          <w:rFonts w:ascii="Times New Roman" w:hAnsi="Times New Roman" w:eastAsia="Times New Roman" w:cs="Times New Roman"/>
        </w:rPr>
        <w:t xml:space="preserve"> </w:t>
      </w:r>
      <w:r>
        <w:rPr>
          <w:rFonts w:ascii="Nirmala UI" w:hAnsi="Nirmala UI" w:eastAsia="Nirmala UI" w:cs="Nirmala UI"/>
        </w:rPr>
        <w:t>ദിവസത്തിലെത്തുന്നവൻ</w:t>
      </w:r>
      <w:r>
        <w:rPr>
          <w:rFonts w:ascii="Times New Roman" w:hAnsi="Times New Roman" w:eastAsia="Times New Roman" w:cs="Times New Roman"/>
        </w:rPr>
        <w:t xml:space="preserve"> </w:t>
      </w:r>
      <w:r>
        <w:rPr>
          <w:rFonts w:ascii="Nirmala UI" w:hAnsi="Nirmala UI" w:eastAsia="Nirmala UI" w:cs="Nirmala UI"/>
        </w:rPr>
        <w:t>ഭാഗ്യവാൻ</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12:8–12.</w:t>
      </w:r>
    </w:p>
    <w:p>
      <w:pPr>
        <w:pStyle w:val="ArticleBody"/>
        <w:jc w:val="left"/>
      </w:pPr>
      <w:r>
        <w:rPr>
          <w:rFonts w:ascii="Times New Roman" w:hAnsi="Times New Roman" w:eastAsia="Times New Roman" w:cs="Times New Roman"/>
        </w:rPr>
        <w:t>Dans ces versets, le « temps de la fin » est mentionné à deux reprises et défini comme le moment où les paroles de Daniel devaient être descellées. Les paroles qui font l’objet de ce descellage au « temps de la fin » sont les trois périodes prophétiques de mille deux cent soixante (un temps, des temps et la moitié d’un temps), mille deux cent quatre-vingt-dix et mille trois cent trente-cinq. Deux de ces trois périodes sont définies comme des « jours ». Deux des trois prirent fin en 1798, et la troisième prit fin à l’extrême fin de 1843. C’est à l’extrême fin de 1843, car le verset déclare : « heureux celui qui attendra, et qui parviendra jusqu’à… »</w:t>
      </w:r>
    </w:p>
    <w:p>
      <w:pPr>
        <w:pStyle w:val="ArticleBody"/>
        <w:jc w:val="left"/>
      </w:pPr>
      <w:r>
        <w:rPr>
          <w:rFonts w:ascii="Times New Roman" w:hAnsi="Times New Roman" w:eastAsia="Times New Roman" w:cs="Times New Roman"/>
        </w:rPr>
        <w:t>Le mot « cometh » signifie touche. Béni donc est celui qui attend, et qui touche aussi le premier jour de 1844. Le temps du retard dans la parabole des dix vierges commença lors de la première déception de l’histoire millérite, et cette déception arriva le tout dernier jour de 1843, et le tout dernier jour de 1843 touche le tout premier jour de 1844. La bénédiction de l’attente commença lorsque le temps du retard commença à la première déception.</w:t>
      </w:r>
    </w:p>
    <w:p>
      <w:pPr>
        <w:pStyle w:val="ArticleBody"/>
        <w:jc w:val="left"/>
      </w:pPr>
      <w:r>
        <w:rPr>
          <w:rFonts w:ascii="Leelawadee UI" w:hAnsi="Leelawadee UI" w:eastAsia="Leelawadee UI" w:cs="Leelawadee UI"/>
        </w:rPr>
        <w:t>មានអ្វីជាច្រើនទៀតដែលត្រូវលើកមកពិចារណាក្នុងខទាំងនេះ</w:t>
      </w:r>
      <w:r>
        <w:rPr>
          <w:rFonts w:ascii="Times New Roman" w:hAnsi="Times New Roman" w:eastAsia="Times New Roman" w:cs="Times New Roman"/>
        </w:rPr>
        <w:t xml:space="preserve"> </w:t>
      </w:r>
      <w:r>
        <w:rPr>
          <w:rFonts w:ascii="Leelawadee UI" w:hAnsi="Leelawadee UI" w:eastAsia="Leelawadee UI" w:cs="Leelawadee UI"/>
        </w:rPr>
        <w:t>ប៉ុន្តែចំណុចដែលយើងកំពុងពិចារណានៅទីនេះ</w:t>
      </w:r>
      <w:r>
        <w:rPr>
          <w:rFonts w:ascii="Times New Roman" w:hAnsi="Times New Roman" w:eastAsia="Times New Roman" w:cs="Times New Roman"/>
        </w:rPr>
        <w:t xml:space="preserve"> </w:t>
      </w:r>
      <w:r>
        <w:rPr>
          <w:rFonts w:ascii="Leelawadee UI" w:hAnsi="Leelawadee UI" w:eastAsia="Leelawadee UI" w:cs="Leelawadee UI"/>
        </w:rPr>
        <w:t>គឺតួនាទីព្យាការីរបស់ដានីយ៉ែល។</w:t>
      </w:r>
      <w:r>
        <w:rPr>
          <w:rFonts w:ascii="Times New Roman" w:hAnsi="Times New Roman" w:eastAsia="Times New Roman" w:cs="Times New Roman"/>
        </w:rPr>
        <w:t xml:space="preserve"> </w:t>
      </w:r>
      <w:r>
        <w:rPr>
          <w:rFonts w:ascii="Leelawadee UI" w:hAnsi="Leelawadee UI" w:eastAsia="Leelawadee UI" w:cs="Leelawadee UI"/>
        </w:rPr>
        <w:t>គោលបំណងនៃសៀវភៅដានីយ៉ែល</w:t>
      </w:r>
      <w:r>
        <w:rPr>
          <w:rFonts w:ascii="Times New Roman" w:hAnsi="Times New Roman" w:eastAsia="Times New Roman" w:cs="Times New Roman"/>
        </w:rPr>
        <w:t xml:space="preserve"> </w:t>
      </w:r>
      <w:r>
        <w:rPr>
          <w:rFonts w:ascii="Leelawadee UI" w:hAnsi="Leelawadee UI" w:eastAsia="Leelawadee UI" w:cs="Leelawadee UI"/>
        </w:rPr>
        <w:t>ដែលដានីយ៉ែលតំណាងឲ្យនៅក្នុងអត្ថបទនេះ</w:t>
      </w:r>
      <w:r>
        <w:rPr>
          <w:rFonts w:ascii="Times New Roman" w:hAnsi="Times New Roman" w:eastAsia="Times New Roman" w:cs="Times New Roman"/>
        </w:rPr>
        <w:t xml:space="preserve"> </w:t>
      </w:r>
      <w:r>
        <w:rPr>
          <w:rFonts w:ascii="Leelawadee UI" w:hAnsi="Leelawadee UI" w:eastAsia="Leelawadee UI" w:cs="Leelawadee UI"/>
        </w:rPr>
        <w:t>គឺដើម្បីបង្កើតដំណើរការសាកល្បងបីជំហាន</w:t>
      </w:r>
      <w:r>
        <w:rPr>
          <w:rFonts w:ascii="Times New Roman" w:hAnsi="Times New Roman" w:eastAsia="Times New Roman" w:cs="Times New Roman"/>
        </w:rPr>
        <w:t xml:space="preserve"> </w:t>
      </w:r>
      <w:r>
        <w:rPr>
          <w:rFonts w:ascii="Leelawadee UI" w:hAnsi="Leelawadee UI" w:eastAsia="Leelawadee UI" w:cs="Leelawadee UI"/>
        </w:rPr>
        <w:t>នៅពេលសៀវភៅនោះត្រូវបានបើកត្រា។</w:t>
      </w:r>
      <w:r>
        <w:rPr>
          <w:rFonts w:ascii="Times New Roman" w:hAnsi="Times New Roman" w:eastAsia="Times New Roman" w:cs="Times New Roman"/>
        </w:rPr>
        <w:t xml:space="preserve"> </w:t>
      </w:r>
      <w:r>
        <w:rPr>
          <w:rFonts w:ascii="Leelawadee UI" w:hAnsi="Leelawadee UI" w:eastAsia="Leelawadee UI" w:cs="Leelawadee UI"/>
        </w:rPr>
        <w:t>ដានីយ៉ែលត្រូវបានប្រាប់ឲ្យទៅតាមផ្លូវរបស់ខ្លួនរហូតដល់ពេលវេលាចុងបញ្ចប់</w:t>
      </w:r>
      <w:r>
        <w:rPr>
          <w:rFonts w:ascii="Times New Roman" w:hAnsi="Times New Roman" w:eastAsia="Times New Roman" w:cs="Times New Roman"/>
        </w:rPr>
        <w:t xml:space="preserve"> </w:t>
      </w:r>
      <w:r>
        <w:rPr>
          <w:rFonts w:ascii="Leelawadee UI" w:hAnsi="Leelawadee UI" w:eastAsia="Leelawadee UI" w:cs="Leelawadee UI"/>
        </w:rPr>
        <w:t>នៅពេលដែលសៀវភៅនោះត្រូវបានបើកត្រា។</w:t>
      </w:r>
      <w:r>
        <w:rPr>
          <w:rFonts w:ascii="Times New Roman" w:hAnsi="Times New Roman" w:eastAsia="Times New Roman" w:cs="Times New Roman"/>
        </w:rPr>
        <w:t xml:space="preserve"> </w:t>
      </w:r>
      <w:r>
        <w:rPr>
          <w:rFonts w:ascii="Leelawadee UI" w:hAnsi="Leelawadee UI" w:eastAsia="Leelawadee UI" w:cs="Leelawadee UI"/>
        </w:rPr>
        <w:t>សេចក្តីសន្និដ្ឋាននៃជំពូកនេះសង្កត់ធ្ងន់លើអ្វីដែលនឹងកើតឡើង</w:t>
      </w:r>
      <w:r>
        <w:rPr>
          <w:rFonts w:ascii="Times New Roman" w:hAnsi="Times New Roman" w:eastAsia="Times New Roman" w:cs="Times New Roman"/>
        </w:rPr>
        <w:t xml:space="preserve"> </w:t>
      </w:r>
      <w:r>
        <w:rPr>
          <w:rFonts w:ascii="Leelawadee UI" w:hAnsi="Leelawadee UI" w:eastAsia="Leelawadee UI" w:cs="Leelawadee UI"/>
        </w:rPr>
        <w:t>នៅពេលដែលពេលវេលាចុងបញ្ចប់មកដល់។</w:t>
      </w:r>
    </w:p>
    <w:p>
      <w:pPr>
        <w:pStyle w:val="ArticleScripture"/>
        <w:jc w:val="left"/>
      </w:pPr>
      <w:r>
        <w:rPr>
          <w:rFonts w:ascii="Times New Roman" w:hAnsi="Times New Roman" w:eastAsia="Times New Roman" w:cs="Times New Roman"/>
        </w:rPr>
        <w:t>Lakin sən sonadək öz yolunla get; çünki sən rahatlıq tapacaq və günlərin sonunda öz qismətində duracaqsan. Daniel 12:13.</w:t>
      </w:r>
    </w:p>
    <w:p>
      <w:pPr>
        <w:pStyle w:val="ArticleBody"/>
        <w:jc w:val="left"/>
      </w:pPr>
      <w:r>
        <w:rPr>
          <w:rFonts w:ascii="Times New Roman" w:hAnsi="Times New Roman" w:eastAsia="Times New Roman" w:cs="Times New Roman"/>
        </w:rPr>
        <w:t>Le livre de Daniel devait se tenir dans son lot à la fin des jours prophétiques de Daniel.</w:t>
      </w:r>
    </w:p>
    <w:p>
      <w:pPr>
        <w:pStyle w:val="ArticleScripture"/>
        <w:jc w:val="left"/>
      </w:pPr>
      <w:r>
        <w:rPr>
          <w:rFonts w:ascii="Times New Roman" w:hAnsi="Times New Roman" w:eastAsia="Times New Roman" w:cs="Times New Roman"/>
        </w:rPr>
        <w:t>«Ло гәні малатәысӡа рус ҷыдак шьеиҭе, иара дгыланы дыҟазароуп иҿарҵаҿы һәмаҭәаҿы, Даниил ишыҟаз аиҧш, Анцәа иҳәарақәа рҭак ҟаиҵарц азхианы, Иарҭаҧхьаӡа анагӡара иазхианы». Manuscript Releases, volume 6, 108.</w:t>
      </w:r>
    </w:p>
    <w:p>
      <w:pPr>
        <w:pStyle w:val="ArticleBody"/>
        <w:jc w:val="left"/>
      </w:pPr>
      <w:r>
        <w:rPr>
          <w:rFonts w:ascii="Times New Roman" w:hAnsi="Times New Roman" w:eastAsia="Times New Roman" w:cs="Times New Roman"/>
        </w:rPr>
        <w:t>Na ngonga ya suka na 1798, Daniele atɛlɛmaki na eteni na ye, oyo emonisami na vɛrsɛ ya zomi na misato lokola “na suka ya mikolo.” Suka ya kobenganama ya Nebukadanesala ya “ntango nsambo” emonisi 1798, mpo esukaki “na suka ya mikolo.”</w:t>
      </w:r>
    </w:p>
    <w:p>
      <w:pPr>
        <w:pStyle w:val="ArticleScripture"/>
        <w:jc w:val="left"/>
      </w:pPr>
      <w:r>
        <w:rPr>
          <w:rFonts w:ascii="Times New Roman" w:hAnsi="Times New Roman" w:eastAsia="Times New Roman" w:cs="Times New Roman"/>
        </w:rPr>
        <w:t>Na mwishoni mwa siku zile mimi Nebukadneza nikainua macho yangu kuelekea mbinguni, na fahamu zangu zikanirudia, nami nikambariki Aliye Juu Sana, nikamsifu na kumheshimu yeye aishiye milele, ambaye mamlaka yake ni mamlaka ya milele, na ufalme wake ni wa kizazi hata kizazi. Na wenyeji wote wa dunia huhesabiwa kuwa si kitu; naye hufanya kama apendavyo katika jeshi la mbinguni, na kati ya wenyeji wa dunia; wala hapana awezaye kuuzuia mkono wake, au kumwambia, Unafanya nini? Wakati uo huo akili zangu zikanirudia; na kwa ajili ya utukufu wa ufalme wangu, heshima yangu na fahari yangu zikanirudia; na washauri wangu na wakuu wangu wakanitafuta; nami nikathibitishwa katika ufalme wangu, na enzi kuu zilizo bora sana zikaongezwa kwangu. Basi mimi Nebukadneza namsifu na kumtukuza na kumheshimu Mfalme wa mbinguni, ambaye kazi zake zote ni kweli, na njia zake ni hukumu; na hao waendao kwa kiburi aweza kuwashusha. Danieli 4:34–37.</w:t>
      </w:r>
    </w:p>
    <w:p>
      <w:pPr>
        <w:pStyle w:val="ArticleBody"/>
        <w:jc w:val="left"/>
      </w:pPr>
      <w:r>
        <w:rPr>
          <w:rFonts w:ascii="Times New Roman" w:hAnsi="Times New Roman" w:eastAsia="Times New Roman" w:cs="Times New Roman"/>
        </w:rPr>
        <w:t>“les derniers jours” désigne le temps de la fin en 1798. Nabuchodonosor fut alors affermi dans son royaume, lequel n’était plus l’histoire des bêtes du paganisme et de la papauté. À ce moment-là, Nabuchodonosor représentait un homme pleinement converti et, ce faisant, il représentait la bête de la terre de la prophétie biblique qui commença à régner en 1798; elle débuta comme un agneau, bien qu’elle fût destinée à parler finalement comme un dragon. Il représente la bête de la terre qui devait régner pendant soixante-dix années symboliques en accomplissement d’Ésaïe vingt-trois, de même que son royaume littéral régna pendant soixante-dix années littérales. Le symbolisme est « parfaitement hermétique ».</w:t>
      </w:r>
    </w:p>
    <w:p>
      <w:pPr>
        <w:pStyle w:val="ArticleBody"/>
        <w:jc w:val="left"/>
      </w:pPr>
      <w:r>
        <w:rPr>
          <w:rFonts w:ascii="Times New Roman" w:hAnsi="Times New Roman" w:eastAsia="Times New Roman" w:cs="Times New Roman"/>
        </w:rPr>
        <w:t>Nebuchadnezzar predstavlja proročku vezu između triju sila prikazanih u Otkrivenju, u dvanaestom i trinaestom poglavlju. Ondje su označene kao zmaj, zvijer iz mora i zvijer iz zemlje. U Otkrivenju 16 prepoznate su kao tri sile koje vode svijet prema Armagedonu. Nebukadnezarovih „sedam vremena” povezuje sve tri te zvijeri, jer doslovni Babilon predočava duhovni Babilon, a ista proročka linija koja se nalazi u knjizi proroka Danijela nastavlja se u knjizi Otkrivenja, jer se te dvije knjige međusobno dovode do savršenstva.</w:t>
      </w:r>
    </w:p>
    <w:p>
      <w:pPr>
        <w:pStyle w:val="ArticleBody"/>
        <w:jc w:val="left"/>
      </w:pPr>
      <w:r>
        <w:rPr>
          <w:rFonts w:ascii="Times New Roman" w:hAnsi="Times New Roman" w:eastAsia="Times New Roman" w:cs="Times New Roman"/>
        </w:rPr>
        <w:t>Nebucadnetsar naam 1798 ko ek nabuwatī kadi ke rūp mein dikhata hai jo ajgar, pashu, aur jhūṭhe nabī ke bīch sambandh sthāpit kartī hai. 1798 pahle farishte ke sandesh aur Millerite itihās ke liye “ant ka samay” thā. William Miller ko is bāt tak le jāyā gayā ki ve apnī pūrī nabuwatī sanrachnā ko paganism ke ajgar aur Catholicism ke pashu kī apnī pahchān par sthāpit kareṅ, lekin unhone United States ko na to dhartī ke pashu ke rūp mein aur na hī jhūṭhe nabī ke rūp mein dekhā. Ve 1798 mein “ant ka samay” se pahle kā itihās dekh sakte the, lekin bhaviṣya abhī bhaviṣya hī thā. 1989 mein “ant ka samay” par, tab in tīnoṅ shaktiyoṅ ko pahchān liyā jāegā.</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용과</w:t>
      </w:r>
      <w:r>
        <w:rPr>
          <w:rFonts w:ascii="Times New Roman" w:hAnsi="Times New Roman" w:eastAsia="Times New Roman" w:cs="Times New Roman"/>
        </w:rPr>
        <w:t xml:space="preserve"> </w:t>
      </w:r>
      <w:r>
        <w:rPr>
          <w:rFonts w:ascii="Malgun Gothic" w:hAnsi="Malgun Gothic" w:eastAsia="Malgun Gothic" w:cs="Malgun Gothic"/>
        </w:rPr>
        <w:t>짐승에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인식의</w:t>
      </w:r>
      <w:r>
        <w:rPr>
          <w:rFonts w:ascii="Times New Roman" w:hAnsi="Times New Roman" w:eastAsia="Times New Roman" w:cs="Times New Roman"/>
        </w:rPr>
        <w:t xml:space="preserve"> </w:t>
      </w:r>
      <w:r>
        <w:rPr>
          <w:rFonts w:ascii="Malgun Gothic" w:hAnsi="Malgun Gothic" w:eastAsia="Malgun Gothic" w:cs="Malgun Gothic"/>
        </w:rPr>
        <w:t>봉인은</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7</w:t>
      </w:r>
      <w:r>
        <w:rPr>
          <w:rFonts w:ascii="Malgun Gothic" w:hAnsi="Malgun Gothic" w:eastAsia="Malgun Gothic" w:cs="Malgun Gothic"/>
        </w:rPr>
        <w:t>장</w:t>
      </w:r>
      <w:r>
        <w:rPr>
          <w:rFonts w:ascii="Times New Roman" w:hAnsi="Times New Roman" w:eastAsia="Times New Roman" w:cs="Times New Roman"/>
        </w:rPr>
        <w:t>, 8</w:t>
      </w:r>
      <w:r>
        <w:rPr>
          <w:rFonts w:ascii="Malgun Gothic" w:hAnsi="Malgun Gothic" w:eastAsia="Malgun Gothic" w:cs="Malgun Gothic"/>
        </w:rPr>
        <w:t>장</w:t>
      </w:r>
      <w:r>
        <w:rPr>
          <w:rFonts w:ascii="Times New Roman" w:hAnsi="Times New Roman" w:eastAsia="Times New Roman" w:cs="Times New Roman"/>
        </w:rPr>
        <w:t>, 9</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울래</w:t>
      </w:r>
      <w:r>
        <w:rPr>
          <w:rFonts w:ascii="Times New Roman" w:hAnsi="Times New Roman" w:eastAsia="Times New Roman" w:cs="Times New Roman"/>
        </w:rPr>
        <w:t xml:space="preserve"> </w:t>
      </w:r>
      <w:r>
        <w:rPr>
          <w:rFonts w:ascii="Malgun Gothic" w:hAnsi="Malgun Gothic" w:eastAsia="Malgun Gothic" w:cs="Malgun Gothic"/>
        </w:rPr>
        <w:t>강으로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1989</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용과</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인식의</w:t>
      </w:r>
      <w:r>
        <w:rPr>
          <w:rFonts w:ascii="Times New Roman" w:hAnsi="Times New Roman" w:eastAsia="Times New Roman" w:cs="Times New Roman"/>
        </w:rPr>
        <w:t xml:space="preserve"> </w:t>
      </w:r>
      <w:r>
        <w:rPr>
          <w:rFonts w:ascii="Malgun Gothic" w:hAnsi="Malgun Gothic" w:eastAsia="Malgun Gothic" w:cs="Malgun Gothic"/>
        </w:rPr>
        <w:t>봉인은</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10</w:t>
      </w:r>
      <w:r>
        <w:rPr>
          <w:rFonts w:ascii="Malgun Gothic" w:hAnsi="Malgun Gothic" w:eastAsia="Malgun Gothic" w:cs="Malgun Gothic"/>
        </w:rPr>
        <w:t>장</w:t>
      </w:r>
      <w:r>
        <w:rPr>
          <w:rFonts w:ascii="Times New Roman" w:hAnsi="Times New Roman" w:eastAsia="Times New Roman" w:cs="Times New Roman"/>
        </w:rPr>
        <w:t>, 11</w:t>
      </w:r>
      <w:r>
        <w:rPr>
          <w:rFonts w:ascii="Malgun Gothic" w:hAnsi="Malgun Gothic" w:eastAsia="Malgun Gothic" w:cs="Malgun Gothic"/>
        </w:rPr>
        <w:t>장</w:t>
      </w:r>
      <w:r>
        <w:rPr>
          <w:rFonts w:ascii="Times New Roman" w:hAnsi="Times New Roman" w:eastAsia="Times New Roman" w:cs="Times New Roman"/>
        </w:rPr>
        <w:t>, 12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힛데겔</w:t>
      </w:r>
      <w:r>
        <w:rPr>
          <w:rFonts w:ascii="Times New Roman" w:hAnsi="Times New Roman" w:eastAsia="Times New Roman" w:cs="Times New Roman"/>
        </w:rPr>
        <w:t xml:space="preserve"> </w:t>
      </w:r>
      <w:r>
        <w:rPr>
          <w:rFonts w:ascii="Malgun Gothic" w:hAnsi="Malgun Gothic" w:eastAsia="Malgun Gothic" w:cs="Malgun Gothic"/>
        </w:rPr>
        <w:t>강으로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느부갓네살은</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도래한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운동을</w:t>
      </w:r>
      <w:r>
        <w:rPr>
          <w:rFonts w:ascii="Times New Roman" w:hAnsi="Times New Roman" w:eastAsia="Times New Roman" w:cs="Times New Roman"/>
        </w:rPr>
        <w:t xml:space="preserve"> </w:t>
      </w:r>
      <w:r>
        <w:rPr>
          <w:rFonts w:ascii="Malgun Gothic" w:hAnsi="Malgun Gothic" w:eastAsia="Malgun Gothic" w:cs="Malgun Gothic"/>
        </w:rPr>
        <w:t>대표하며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도래한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운동을</w:t>
      </w:r>
      <w:r>
        <w:rPr>
          <w:rFonts w:ascii="Times New Roman" w:hAnsi="Times New Roman" w:eastAsia="Times New Roman" w:cs="Times New Roman"/>
        </w:rPr>
        <w:t xml:space="preserve"> </w:t>
      </w:r>
      <w:r>
        <w:rPr>
          <w:rFonts w:ascii="Malgun Gothic" w:hAnsi="Malgun Gothic" w:eastAsia="Malgun Gothic" w:cs="Malgun Gothic"/>
        </w:rPr>
        <w:t>대표하는</w:t>
      </w:r>
      <w:r>
        <w:rPr>
          <w:rFonts w:ascii="Times New Roman" w:hAnsi="Times New Roman" w:eastAsia="Times New Roman" w:cs="Times New Roman"/>
        </w:rPr>
        <w:t xml:space="preserve"> </w:t>
      </w:r>
      <w:r>
        <w:rPr>
          <w:rFonts w:ascii="Malgun Gothic" w:hAnsi="Malgun Gothic" w:eastAsia="Malgun Gothic" w:cs="Malgun Gothic"/>
        </w:rPr>
        <w:t>벨사살의</w:t>
      </w:r>
      <w:r>
        <w:rPr>
          <w:rFonts w:ascii="Times New Roman" w:hAnsi="Times New Roman" w:eastAsia="Times New Roman" w:cs="Times New Roman"/>
        </w:rPr>
        <w:t xml:space="preserve"> </w:t>
      </w:r>
      <w:r>
        <w:rPr>
          <w:rFonts w:ascii="Malgun Gothic" w:hAnsi="Malgun Gothic" w:eastAsia="Malgun Gothic" w:cs="Malgun Gothic"/>
        </w:rPr>
        <w:t>예표이다</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이유로</w:t>
      </w:r>
      <w:r>
        <w:rPr>
          <w:rFonts w:ascii="Times New Roman" w:hAnsi="Times New Roman" w:eastAsia="Times New Roman" w:cs="Times New Roman"/>
        </w:rPr>
        <w:t xml:space="preserve"> 4</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느부갓네살의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꿈은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표상한다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 sept temps » de Nebucadnetsar prirent fin au « temps de la fin » en 1798, avec l’arrivée du message d’avertissement annonçant le jugement à venir. À « la fin des jours », il est un homme converti, représentant ainsi la corne républicaine de la bête qui monte de la terre, lorsqu’elle était semblable à un agneau. Il représente simultanément la corne protestante philadelphienne de la bête de la terre.</w:t>
      </w:r>
    </w:p>
    <w:p>
      <w:pPr>
        <w:pStyle w:val="ArticleBody"/>
        <w:jc w:val="left"/>
      </w:pPr>
      <w:r>
        <w:rPr>
          <w:rFonts w:ascii="Times New Roman" w:hAnsi="Times New Roman" w:eastAsia="Times New Roman" w:cs="Times New Roman"/>
        </w:rPr>
        <w:t>En tant que premier roi de Babylone, il est le type de Belshatsar, le dernier roi de Babylone. Son jugement fut préfiguré par le jugement de Nimrod, et préfigura à son tour le jugement de Belshatsar. Son jugement représentait l’ouverture du jugement investigatif le 22 octobre 1844.</w:t>
      </w:r>
    </w:p>
    <w:p>
      <w:pPr>
        <w:pStyle w:val="ArticleScripture"/>
        <w:jc w:val="left"/>
      </w:pPr>
      <w:r>
        <w:rPr>
          <w:rFonts w:ascii="Nirmala UI" w:hAnsi="Nirmala UI" w:eastAsia="Nirmala UI" w:cs="Nirmala UI"/>
        </w:rPr>
        <w:t>ನುಬುಕದ್ನೆಜ್ಜರನೆಂಬ</w:t>
      </w:r>
      <w:r>
        <w:rPr>
          <w:rFonts w:ascii="Times New Roman" w:hAnsi="Times New Roman" w:eastAsia="Times New Roman" w:cs="Times New Roman"/>
        </w:rPr>
        <w:t xml:space="preserve"> </w:t>
      </w:r>
      <w:r>
        <w:rPr>
          <w:rFonts w:ascii="Nirmala UI" w:hAnsi="Nirmala UI" w:eastAsia="Nirmala UI" w:cs="Nirmala UI"/>
        </w:rPr>
        <w:t>ಅರಸನು</w:t>
      </w:r>
      <w:r>
        <w:rPr>
          <w:rFonts w:ascii="Times New Roman" w:hAnsi="Times New Roman" w:eastAsia="Times New Roman" w:cs="Times New Roman"/>
        </w:rPr>
        <w:t xml:space="preserve">, </w:t>
      </w:r>
      <w:r>
        <w:rPr>
          <w:rFonts w:ascii="Nirmala UI" w:hAnsi="Nirmala UI" w:eastAsia="Nirmala UI" w:cs="Nirmala UI"/>
        </w:rPr>
        <w:t>ಭೂಮಿಯೆಲ್ಲೆಡೆ</w:t>
      </w:r>
      <w:r>
        <w:rPr>
          <w:rFonts w:ascii="Times New Roman" w:hAnsi="Times New Roman" w:eastAsia="Times New Roman" w:cs="Times New Roman"/>
        </w:rPr>
        <w:t xml:space="preserve"> </w:t>
      </w:r>
      <w:r>
        <w:rPr>
          <w:rFonts w:ascii="Nirmala UI" w:hAnsi="Nirmala UI" w:eastAsia="Nirmala UI" w:cs="Nirmala UI"/>
        </w:rPr>
        <w:t>ವಾಸಿಸುವ</w:t>
      </w:r>
      <w:r>
        <w:rPr>
          <w:rFonts w:ascii="Times New Roman" w:hAnsi="Times New Roman" w:eastAsia="Times New Roman" w:cs="Times New Roman"/>
        </w:rPr>
        <w:t xml:space="preserve"> </w:t>
      </w:r>
      <w:r>
        <w:rPr>
          <w:rFonts w:ascii="Nirmala UI" w:hAnsi="Nirmala UI" w:eastAsia="Nirmala UI" w:cs="Nirmala UI"/>
        </w:rPr>
        <w:t>ಸಕಲ</w:t>
      </w:r>
      <w:r>
        <w:rPr>
          <w:rFonts w:ascii="Times New Roman" w:hAnsi="Times New Roman" w:eastAsia="Times New Roman" w:cs="Times New Roman"/>
        </w:rPr>
        <w:t xml:space="preserve"> </w:t>
      </w:r>
      <w:r>
        <w:rPr>
          <w:rFonts w:ascii="Nirmala UI" w:hAnsi="Nirmala UI" w:eastAsia="Nirmala UI" w:cs="Nirmala UI"/>
        </w:rPr>
        <w:t>ಜನಾಂಗಗಳಿಗೂ</w:t>
      </w:r>
      <w:r>
        <w:rPr>
          <w:rFonts w:ascii="Times New Roman" w:hAnsi="Times New Roman" w:eastAsia="Times New Roman" w:cs="Times New Roman"/>
        </w:rPr>
        <w:t xml:space="preserve">, </w:t>
      </w:r>
      <w:r>
        <w:rPr>
          <w:rFonts w:ascii="Nirmala UI" w:hAnsi="Nirmala UI" w:eastAsia="Nirmala UI" w:cs="Nirmala UI"/>
        </w:rPr>
        <w:t>ರಾಷ್ಟ್ರಗಳಿಗೂ</w:t>
      </w:r>
      <w:r>
        <w:rPr>
          <w:rFonts w:ascii="Times New Roman" w:hAnsi="Times New Roman" w:eastAsia="Times New Roman" w:cs="Times New Roman"/>
        </w:rPr>
        <w:t xml:space="preserve">, </w:t>
      </w:r>
      <w:r>
        <w:rPr>
          <w:rFonts w:ascii="Nirmala UI" w:hAnsi="Nirmala UI" w:eastAsia="Nirmala UI" w:cs="Nirmala UI"/>
        </w:rPr>
        <w:t>ಭಾಷೆಗಳಿಗೂ</w:t>
      </w:r>
      <w:r>
        <w:rPr>
          <w:rFonts w:ascii="Times New Roman" w:hAnsi="Times New Roman" w:eastAsia="Times New Roman" w:cs="Times New Roman"/>
        </w:rPr>
        <w:t>—</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ಸಮಾಧಾನವು</w:t>
      </w:r>
      <w:r>
        <w:rPr>
          <w:rFonts w:ascii="Times New Roman" w:hAnsi="Times New Roman" w:eastAsia="Times New Roman" w:cs="Times New Roman"/>
        </w:rPr>
        <w:t xml:space="preserve"> </w:t>
      </w:r>
      <w:r>
        <w:rPr>
          <w:rFonts w:ascii="Nirmala UI" w:hAnsi="Nirmala UI" w:eastAsia="Nirmala UI" w:cs="Nirmala UI"/>
        </w:rPr>
        <w:t>ಬಹಳವಾಗಲಿ</w:t>
      </w:r>
      <w:r>
        <w:rPr>
          <w:rFonts w:ascii="Times New Roman" w:hAnsi="Times New Roman" w:eastAsia="Times New Roman" w:cs="Times New Roman"/>
        </w:rPr>
        <w:t xml:space="preserve">. </w:t>
      </w:r>
      <w:r>
        <w:rPr>
          <w:rFonts w:ascii="Nirmala UI" w:hAnsi="Nirmala UI" w:eastAsia="Nirmala UI" w:cs="Nirmala UI"/>
        </w:rPr>
        <w:t>ಪರಾತ್ಪರ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ವಿಷಯವಾಗಿ</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ಸೂಚಕ</w:t>
      </w:r>
      <w:r>
        <w:rPr>
          <w:rFonts w:ascii="Times New Roman" w:hAnsi="Times New Roman" w:eastAsia="Times New Roman" w:cs="Times New Roman"/>
        </w:rPr>
        <w:t xml:space="preserve"> </w:t>
      </w:r>
      <w:r>
        <w:rPr>
          <w:rFonts w:ascii="Nirmala UI" w:hAnsi="Nirmala UI" w:eastAsia="Nirmala UI" w:cs="Nirmala UI"/>
        </w:rPr>
        <w:t>ಕಾರ್ಯಗಳನ್ನೂ</w:t>
      </w:r>
      <w:r>
        <w:rPr>
          <w:rFonts w:ascii="Times New Roman" w:hAnsi="Times New Roman" w:eastAsia="Times New Roman" w:cs="Times New Roman"/>
        </w:rPr>
        <w:t xml:space="preserve"> </w:t>
      </w:r>
      <w:r>
        <w:rPr>
          <w:rFonts w:ascii="Nirmala UI" w:hAnsi="Nirmala UI" w:eastAsia="Nirmala UI" w:cs="Nirmala UI"/>
        </w:rPr>
        <w:t>ಅದ್ಭುತಗಳನ್ನೂ</w:t>
      </w:r>
      <w:r>
        <w:rPr>
          <w:rFonts w:ascii="Times New Roman" w:hAnsi="Times New Roman" w:eastAsia="Times New Roman" w:cs="Times New Roman"/>
        </w:rPr>
        <w:t xml:space="preserve"> </w:t>
      </w:r>
      <w:r>
        <w:rPr>
          <w:rFonts w:ascii="Nirmala UI" w:hAnsi="Nirmala UI" w:eastAsia="Nirmala UI" w:cs="Nirmala UI"/>
        </w:rPr>
        <w:t>ಪ್ರಕಟಿಸುವುದು</w:t>
      </w:r>
      <w:r>
        <w:rPr>
          <w:rFonts w:ascii="Times New Roman" w:hAnsi="Times New Roman" w:eastAsia="Times New Roman" w:cs="Times New Roman"/>
        </w:rPr>
        <w:t xml:space="preserve"> </w:t>
      </w:r>
      <w:r>
        <w:rPr>
          <w:rFonts w:ascii="Nirmala UI" w:hAnsi="Nirmala UI" w:eastAsia="Nirmala UI" w:cs="Nirmala UI"/>
        </w:rPr>
        <w:t>ಯುಕ್ತವೆಂದು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ಮನಸಿಟ್ಟೆನು</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ಸೂಚಕ</w:t>
      </w:r>
      <w:r>
        <w:rPr>
          <w:rFonts w:ascii="Times New Roman" w:hAnsi="Times New Roman" w:eastAsia="Times New Roman" w:cs="Times New Roman"/>
        </w:rPr>
        <w:t xml:space="preserve"> </w:t>
      </w:r>
      <w:r>
        <w:rPr>
          <w:rFonts w:ascii="Nirmala UI" w:hAnsi="Nirmala UI" w:eastAsia="Nirmala UI" w:cs="Nirmala UI"/>
        </w:rPr>
        <w:t>ಕಾರ್ಯಗಳು</w:t>
      </w:r>
      <w:r>
        <w:rPr>
          <w:rFonts w:ascii="Times New Roman" w:hAnsi="Times New Roman" w:eastAsia="Times New Roman" w:cs="Times New Roman"/>
        </w:rPr>
        <w:t xml:space="preserve"> </w:t>
      </w:r>
      <w:r>
        <w:rPr>
          <w:rFonts w:ascii="Nirmala UI" w:hAnsi="Nirmala UI" w:eastAsia="Nirmala UI" w:cs="Nirmala UI"/>
        </w:rPr>
        <w:t>ಎಷ್ಟೋ</w:t>
      </w:r>
      <w:r>
        <w:rPr>
          <w:rFonts w:ascii="Times New Roman" w:hAnsi="Times New Roman" w:eastAsia="Times New Roman" w:cs="Times New Roman"/>
        </w:rPr>
        <w:t xml:space="preserve"> </w:t>
      </w:r>
      <w:r>
        <w:rPr>
          <w:rFonts w:ascii="Nirmala UI" w:hAnsi="Nirmala UI" w:eastAsia="Nirmala UI" w:cs="Nirmala UI"/>
        </w:rPr>
        <w:t>ಮಹತ್ತರವಾದವು</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ಅದ್ಭುತಗಳು</w:t>
      </w:r>
      <w:r>
        <w:rPr>
          <w:rFonts w:ascii="Times New Roman" w:hAnsi="Times New Roman" w:eastAsia="Times New Roman" w:cs="Times New Roman"/>
        </w:rPr>
        <w:t xml:space="preserve"> </w:t>
      </w:r>
      <w:r>
        <w:rPr>
          <w:rFonts w:ascii="Nirmala UI" w:hAnsi="Nirmala UI" w:eastAsia="Nirmala UI" w:cs="Nirmala UI"/>
        </w:rPr>
        <w:t>ಎಷ್ಟೋ</w:t>
      </w:r>
      <w:r>
        <w:rPr>
          <w:rFonts w:ascii="Times New Roman" w:hAnsi="Times New Roman" w:eastAsia="Times New Roman" w:cs="Times New Roman"/>
        </w:rPr>
        <w:t xml:space="preserve"> </w:t>
      </w:r>
      <w:r>
        <w:rPr>
          <w:rFonts w:ascii="Nirmala UI" w:hAnsi="Nirmala UI" w:eastAsia="Nirmala UI" w:cs="Nirmala UI"/>
        </w:rPr>
        <w:t>ಪ್ರಬಲವಾದವು</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ರಾಜ್ಯವು</w:t>
      </w:r>
      <w:r>
        <w:rPr>
          <w:rFonts w:ascii="Times New Roman" w:hAnsi="Times New Roman" w:eastAsia="Times New Roman" w:cs="Times New Roman"/>
        </w:rPr>
        <w:t xml:space="preserve"> </w:t>
      </w:r>
      <w:r>
        <w:rPr>
          <w:rFonts w:ascii="Nirmala UI" w:hAnsi="Nirmala UI" w:eastAsia="Nirmala UI" w:cs="Nirmala UI"/>
        </w:rPr>
        <w:t>ನಿತ್ಯರಾಜ್ಯವಾಗಿದ್ದು</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ಆಳ್ವಿಕೆಯು</w:t>
      </w:r>
      <w:r>
        <w:rPr>
          <w:rFonts w:ascii="Times New Roman" w:hAnsi="Times New Roman" w:eastAsia="Times New Roman" w:cs="Times New Roman"/>
        </w:rPr>
        <w:t xml:space="preserve"> </w:t>
      </w:r>
      <w:r>
        <w:rPr>
          <w:rFonts w:ascii="Nirmala UI" w:hAnsi="Nirmala UI" w:eastAsia="Nirmala UI" w:cs="Nirmala UI"/>
        </w:rPr>
        <w:t>ತಲೆಮಾರಿನಿಂದ</w:t>
      </w:r>
      <w:r>
        <w:rPr>
          <w:rFonts w:ascii="Times New Roman" w:hAnsi="Times New Roman" w:eastAsia="Times New Roman" w:cs="Times New Roman"/>
        </w:rPr>
        <w:t xml:space="preserve"> </w:t>
      </w:r>
      <w:r>
        <w:rPr>
          <w:rFonts w:ascii="Nirmala UI" w:hAnsi="Nirmala UI" w:eastAsia="Nirmala UI" w:cs="Nirmala UI"/>
        </w:rPr>
        <w:t>ತಲೆಮಾರಿಗೆ</w:t>
      </w:r>
      <w:r>
        <w:rPr>
          <w:rFonts w:ascii="Times New Roman" w:hAnsi="Times New Roman" w:eastAsia="Times New Roman" w:cs="Times New Roman"/>
        </w:rPr>
        <w:t xml:space="preserve"> </w:t>
      </w:r>
      <w:r>
        <w:rPr>
          <w:rFonts w:ascii="Nirmala UI" w:hAnsi="Nirmala UI" w:eastAsia="Nirmala UI" w:cs="Nirmala UI"/>
        </w:rPr>
        <w:t>ಇರುವದು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ನುಬುಕದ್ನೆಜ್ಜರನು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ಮನೆಯಲ್ಲಿ</w:t>
      </w:r>
      <w:r>
        <w:rPr>
          <w:rFonts w:ascii="Times New Roman" w:hAnsi="Times New Roman" w:eastAsia="Times New Roman" w:cs="Times New Roman"/>
        </w:rPr>
        <w:t xml:space="preserve"> </w:t>
      </w:r>
      <w:r>
        <w:rPr>
          <w:rFonts w:ascii="Nirmala UI" w:hAnsi="Nirmala UI" w:eastAsia="Nirmala UI" w:cs="Nirmala UI"/>
        </w:rPr>
        <w:t>ನೆಮ್ಮದಿಯಾಗಿ</w:t>
      </w:r>
      <w:r>
        <w:rPr>
          <w:rFonts w:ascii="Times New Roman" w:hAnsi="Times New Roman" w:eastAsia="Times New Roman" w:cs="Times New Roman"/>
        </w:rPr>
        <w:t xml:space="preserve"> </w:t>
      </w:r>
      <w:r>
        <w:rPr>
          <w:rFonts w:ascii="Nirmala UI" w:hAnsi="Nirmala UI" w:eastAsia="Nirmala UI" w:cs="Nirmala UI"/>
        </w:rPr>
        <w:t>ಇದ್ದೆನು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ಅರಮನೆಯಲ್ಲಿ</w:t>
      </w:r>
      <w:r>
        <w:rPr>
          <w:rFonts w:ascii="Times New Roman" w:hAnsi="Times New Roman" w:eastAsia="Times New Roman" w:cs="Times New Roman"/>
        </w:rPr>
        <w:t xml:space="preserve"> </w:t>
      </w:r>
      <w:r>
        <w:rPr>
          <w:rFonts w:ascii="Nirmala UI" w:hAnsi="Nirmala UI" w:eastAsia="Nirmala UI" w:cs="Nirmala UI"/>
        </w:rPr>
        <w:t>ಸಮೃದ್ಧಿಯಿಂದ</w:t>
      </w:r>
      <w:r>
        <w:rPr>
          <w:rFonts w:ascii="Times New Roman" w:hAnsi="Times New Roman" w:eastAsia="Times New Roman" w:cs="Times New Roman"/>
        </w:rPr>
        <w:t xml:space="preserve"> </w:t>
      </w:r>
      <w:r>
        <w:rPr>
          <w:rFonts w:ascii="Nirmala UI" w:hAnsi="Nirmala UI" w:eastAsia="Nirmala UI" w:cs="Nirmala UI"/>
        </w:rPr>
        <w:t>ವೃದ್ಧಿಯಾಗಿದ್ದೆನು</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ಕನಸನ್ನು</w:t>
      </w:r>
      <w:r>
        <w:rPr>
          <w:rFonts w:ascii="Times New Roman" w:hAnsi="Times New Roman" w:eastAsia="Times New Roman" w:cs="Times New Roman"/>
        </w:rPr>
        <w:t xml:space="preserve"> </w:t>
      </w:r>
      <w:r>
        <w:rPr>
          <w:rFonts w:ascii="Nirmala UI" w:hAnsi="Nirmala UI" w:eastAsia="Nirmala UI" w:cs="Nirmala UI"/>
        </w:rPr>
        <w:t>ಕಂಡೆನು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ಭಯವನ್ನು</w:t>
      </w:r>
      <w:r>
        <w:rPr>
          <w:rFonts w:ascii="Times New Roman" w:hAnsi="Times New Roman" w:eastAsia="Times New Roman" w:cs="Times New Roman"/>
        </w:rPr>
        <w:t xml:space="preserve"> </w:t>
      </w:r>
      <w:r>
        <w:rPr>
          <w:rFonts w:ascii="Nirmala UI" w:hAnsi="Nirmala UI" w:eastAsia="Nirmala UI" w:cs="Nirmala UI"/>
        </w:rPr>
        <w:t>ಉಂಟುಮಾಡಿತು</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ಹಾಸಿಗೆಯ</w:t>
      </w:r>
      <w:r>
        <w:rPr>
          <w:rFonts w:ascii="Times New Roman" w:hAnsi="Times New Roman" w:eastAsia="Times New Roman" w:cs="Times New Roman"/>
        </w:rPr>
        <w:t xml:space="preserve"> </w:t>
      </w:r>
      <w:r>
        <w:rPr>
          <w:rFonts w:ascii="Nirmala UI" w:hAnsi="Nirmala UI" w:eastAsia="Nirmala UI" w:cs="Nirmala UI"/>
        </w:rPr>
        <w:t>ಮೇಲಿದ್ದ</w:t>
      </w:r>
      <w:r>
        <w:rPr>
          <w:rFonts w:ascii="Times New Roman" w:hAnsi="Times New Roman" w:eastAsia="Times New Roman" w:cs="Times New Roman"/>
        </w:rPr>
        <w:t xml:space="preserve"> </w:t>
      </w:r>
      <w:r>
        <w:rPr>
          <w:rFonts w:ascii="Nirmala UI" w:hAnsi="Nirmala UI" w:eastAsia="Nirmala UI" w:cs="Nirmala UI"/>
        </w:rPr>
        <w:t>ಚಿಂತನೆಗಳೂ</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ತಲೆಯ</w:t>
      </w:r>
      <w:r>
        <w:rPr>
          <w:rFonts w:ascii="Times New Roman" w:hAnsi="Times New Roman" w:eastAsia="Times New Roman" w:cs="Times New Roman"/>
        </w:rPr>
        <w:t xml:space="preserve"> </w:t>
      </w:r>
      <w:r>
        <w:rPr>
          <w:rFonts w:ascii="Nirmala UI" w:hAnsi="Nirmala UI" w:eastAsia="Nirmala UI" w:cs="Nirmala UI"/>
        </w:rPr>
        <w:t>ದರ್ಶನಗಳೂ</w:t>
      </w:r>
      <w:r>
        <w:rPr>
          <w:rFonts w:ascii="Times New Roman" w:hAnsi="Times New Roman" w:eastAsia="Times New Roman" w:cs="Times New Roman"/>
        </w:rPr>
        <w:t xml:space="preserve"> </w:t>
      </w:r>
      <w:r>
        <w:rPr>
          <w:rFonts w:ascii="Nirmala UI" w:hAnsi="Nirmala UI" w:eastAsia="Nirmala UI" w:cs="Nirmala UI"/>
        </w:rPr>
        <w:t>ನನ್ನನ್ನು</w:t>
      </w:r>
      <w:r>
        <w:rPr>
          <w:rFonts w:ascii="Times New Roman" w:hAnsi="Times New Roman" w:eastAsia="Times New Roman" w:cs="Times New Roman"/>
        </w:rPr>
        <w:t xml:space="preserve"> </w:t>
      </w:r>
      <w:r>
        <w:rPr>
          <w:rFonts w:ascii="Nirmala UI" w:hAnsi="Nirmala UI" w:eastAsia="Nirmala UI" w:cs="Nirmala UI"/>
        </w:rPr>
        <w:t>ಕಳವಳಪಡಿಸಿತು</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4:1–5.</w:t>
      </w:r>
    </w:p>
    <w:p>
      <w:pPr>
        <w:pStyle w:val="ArticleBody"/>
        <w:jc w:val="left"/>
      </w:pPr>
      <w:r>
        <w:rPr>
          <w:rFonts w:ascii="Times New Roman" w:hAnsi="Times New Roman" w:eastAsia="Times New Roman" w:cs="Times New Roman"/>
        </w:rPr>
        <w:t>Le rêve inspira de la crainte à Nebucadnetsar, et le symbolisme du rêve représente l’Évangile éternel du premier ange, qui ordonne aux hommes de « craindre Dieu ».</w:t>
      </w:r>
    </w:p>
    <w:p>
      <w:pPr>
        <w:pStyle w:val="ArticleScripture"/>
        <w:jc w:val="left"/>
      </w:pPr>
      <w:r>
        <w:rPr>
          <w:rFonts w:ascii="Times New Roman" w:hAnsi="Times New Roman" w:eastAsia="Times New Roman" w:cs="Times New Roman"/>
        </w:rPr>
        <w:t>Na nikamwona malaika mwingine akiruka katikati ya mbingu, naye alikuwa na injili ya milele awahubirie hao wakaao juu ya nchi, na kila taifa, na kabila, na lugha, na jamaa, akisema kwa sauti kuu, Mcheni Mungu, na kumtukuza; kwa maana saa ya hukumu yake imekuja; naye abuduni yeye aliyezifanya mbingu, na nchi, na bahari, na chemchemi za maji. Ufunuo 14:6, 7.</w:t>
      </w:r>
    </w:p>
    <w:p>
      <w:pPr>
        <w:pStyle w:val="ArticleBody"/>
        <w:jc w:val="left"/>
      </w:pPr>
      <w:r>
        <w:rPr>
          <w:rFonts w:ascii="Times New Roman" w:hAnsi="Times New Roman" w:eastAsia="Times New Roman" w:cs="Times New Roman"/>
        </w:rPr>
        <w:t>Faafan Wangeela bara baraa ergaa sadarkaa sadii qabuudha; sadarkaan inni jalqabaa, akkuma ergamaa isa jalqabaatiin bakka bu’etti, Waaqayyoon sodaachuu dha; sadarkaan lammaffaan ulfina isaaf kennuu dha; inni sadaffaan immoo yeroo murtii isaa tiin bakka bu’a. “Ulfinni” amala bakka bu’a; seenaa fincila Nimrood keessatti “deemuun” lammaffaanis iddoo amala magaalattii fi masaraa sanaa itti qorannoon godhame dha. Innis murtii qorannoo ture. Walitti makamni mootummaa fi mootummaa amantii fakkeenya bineensichaa dha; Nimrood immoo sadarkaa isaa lammaffaatti fakkeenya bineensichaa mul’isuutti ture; garuu sadarkaan lammaffaan Wangeela bara baraa ulfina amala Waaqayyoo argamsiisa malee, kan Nimrood miti.</w:t>
      </w:r>
    </w:p>
    <w:p>
      <w:pPr>
        <w:pStyle w:val="ArticleBody"/>
        <w:jc w:val="left"/>
      </w:pPr>
      <w:r>
        <w:rPr>
          <w:rFonts w:ascii="Times New Roman" w:hAnsi="Times New Roman" w:eastAsia="Times New Roman" w:cs="Times New Roman"/>
        </w:rPr>
        <w:t>La peur de Nebucadnetsar est un symbole de la première épreuve, tout comme le fut le choix de Daniel de ne pas manger les mets de Babylone, car Daniel craignait Dieu. Le premier ange est apparu dans l’histoire en 1798, puis il reçut de la puissance le 11 août 1840. Le songe de Nebucadnetsar situe l’arrivée du premier message au temps de la fin, en 1798.</w:t>
      </w:r>
    </w:p>
    <w:p>
      <w:pPr>
        <w:pStyle w:val="ArticleScripture"/>
        <w:jc w:val="left"/>
      </w:pPr>
      <w:r>
        <w:rPr>
          <w:rFonts w:ascii="Times New Roman" w:hAnsi="Times New Roman" w:eastAsia="Times New Roman" w:cs="Times New Roman"/>
        </w:rPr>
        <w:t>Ndzi vonile norho leyi yi ndzi chavisiseke, kutani miehleketo ya mina ehenhla ka mubedo wa mina ni swivono swa nhloko ya mina swi ndzi karhatile. Hikokwalaho ndzi humesile xileriso leswaku ku nghenisiwa emahlweni ka mina hinkwavo vavanuna vo tlhariha va Babilona, leswaku va ndzi tivisa nhlamuselo ya norho leyi. Kutani ku nghene vamasalamusi, ni valangi va tinyeleti, ni Vakhaldeya, ni vavhumbi; ndzi va byerile norho emahlweni ka vona, kambe a va ndzi tivisanga nhlamuselo ya wona. Kambe eku heteleleni Daniyele a nghena emahlweni ka mina, loyi vito rakwe a nga Beltexatsara, hi ku ya hi vito ra xikwembu xa mina, naswona eka yena ku ni moya wa swikwembu swo kwetsima; kutani emahlweni ka yena ndzi vule norho, ndzi ku: O Beltexatsara, hosi ya vamasalamusi, leswi ndzi tivaka leswaku moya wa swikwembu swo kwetsima wu le ka wena, naswona a ku na xihundla lexi ku karhataka, ndzi byela swivono swa norho ya mina leyi ndzi yi voneke, ni nhlamuselo ya wona. Daniel 4:5–9.</w:t>
      </w:r>
    </w:p>
    <w:p>
      <w:pPr>
        <w:pStyle w:val="ArticleBody"/>
        <w:jc w:val="left"/>
      </w:pPr>
      <w:r>
        <w:rPr>
          <w:rFonts w:ascii="Times New Roman" w:hAnsi="Times New Roman" w:eastAsia="Times New Roman" w:cs="Times New Roman"/>
        </w:rPr>
        <w:t>L’arrivée du premier message au temps de la fin, en 1798, laquelle est représentée par la crainte de Nebucadnetsar, marque le moment où le livre de Daniel devait être descellé.</w:t>
      </w:r>
    </w:p>
    <w:p>
      <w:pPr>
        <w:pStyle w:val="ArticleScripture"/>
        <w:jc w:val="left"/>
      </w:pPr>
      <w:r>
        <w:rPr>
          <w:rFonts w:ascii="Times New Roman" w:hAnsi="Times New Roman" w:eastAsia="Times New Roman" w:cs="Times New Roman"/>
        </w:rPr>
        <w:t>أما أنت يا دانيال، فأخفِ الكلماتِ واختمِ الكتابَ إلى وقتِ النهاية؛ كثيرون يترددون جيئةً وذهابًا، والمعرفة تزداد. … فقال: اذهب يا دانيال، لأن الكلماتِ مخفيةٌ ومختومةٌ إلى وقتِ النهاية. كثيرون يتطهرون ويُبيَّضون ويُمتحنون؛ أمّا الأشرار فيفعلون شرًّا، ولا يفهم أحدٌ من الأشرار، أمّا الحكماء فيفهمون. دانيال 12:4، 9، 10.</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当</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末时</w:t>
      </w:r>
      <w:r>
        <w:rPr>
          <w:rFonts w:ascii="Times New Roman" w:hAnsi="Times New Roman" w:eastAsia="Times New Roman" w:cs="Times New Roman"/>
        </w:rPr>
        <w:t>”</w:t>
      </w:r>
      <w:r>
        <w:rPr>
          <w:rFonts w:ascii="Microsoft YaHei" w:hAnsi="Microsoft YaHei" w:eastAsia="Microsoft YaHei" w:cs="Microsoft YaHei"/>
        </w:rPr>
        <w:t>被开启之际</w:t>
      </w:r>
      <w:r>
        <w:rPr>
          <w:rFonts w:ascii="Times New Roman" w:hAnsi="Times New Roman" w:eastAsia="Times New Roman" w:cs="Times New Roman"/>
        </w:rPr>
        <w:t>,</w:t>
      </w:r>
      <w:r>
        <w:rPr>
          <w:rFonts w:ascii="Microsoft YaHei" w:hAnsi="Microsoft YaHei" w:eastAsia="Microsoft YaHei" w:cs="Microsoft YaHei"/>
        </w:rPr>
        <w:t>人蒙召前来考察知识的增长</w:t>
      </w:r>
      <w:r>
        <w:rPr>
          <w:rFonts w:ascii="Times New Roman" w:hAnsi="Times New Roman" w:eastAsia="Times New Roman" w:cs="Times New Roman"/>
        </w:rPr>
        <w:t>,</w:t>
      </w:r>
      <w:r>
        <w:rPr>
          <w:rFonts w:ascii="Microsoft YaHei" w:hAnsi="Microsoft YaHei" w:eastAsia="Microsoft YaHei" w:cs="Microsoft YaHei"/>
        </w:rPr>
        <w:t>而这一呼召最终产生了两等敬拜者</w:t>
      </w:r>
      <w:r>
        <w:rPr>
          <w:rFonts w:ascii="Times New Roman" w:hAnsi="Times New Roman" w:eastAsia="Times New Roman" w:cs="Times New Roman"/>
        </w:rPr>
        <w:t>.</w:t>
      </w:r>
      <w:r>
        <w:rPr>
          <w:rFonts w:ascii="Microsoft YaHei" w:hAnsi="Microsoft YaHei" w:eastAsia="Microsoft YaHei" w:cs="Microsoft YaHei"/>
        </w:rPr>
        <w:t>一等不能明白</w:t>
      </w:r>
      <w:r>
        <w:rPr>
          <w:rFonts w:ascii="Times New Roman" w:hAnsi="Times New Roman" w:eastAsia="Times New Roman" w:cs="Times New Roman"/>
        </w:rPr>
        <w:t>,</w:t>
      </w:r>
      <w:r>
        <w:rPr>
          <w:rFonts w:ascii="Microsoft YaHei" w:hAnsi="Microsoft YaHei" w:eastAsia="Microsoft YaHei" w:cs="Microsoft YaHei"/>
        </w:rPr>
        <w:t>另一等却能明白</w:t>
      </w:r>
      <w:r>
        <w:rPr>
          <w:rFonts w:ascii="Times New Roman" w:hAnsi="Times New Roman" w:eastAsia="Times New Roman" w:cs="Times New Roman"/>
        </w:rPr>
        <w:t>.</w:t>
      </w:r>
      <w:r>
        <w:rPr>
          <w:rFonts w:ascii="Microsoft YaHei" w:hAnsi="Microsoft YaHei" w:eastAsia="Microsoft YaHei" w:cs="Microsoft YaHei"/>
        </w:rPr>
        <w:t>巴比伦的智慧人</w:t>
      </w:r>
      <w:r>
        <w:rPr>
          <w:rFonts w:ascii="Times New Roman" w:hAnsi="Times New Roman" w:eastAsia="Times New Roman" w:cs="Times New Roman"/>
        </w:rPr>
        <w:t>,</w:t>
      </w:r>
      <w:r>
        <w:rPr>
          <w:rFonts w:ascii="Microsoft YaHei" w:hAnsi="Microsoft YaHei" w:eastAsia="Microsoft YaHei" w:cs="Microsoft YaHei"/>
        </w:rPr>
        <w:t>就是那被称为</w:t>
      </w:r>
      <w:r>
        <w:rPr>
          <w:rFonts w:ascii="Times New Roman" w:hAnsi="Times New Roman" w:eastAsia="Times New Roman" w:cs="Times New Roman"/>
        </w:rPr>
        <w:t>“</w:t>
      </w:r>
      <w:r>
        <w:rPr>
          <w:rFonts w:ascii="Microsoft YaHei" w:hAnsi="Microsoft YaHei" w:eastAsia="Microsoft YaHei" w:cs="Microsoft YaHei"/>
        </w:rPr>
        <w:t>术士、用法术的、迦勒底人</w:t>
      </w:r>
      <w:r>
        <w:rPr>
          <w:rFonts w:ascii="Times New Roman" w:hAnsi="Times New Roman" w:eastAsia="Times New Roman" w:cs="Times New Roman"/>
        </w:rPr>
        <w:t>,</w:t>
      </w:r>
      <w:r>
        <w:rPr>
          <w:rFonts w:ascii="Microsoft YaHei" w:hAnsi="Microsoft YaHei" w:eastAsia="Microsoft YaHei" w:cs="Microsoft YaHei"/>
        </w:rPr>
        <w:t>和观兆的</w:t>
      </w:r>
      <w:r>
        <w:rPr>
          <w:rFonts w:ascii="Times New Roman" w:hAnsi="Times New Roman" w:eastAsia="Times New Roman" w:cs="Times New Roman"/>
        </w:rPr>
        <w:t>”,</w:t>
      </w:r>
      <w:r>
        <w:rPr>
          <w:rFonts w:ascii="Microsoft YaHei" w:hAnsi="Microsoft YaHei" w:eastAsia="Microsoft YaHei" w:cs="Microsoft YaHei"/>
        </w:rPr>
        <w:t>不能明白</w:t>
      </w:r>
      <w:r>
        <w:rPr>
          <w:rFonts w:ascii="Times New Roman" w:hAnsi="Times New Roman" w:eastAsia="Times New Roman" w:cs="Times New Roman"/>
        </w:rPr>
        <w:t>;</w:t>
      </w:r>
      <w:r>
        <w:rPr>
          <w:rFonts w:ascii="Microsoft YaHei" w:hAnsi="Microsoft YaHei" w:eastAsia="Microsoft YaHei" w:cs="Microsoft YaHei"/>
        </w:rPr>
        <w:t>惟有但以理明白</w:t>
      </w:r>
      <w:r>
        <w:rPr>
          <w:rFonts w:ascii="Times New Roman" w:hAnsi="Times New Roman" w:eastAsia="Times New Roman" w:cs="Times New Roman"/>
        </w:rPr>
        <w:t>.</w:t>
      </w:r>
      <w:r>
        <w:rPr>
          <w:rFonts w:ascii="Microsoft YaHei" w:hAnsi="Microsoft YaHei" w:eastAsia="Microsoft YaHei" w:cs="Microsoft YaHei"/>
        </w:rPr>
        <w:t>巴比伦的</w:t>
      </w:r>
      <w:r>
        <w:rPr>
          <w:rFonts w:ascii="Times New Roman" w:hAnsi="Times New Roman" w:eastAsia="Times New Roman" w:cs="Times New Roman"/>
        </w:rPr>
        <w:t>“</w:t>
      </w:r>
      <w:r>
        <w:rPr>
          <w:rFonts w:ascii="Microsoft YaHei" w:hAnsi="Microsoft YaHei" w:eastAsia="Microsoft YaHei" w:cs="Microsoft YaHei"/>
        </w:rPr>
        <w:t>智慧人</w:t>
      </w:r>
      <w:r>
        <w:rPr>
          <w:rFonts w:ascii="Times New Roman" w:hAnsi="Times New Roman" w:eastAsia="Times New Roman" w:cs="Times New Roman"/>
        </w:rPr>
        <w:t>”</w:t>
      </w:r>
      <w:r>
        <w:rPr>
          <w:rFonts w:ascii="Microsoft YaHei" w:hAnsi="Microsoft YaHei" w:eastAsia="Microsoft YaHei" w:cs="Microsoft YaHei"/>
        </w:rPr>
        <w:t>不能明白</w:t>
      </w:r>
      <w:r>
        <w:rPr>
          <w:rFonts w:ascii="Times New Roman" w:hAnsi="Times New Roman" w:eastAsia="Times New Roman" w:cs="Times New Roman"/>
        </w:rPr>
        <w:t>,</w:t>
      </w:r>
      <w:r>
        <w:rPr>
          <w:rFonts w:ascii="Microsoft YaHei" w:hAnsi="Microsoft YaHei" w:eastAsia="Microsoft YaHei" w:cs="Microsoft YaHei"/>
        </w:rPr>
        <w:t>因此他们代表恶人</w:t>
      </w:r>
      <w:r>
        <w:rPr>
          <w:rFonts w:ascii="Times New Roman" w:hAnsi="Times New Roman" w:eastAsia="Times New Roman" w:cs="Times New Roman"/>
        </w:rPr>
        <w:t>;</w:t>
      </w:r>
      <w:r>
        <w:rPr>
          <w:rFonts w:ascii="Microsoft YaHei" w:hAnsi="Microsoft YaHei" w:eastAsia="Microsoft YaHei" w:cs="Microsoft YaHei"/>
        </w:rPr>
        <w:t>但以理则代表智慧人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le chapitre quatre de Daniel dans le prochain article.</w:t>
      </w:r>
    </w:p>
    <w:p>
      <w:pPr>
        <w:pStyle w:val="ArticleScripture"/>
        <w:jc w:val="left"/>
      </w:pPr>
      <w:r>
        <w:rPr>
          <w:rFonts w:ascii="Times New Roman" w:hAnsi="Times New Roman" w:eastAsia="Times New Roman" w:cs="Times New Roman"/>
        </w:rPr>
        <w:t>« Ceux qui sont infidèles à l’œuvre de Dieu manquent de principes ; leurs mobiles ne sont pas d’une nature à les conduire à choisir le bien en toutes circonstances. Les serviteurs de Dieu doivent sentir en tout temps qu’ils sont sous le regard de leur Maître. Celui qui observa le festin sacrilège de Belshatsar est présent dans toutes nos institutions, dans le bureau de comptes du marchand, dans l’atelier privé ; et la main sans effusion de sang consigne tout aussi sûrement votre négligence qu’elle consigna l’effroyable jugement du roi blasphémateur. La condamnation de Belshatsar fut écrite en lettres de feu : “Tu as été pesé dans la balance, et tu as été trouvé insuffisant” ; et si vous manquez d’accomplir les obligations que Dieu vous a confiées, votre condamnation sera la même. »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Vingt-six</dc:title>
  <dc:subject>ਸੱਤ ਕਾਲਾਂ ਦਾ ਨਬੂਕਦਨੱਸਰ: ਇੱਕ ਭਵਿੱਖਬਾਣੀਕ ਗੁੰਥਣ ਜੋ ਬੁਤਪਰਸਤੀ, ਪਾਪਾਈ ਪ੍ਰਣਾਲੀ ਅਤੇ ਸੰਯੁਕਤ ਰਾਜ ਅਮਰੀਕਾ ਨੂੰ ਪ੍ਰਗਟ ਕਰਦੀ ਹੈ</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