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Nambari Ishirini na Saba</w:t>
      </w:r>
    </w:p>
    <w:p>
      <w:pPr>
        <w:pStyle w:val="ArticleSubtitle"/>
        <w:jc w:val="left"/>
      </w:pPr>
      <w:r>
        <w:rPr>
          <w:rFonts w:ascii="Arial" w:hAnsi="Arial" w:eastAsia="Arial" w:cs="Arial"/>
        </w:rPr>
        <w:t>Un Autre Rêve Secret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2023-12-22</w:t>
      </w:r>
    </w:p>
    <w:p>
      <w:pPr>
        <w:pStyle w:val="ArticleBody"/>
        <w:jc w:val="left"/>
      </w:pPr>
      <w:r>
        <w:rPr>
          <w:rFonts w:ascii="Times New Roman" w:hAnsi="Times New Roman" w:eastAsia="Times New Roman" w:cs="Times New Roman"/>
        </w:rPr>
        <w:t>Nabucodonosors andra dröm utmärker ”ändens tid”, då två klasser av tillbedjare kallas att komma och undersöka den ”ökade kunskapen” som förseglades upp i 1798. Daniel identifieras därefter också som Beltesassar och utpekas därigenom som Guds förbundsfolk, ty ett namnbyte markerar profetiskt en förbundsrelation. Nabucodonosor erkände att Daniel hade den helige Andes närvaro, och på grundval av sin tidigare erfarenhet av Daniel tänkte han att ”ingen hemlighet” skulle vålla Daniel svårighet, men hemligheten i denna dröm vållade Daniel svårighet.</w:t>
      </w:r>
    </w:p>
    <w:p>
      <w:pPr>
        <w:pStyle w:val="ArticleScripture"/>
        <w:jc w:val="left"/>
      </w:pP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बेल्तशस्सर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जादूगारों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प्रधान</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देवताओं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तुझ</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भेद</w:t>
      </w:r>
      <w:r>
        <w:rPr>
          <w:rFonts w:ascii="Times New Roman" w:hAnsi="Times New Roman" w:eastAsia="Times New Roman" w:cs="Times New Roman"/>
        </w:rPr>
        <w:t xml:space="preserve"> </w:t>
      </w:r>
      <w:r>
        <w:rPr>
          <w:rFonts w:ascii="Nirmala UI" w:hAnsi="Nirmala UI" w:eastAsia="Nirmala UI" w:cs="Nirmala UI"/>
        </w:rPr>
        <w:t>तुझे</w:t>
      </w:r>
      <w:r>
        <w:rPr>
          <w:rFonts w:ascii="Times New Roman" w:hAnsi="Times New Roman" w:eastAsia="Times New Roman" w:cs="Times New Roman"/>
        </w:rPr>
        <w:t xml:space="preserve"> </w:t>
      </w:r>
      <w:r>
        <w:rPr>
          <w:rFonts w:ascii="Nirmala UI" w:hAnsi="Nirmala UI" w:eastAsia="Nirmala UI" w:cs="Nirmala UI"/>
        </w:rPr>
        <w:t>कठिन</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लगता</w:t>
      </w:r>
      <w:r>
        <w:rPr>
          <w:rFonts w:ascii="Times New Roman" w:hAnsi="Times New Roman" w:eastAsia="Times New Roman" w:cs="Times New Roman"/>
        </w:rPr>
        <w:t xml:space="preserve">, </w:t>
      </w:r>
      <w:r>
        <w:rPr>
          <w:rFonts w:ascii="Nirmala UI" w:hAnsi="Nirmala UI" w:eastAsia="Nirmala UI" w:cs="Nirmala UI"/>
        </w:rPr>
        <w:t>इसलिए</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स्वप्न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शय्या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ऐसे</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बीचोंबीच</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वृक्ष</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ऊँचाई</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वृक्ष</w:t>
      </w:r>
      <w:r>
        <w:rPr>
          <w:rFonts w:ascii="Times New Roman" w:hAnsi="Times New Roman" w:eastAsia="Times New Roman" w:cs="Times New Roman"/>
        </w:rPr>
        <w:t xml:space="preserve"> </w:t>
      </w:r>
      <w:r>
        <w:rPr>
          <w:rFonts w:ascii="Nirmala UI" w:hAnsi="Nirmala UI" w:eastAsia="Nirmala UI" w:cs="Nirmala UI"/>
        </w:rPr>
        <w:t>बढ़ा</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बलवन्त</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ऊँचाई</w:t>
      </w:r>
      <w:r>
        <w:rPr>
          <w:rFonts w:ascii="Times New Roman" w:hAnsi="Times New Roman" w:eastAsia="Times New Roman" w:cs="Times New Roman"/>
        </w:rPr>
        <w:t xml:space="preserve"> </w:t>
      </w:r>
      <w:r>
        <w:rPr>
          <w:rFonts w:ascii="Nirmala UI" w:hAnsi="Nirmala UI" w:eastAsia="Nirmala UI" w:cs="Nirmala UI"/>
        </w:rPr>
        <w:t>आकाश</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पहुँची</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दृश्य</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छोर</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पत्ते</w:t>
      </w:r>
      <w:r>
        <w:rPr>
          <w:rFonts w:ascii="Times New Roman" w:hAnsi="Times New Roman" w:eastAsia="Times New Roman" w:cs="Times New Roman"/>
        </w:rPr>
        <w:t xml:space="preserve"> </w:t>
      </w:r>
      <w:r>
        <w:rPr>
          <w:rFonts w:ascii="Nirmala UI" w:hAnsi="Nirmala UI" w:eastAsia="Nirmala UI" w:cs="Nirmala UI"/>
        </w:rPr>
        <w:t>सुन्दर</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फल</w:t>
      </w:r>
      <w:r>
        <w:rPr>
          <w:rFonts w:ascii="Times New Roman" w:hAnsi="Times New Roman" w:eastAsia="Times New Roman" w:cs="Times New Roman"/>
        </w:rPr>
        <w:t xml:space="preserve"> </w:t>
      </w:r>
      <w:r>
        <w:rPr>
          <w:rFonts w:ascii="Nirmala UI" w:hAnsi="Nirmala UI" w:eastAsia="Nirmala UI" w:cs="Nirmala UI"/>
        </w:rPr>
        <w:t>बहुत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उसमें</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भोजन</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मैदान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छाया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आकाश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पक्षी</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डालियों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बसेरा</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पोषित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शय्या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दर्शनों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स्वर्ग</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पहरुआ</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उतरा</w:t>
      </w:r>
      <w:r>
        <w:rPr>
          <w:rFonts w:ascii="Times New Roman" w:hAnsi="Times New Roman" w:eastAsia="Times New Roman" w:cs="Times New Roman"/>
        </w:rPr>
        <w:t xml:space="preserve">; </w:t>
      </w:r>
      <w:r>
        <w:rPr>
          <w:rFonts w:ascii="Nirmala UI" w:hAnsi="Nirmala UI" w:eastAsia="Nirmala UI" w:cs="Nirmala UI"/>
        </w:rPr>
        <w:t>उसने</w:t>
      </w:r>
      <w:r>
        <w:rPr>
          <w:rFonts w:ascii="Times New Roman" w:hAnsi="Times New Roman" w:eastAsia="Times New Roman" w:cs="Times New Roman"/>
        </w:rPr>
        <w:t xml:space="preserve"> </w:t>
      </w:r>
      <w:r>
        <w:rPr>
          <w:rFonts w:ascii="Nirmala UI" w:hAnsi="Nirmala UI" w:eastAsia="Nirmala UI" w:cs="Nirmala UI"/>
        </w:rPr>
        <w:t>ऊँचे</w:t>
      </w:r>
      <w:r>
        <w:rPr>
          <w:rFonts w:ascii="Times New Roman" w:hAnsi="Times New Roman" w:eastAsia="Times New Roman" w:cs="Times New Roman"/>
        </w:rPr>
        <w:t xml:space="preserve"> </w:t>
      </w:r>
      <w:r>
        <w:rPr>
          <w:rFonts w:ascii="Nirmala UI" w:hAnsi="Nirmala UI" w:eastAsia="Nirmala UI" w:cs="Nirmala UI"/>
        </w:rPr>
        <w:t>शब्द</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पुकारकर</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वृक्ष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काट</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डालियाँ</w:t>
      </w:r>
      <w:r>
        <w:rPr>
          <w:rFonts w:ascii="Times New Roman" w:hAnsi="Times New Roman" w:eastAsia="Times New Roman" w:cs="Times New Roman"/>
        </w:rPr>
        <w:t xml:space="preserve"> </w:t>
      </w:r>
      <w:r>
        <w:rPr>
          <w:rFonts w:ascii="Nirmala UI" w:hAnsi="Nirmala UI" w:eastAsia="Nirmala UI" w:cs="Nirmala UI"/>
        </w:rPr>
        <w:t>छाँट</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पत्ते</w:t>
      </w:r>
      <w:r>
        <w:rPr>
          <w:rFonts w:ascii="Times New Roman" w:hAnsi="Times New Roman" w:eastAsia="Times New Roman" w:cs="Times New Roman"/>
        </w:rPr>
        <w:t xml:space="preserve"> </w:t>
      </w:r>
      <w:r>
        <w:rPr>
          <w:rFonts w:ascii="Nirmala UI" w:hAnsi="Nirmala UI" w:eastAsia="Nirmala UI" w:cs="Nirmala UI"/>
        </w:rPr>
        <w:t>झाड़</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फल</w:t>
      </w:r>
      <w:r>
        <w:rPr>
          <w:rFonts w:ascii="Times New Roman" w:hAnsi="Times New Roman" w:eastAsia="Times New Roman" w:cs="Times New Roman"/>
        </w:rPr>
        <w:t xml:space="preserve"> </w:t>
      </w:r>
      <w:r>
        <w:rPr>
          <w:rFonts w:ascii="Nirmala UI" w:hAnsi="Nirmala UI" w:eastAsia="Nirmala UI" w:cs="Nirmala UI"/>
        </w:rPr>
        <w:t>तितर</w:t>
      </w:r>
      <w:r>
        <w:rPr>
          <w:rFonts w:ascii="Times New Roman" w:hAnsi="Times New Roman" w:eastAsia="Times New Roman" w:cs="Times New Roman"/>
        </w:rPr>
        <w:t>-</w:t>
      </w:r>
      <w:r>
        <w:rPr>
          <w:rFonts w:ascii="Nirmala UI" w:hAnsi="Nirmala UI" w:eastAsia="Nirmala UI" w:cs="Nirmala UI"/>
        </w:rPr>
        <w:t>बितर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नीचे</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हट</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पक्षी</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डालियों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उड़</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तौभी</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जड़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ठूँठ</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रहने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लोहे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पीतल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बन्धन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बँधा</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कोमल</w:t>
      </w:r>
      <w:r>
        <w:rPr>
          <w:rFonts w:ascii="Times New Roman" w:hAnsi="Times New Roman" w:eastAsia="Times New Roman" w:cs="Times New Roman"/>
        </w:rPr>
        <w:t xml:space="preserve"> </w:t>
      </w:r>
      <w:r>
        <w:rPr>
          <w:rFonts w:ascii="Nirmala UI" w:hAnsi="Nirmala UI" w:eastAsia="Nirmala UI" w:cs="Nirmala UI"/>
        </w:rPr>
        <w:t>घास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आकाश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ओस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भीगता</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भाग</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पशुओं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हृदय</w:t>
      </w:r>
      <w:r>
        <w:rPr>
          <w:rFonts w:ascii="Times New Roman" w:hAnsi="Times New Roman" w:eastAsia="Times New Roman" w:cs="Times New Roman"/>
        </w:rPr>
        <w:t xml:space="preserve"> </w:t>
      </w:r>
      <w:r>
        <w:rPr>
          <w:rFonts w:ascii="Nirmala UI" w:hAnsi="Nirmala UI" w:eastAsia="Nirmala UI" w:cs="Nirmala UI"/>
        </w:rPr>
        <w:t>बदल</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हृदय</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पहरुओं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फ़रमान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आज्ञा</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अभिप्राय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जीवित</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परमप्रधान</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प्रभुता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चाहता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ऊपर</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अति</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स्थापित</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स्वप्न</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नबूकदनेस्सर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अब</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बेल्तशस्सर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इसका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बुद्धिमान</w:t>
      </w:r>
      <w:r>
        <w:rPr>
          <w:rFonts w:ascii="Times New Roman" w:hAnsi="Times New Roman" w:eastAsia="Times New Roman" w:cs="Times New Roman"/>
        </w:rPr>
        <w:t xml:space="preserve"> </w:t>
      </w:r>
      <w:r>
        <w:rPr>
          <w:rFonts w:ascii="Nirmala UI" w:hAnsi="Nirmala UI" w:eastAsia="Nirmala UI" w:cs="Nirmala UI"/>
        </w:rPr>
        <w:t>पुरुष</w:t>
      </w:r>
      <w:r>
        <w:rPr>
          <w:rFonts w:ascii="Times New Roman" w:hAnsi="Times New Roman" w:eastAsia="Times New Roman" w:cs="Times New Roman"/>
        </w:rPr>
        <w:t xml:space="preserve"> </w:t>
      </w:r>
      <w:r>
        <w:rPr>
          <w:rFonts w:ascii="Nirmala UI" w:hAnsi="Nirmala UI" w:eastAsia="Nirmala UI" w:cs="Nirmala UI"/>
        </w:rPr>
        <w:t>इसका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मुझे</w:t>
      </w:r>
      <w:r>
        <w:rPr>
          <w:rFonts w:ascii="Times New Roman" w:hAnsi="Times New Roman" w:eastAsia="Times New Roman" w:cs="Times New Roman"/>
        </w:rPr>
        <w:t xml:space="preserve"> </w:t>
      </w:r>
      <w:r>
        <w:rPr>
          <w:rFonts w:ascii="Nirmala UI" w:hAnsi="Nirmala UI" w:eastAsia="Nirmala UI" w:cs="Nirmala UI"/>
        </w:rPr>
        <w:t>बताने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समर्थ</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समर्थ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देवताओं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आत्मा</w:t>
      </w:r>
      <w:r>
        <w:rPr>
          <w:rFonts w:ascii="Times New Roman" w:hAnsi="Times New Roman" w:eastAsia="Times New Roman" w:cs="Times New Roman"/>
        </w:rPr>
        <w:t xml:space="preserve"> </w:t>
      </w:r>
      <w:r>
        <w:rPr>
          <w:rFonts w:ascii="Nirmala UI" w:hAnsi="Nirmala UI" w:eastAsia="Nirmala UI" w:cs="Nirmala UI"/>
        </w:rPr>
        <w:t>तुझ</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नाम</w:t>
      </w:r>
      <w:r>
        <w:rPr>
          <w:rFonts w:ascii="Times New Roman" w:hAnsi="Times New Roman" w:eastAsia="Times New Roman" w:cs="Times New Roman"/>
        </w:rPr>
        <w:t xml:space="preserve"> </w:t>
      </w:r>
      <w:r>
        <w:rPr>
          <w:rFonts w:ascii="Nirmala UI" w:hAnsi="Nirmala UI" w:eastAsia="Nirmala UI" w:cs="Nirmala UI"/>
        </w:rPr>
        <w:t>बेल्तशस्सर</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लगभग</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स्तब्ध</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विचार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व्याकुल</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बेल्तशस्सर</w:t>
      </w:r>
      <w:r>
        <w:rPr>
          <w:rFonts w:ascii="Times New Roman" w:hAnsi="Times New Roman" w:eastAsia="Times New Roman" w:cs="Times New Roman"/>
        </w:rPr>
        <w:t xml:space="preserve">, </w:t>
      </w:r>
      <w:r>
        <w:rPr>
          <w:rFonts w:ascii="Nirmala UI" w:hAnsi="Nirmala UI" w:eastAsia="Nirmala UI" w:cs="Nirmala UI"/>
        </w:rPr>
        <w:t>स्वप्न</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तुझे</w:t>
      </w:r>
      <w:r>
        <w:rPr>
          <w:rFonts w:ascii="Times New Roman" w:hAnsi="Times New Roman" w:eastAsia="Times New Roman" w:cs="Times New Roman"/>
        </w:rPr>
        <w:t xml:space="preserve"> </w:t>
      </w:r>
      <w:r>
        <w:rPr>
          <w:rFonts w:ascii="Nirmala UI" w:hAnsi="Nirmala UI" w:eastAsia="Nirmala UI" w:cs="Nirmala UI"/>
        </w:rPr>
        <w:t>व्याकुल</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बेल्तशस्सर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उत्तर</w:t>
      </w:r>
      <w:r>
        <w:rPr>
          <w:rFonts w:ascii="Times New Roman" w:hAnsi="Times New Roman" w:eastAsia="Times New Roman" w:cs="Times New Roman"/>
        </w:rPr>
        <w:t xml:space="preserve"> </w:t>
      </w:r>
      <w:r>
        <w:rPr>
          <w:rFonts w:ascii="Nirmala UI" w:hAnsi="Nirmala UI" w:eastAsia="Nirmala UI" w:cs="Nirmala UI"/>
        </w:rPr>
        <w:t>देकर</w:t>
      </w:r>
      <w:r>
        <w:rPr>
          <w:rFonts w:ascii="Times New Roman" w:hAnsi="Times New Roman" w:eastAsia="Times New Roman" w:cs="Times New Roman"/>
        </w:rPr>
        <w:t xml:space="preserve"> </w:t>
      </w:r>
      <w:r>
        <w:rPr>
          <w:rFonts w:ascii="Nirmala UI" w:hAnsi="Nirmala UI" w:eastAsia="Nirmala UI" w:cs="Nirmala UI"/>
        </w:rPr>
        <w:t>कहा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स्वप्न</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बैरियों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शत्रुओं</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घटित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दानिय्येल</w:t>
      </w:r>
      <w:r>
        <w:rPr>
          <w:rFonts w:ascii="Times New Roman" w:hAnsi="Times New Roman" w:eastAsia="Times New Roman" w:cs="Times New Roman"/>
        </w:rPr>
        <w:t xml:space="preserve"> 4:9–19</w:t>
      </w:r>
      <w:r>
        <w:rPr>
          <w:rFonts w:ascii="Nirmala UI" w:hAnsi="Nirmala UI" w:eastAsia="Nirmala UI" w:cs="Nirmala UI"/>
        </w:rPr>
        <w:t>।</w:t>
      </w:r>
    </w:p>
    <w:p>
      <w:pPr>
        <w:pStyle w:val="ArticleBody"/>
        <w:jc w:val="left"/>
      </w:pPr>
      <w:r>
        <w:rPr>
          <w:rFonts w:ascii="Nirmala UI" w:hAnsi="Nirmala UI" w:eastAsia="Nirmala UI" w:cs="Nirmala UI"/>
        </w:rPr>
        <w:t>डैनियल</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स्वप्न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व्याकुल</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उठता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नबूकदनेज़र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अप्रसन्न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सकता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नबूकदनेज़र</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बोलने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प्रोत्साहित</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डैनियल</w:t>
      </w:r>
      <w:r>
        <w:rPr>
          <w:rFonts w:ascii="Times New Roman" w:hAnsi="Times New Roman" w:eastAsia="Times New Roman" w:cs="Times New Roman"/>
        </w:rPr>
        <w:t xml:space="preserve"> </w:t>
      </w:r>
      <w:r>
        <w:rPr>
          <w:rFonts w:ascii="Nirmala UI" w:hAnsi="Nirmala UI" w:eastAsia="Nirmala UI" w:cs="Nirmala UI"/>
        </w:rPr>
        <w:t>नबूकदनेज़र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प्रथम</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चेतावनी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अन्त</w:t>
      </w:r>
      <w:r>
        <w:rPr>
          <w:rFonts w:ascii="Times New Roman" w:hAnsi="Times New Roman" w:eastAsia="Times New Roman" w:cs="Times New Roman"/>
        </w:rPr>
        <w:t>-</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1798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आया।</w:t>
      </w:r>
    </w:p>
    <w:p>
      <w:pPr>
        <w:pStyle w:val="ArticleScripture"/>
        <w:jc w:val="left"/>
      </w:pPr>
      <w:r>
        <w:rPr>
          <w:rFonts w:ascii="Times New Roman" w:hAnsi="Times New Roman" w:eastAsia="Times New Roman" w:cs="Times New Roman"/>
        </w:rPr>
        <w:t>Pea na ko e me‘a ko ia na‘e hingoa ai ‘a Taniela ko Pelitasasa, na‘e ofo lahi ia ‘i he houa ‘e taha, pea na‘e fakahoha‘asi ia ‘e hono ngaahi fakakaukau. Pea lea mai ‘a e tu‘i, ‘o pehē, Pelitasasa, ‘oua na‘a fakahoha‘asi koe ‘e he misi, pe ko hono fakamatala. Pea tali ‘e Pelitasasa ‘o pehē, ‘E hoku ‘eiki, ke ‘iate kinautolu ‘oku fehi‘a kiate koe ‘a e misi, pea ko hono fakamatala ke ‘i ho ngaahi fili. Taniela 4:19.</w:t>
      </w:r>
    </w:p>
    <w:p>
      <w:pPr>
        <w:pStyle w:val="ArticleBody"/>
        <w:jc w:val="left"/>
      </w:pPr>
      <w:r>
        <w:rPr>
          <w:rFonts w:ascii="Times New Roman" w:hAnsi="Times New Roman" w:eastAsia="Times New Roman" w:cs="Times New Roman"/>
        </w:rPr>
        <w:t>Daniel fue “espantado por una hora”. La “hora” es una de las cinco ocasiones en que aparece la palabra “hora” en el libro de Daniel, y no se encuentra en ningún otro lugar del Antiguo Testamento. Aquí representa el período de tiempo en que Daniel, al representar a los “sabios” que entienden el aumento del conocimiento, se prepara para dar la amonestación del primer ángel, que anuncia la apertura del juicio investigador el 22 de octubre de 1844. La interpretación que Daniel da del sueño incluye no solo el anuncio de un juicio venidero, sino también un llamado a Nabucodonosor para que cese de pecar, representando el evangelio eterno del primer ángel. La “hora” se ubicaría proféticamente en el tiempo del fin, en 1798, cuando el primer ángel llegó a la historia. El primer ángel llegó a la historia en 1798, al concluir los “siete tiempos” de la venganza de Dios ejecutada contra el reino del norte, comenzando en 723 a. C.</w:t>
      </w:r>
    </w:p>
    <w:p>
      <w:pPr>
        <w:pStyle w:val="ArticleScripture"/>
        <w:jc w:val="left"/>
      </w:pPr>
      <w:r>
        <w:rPr>
          <w:rFonts w:ascii="Times New Roman" w:hAnsi="Times New Roman" w:eastAsia="Times New Roman" w:cs="Times New Roman"/>
        </w:rPr>
        <w:t>Car ce seront des jours de vengeance, afin que toutes les choses qui sont écrites soient accomplies. Mais malheur à celles qui seront enceintes et à celles qui allaiteront en ces jours-là! car il y aura une grande détresse dans le pays, et de la colère contre ce peuple. Et ils tomberont sous le tranchant de l’épée, et ils seront emmenés captifs parmi toutes les nations; et Jérusalem sera foulée aux pieds par les Gentils, jusqu’à ce que les temps des Gentils soient accomplis. Luc 21:22–24.</w:t>
      </w:r>
    </w:p>
    <w:p>
      <w:pPr>
        <w:pStyle w:val="ArticleBody"/>
        <w:jc w:val="left"/>
      </w:pPr>
      <w:r>
        <w:rPr>
          <w:rFonts w:ascii="Times New Roman" w:hAnsi="Times New Roman" w:eastAsia="Times New Roman" w:cs="Times New Roman"/>
        </w:rPr>
        <w:t>Nebukadnezar phải sống với lòng dạ của một thú vật trong thời kỳ báo ứng của Đức Chúa Trời, là điều đã giáng trên vương quốc phía bắc của Y-sơ-ra-ên, vì Nebukadnezar là vua phương bắc. Lu-ca xác định chính cùng thời kỳ ấy là “các kỳ” (“các kỳ của dân Ngoại”), ở số nhiều, khi ông chỉ ra điểm chấm dứt của sự giày đạp Giê-ru-sa-lem.</w:t>
      </w:r>
    </w:p>
    <w:p>
      <w:pPr>
        <w:pStyle w:val="ArticleScripture"/>
        <w:jc w:val="left"/>
      </w:pPr>
      <w:r>
        <w:rPr>
          <w:rFonts w:ascii="Times New Roman" w:hAnsi="Times New Roman" w:eastAsia="Times New Roman" w:cs="Times New Roman"/>
        </w:rPr>
        <w:t>Na wataanguka kwa makali ya upanga, nao watachukuliwa mateka na kupelekwa katika mataifa yote; na Yerusalemu utakanyagwa na Mataifa, hata nyakati za Mataifa zitakapotimia. Luka 21:24.</w:t>
      </w:r>
    </w:p>
    <w:p>
      <w:pPr>
        <w:pStyle w:val="ArticleBody"/>
        <w:jc w:val="left"/>
      </w:pPr>
      <w:r>
        <w:rPr>
          <w:rFonts w:ascii="Times New Roman" w:hAnsi="Times New Roman" w:eastAsia="Times New Roman" w:cs="Times New Roman"/>
        </w:rPr>
        <w:t>Dalam kitab Wahyu, masa bangsa-bangsa lain menginjak-injak tempat kudus dan bala tentara itu hanya dinyatakan sebagai seribu dua ratus enam puluh tahun, karena hal itu semata-mata menekankan masa penganiayaan kepausan.</w:t>
      </w:r>
    </w:p>
    <w:p>
      <w:pPr>
        <w:pStyle w:val="ArticleScripture"/>
        <w:jc w:val="left"/>
      </w:pPr>
      <w:r>
        <w:rPr>
          <w:rFonts w:ascii="Nirmala UI" w:hAnsi="Nirmala UI" w:eastAsia="Nirmala UI" w:cs="Nirmala UI"/>
        </w:rPr>
        <w:t>किन्तु</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आँगन</w:t>
      </w:r>
      <w:r>
        <w:rPr>
          <w:rFonts w:ascii="Times New Roman" w:hAnsi="Times New Roman" w:eastAsia="Times New Roman" w:cs="Times New Roman"/>
        </w:rPr>
        <w:t xml:space="preserve"> </w:t>
      </w:r>
      <w:r>
        <w:rPr>
          <w:rFonts w:ascii="Nirmala UI" w:hAnsi="Nirmala UI" w:eastAsia="Nirmala UI" w:cs="Nirmala UI"/>
        </w:rPr>
        <w:t>मन्दिर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छोड़</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माप</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अन्यजातियों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पवित्र</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बयालीस</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तले</w:t>
      </w:r>
      <w:r>
        <w:rPr>
          <w:rFonts w:ascii="Times New Roman" w:hAnsi="Times New Roman" w:eastAsia="Times New Roman" w:cs="Times New Roman"/>
        </w:rPr>
        <w:t xml:space="preserve"> </w:t>
      </w:r>
      <w:r>
        <w:rPr>
          <w:rFonts w:ascii="Nirmala UI" w:hAnsi="Nirmala UI" w:eastAsia="Nirmala UI" w:cs="Nirmala UI"/>
        </w:rPr>
        <w:t>रौंदेंगे।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गवाहों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अधिकार</w:t>
      </w:r>
      <w:r>
        <w:rPr>
          <w:rFonts w:ascii="Times New Roman" w:hAnsi="Times New Roman" w:eastAsia="Times New Roman" w:cs="Times New Roman"/>
        </w:rPr>
        <w:t xml:space="preserve"> </w:t>
      </w:r>
      <w:r>
        <w:rPr>
          <w:rFonts w:ascii="Nirmala UI" w:hAnsi="Nirmala UI" w:eastAsia="Nirmala UI" w:cs="Nirmala UI"/>
        </w:rPr>
        <w:t>दूँगा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टाट</w:t>
      </w:r>
      <w:r>
        <w:rPr>
          <w:rFonts w:ascii="Times New Roman" w:hAnsi="Times New Roman" w:eastAsia="Times New Roman" w:cs="Times New Roman"/>
        </w:rPr>
        <w:t xml:space="preserve"> </w:t>
      </w:r>
      <w:r>
        <w:rPr>
          <w:rFonts w:ascii="Nirmala UI" w:hAnsi="Nirmala UI" w:eastAsia="Nirmala UI" w:cs="Nirmala UI"/>
        </w:rPr>
        <w:t>ओढ़े</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हजार</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साठ</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11:2, 3.</w:t>
      </w:r>
    </w:p>
    <w:p>
      <w:pPr>
        <w:pStyle w:val="ArticleBody"/>
        <w:jc w:val="left"/>
      </w:pPr>
      <w:r>
        <w:rPr>
          <w:rFonts w:ascii="Times New Roman" w:hAnsi="Times New Roman" w:eastAsia="Times New Roman" w:cs="Times New Roman"/>
        </w:rPr>
        <w:t>Le message d’avertissement adressé par Daniel à Nebucadnetsar représente l’avertissement du jugement à venir. L’arrivée de ce message d’avertissement est symboliquement située en 1798, moment où le premier ange est venu avertir du jugement investigatif imminent. Le jugement prédit sur Nebucadnetsar s’est accompli lors de la seconde occurrence du mot « heure » au chapitre quatre.</w:t>
      </w:r>
    </w:p>
    <w:p>
      <w:pPr>
        <w:pStyle w:val="ArticleScripture"/>
        <w:jc w:val="left"/>
      </w:pPr>
      <w:r>
        <w:rPr>
          <w:rFonts w:ascii="Times New Roman" w:hAnsi="Times New Roman" w:eastAsia="Times New Roman" w:cs="Times New Roman"/>
        </w:rPr>
        <w:t>Tout cela arriva au roi Nebucadnetsar. Au bout de douze mois, il se promenait dans le palais du royaume de Babylone. Le roi prit la parole et dit : N’est-ce pas ici Babylone la grande, que j’ai bâtie pour en faire la résidence royale, par la puissance de ma force et pour la gloire de ma majesté ? La parole était encore dans la bouche du roi qu’une voix descendit du ciel, disant : Roi Nebucadnetsar, c’est à toi qu’il est parlé : le royaume t’est ôté. On te chassera du milieu des hommes, et ta demeure sera avec les bêtes des champs ; on te fera manger de l’herbe comme aux bœufs, et sept temps passeront sur toi, jusqu’à ce que tu saches que le Très-Haut domine sur le royaume des hommes et qu’il le donne à qui il lui plaît. Au même instant, la parole s’accomplit sur Nebucadnetsar : il fut chassé du milieu des hommes, il mangea de l’herbe comme les bœufs, son corps fut trempé de la rosée du ciel, jusqu’à ce que ses cheveux crussent comme les plumes des aigles, et ses ongles comme les griffes des oiseaux. Daniel 4:28–33.</w:t>
      </w:r>
    </w:p>
    <w:p>
      <w:pPr>
        <w:pStyle w:val="ArticleBody"/>
        <w:jc w:val="left"/>
      </w:pPr>
      <w:r>
        <w:rPr>
          <w:rFonts w:ascii="Times New Roman" w:hAnsi="Times New Roman" w:eastAsia="Times New Roman" w:cs="Times New Roman"/>
        </w:rPr>
        <w:t>Fifidianana izay efa voalaza mialoha dia tonga tamin’ilay “ora” indrindra izay nanandratran’i Nebokadnezara ny fony tamin’ny fireharehana. Ilay fitsarana famotopotorana izay efa voalaza mialoha dia tonga rehefa nanomboka ny “oran” ny fitsarana famotopotoran’Andriamanitra.</w:t>
      </w:r>
    </w:p>
    <w:p>
      <w:pPr>
        <w:pStyle w:val="ArticleBody"/>
        <w:jc w:val="left"/>
      </w:pPr>
      <w:r>
        <w:rPr>
          <w:rFonts w:ascii="Times New Roman" w:hAnsi="Times New Roman" w:eastAsia="Times New Roman" w:cs="Times New Roman"/>
        </w:rPr>
        <w:t>“</w:t>
      </w:r>
      <w:r>
        <w:rPr>
          <w:rFonts w:ascii="Myanmar Text" w:hAnsi="Myanmar Text" w:eastAsia="Myanmar Text" w:cs="Myanmar Text"/>
        </w:rPr>
        <w:t>သခင်၏</w:t>
      </w:r>
      <w:r>
        <w:rPr>
          <w:rFonts w:ascii="Times New Roman" w:hAnsi="Times New Roman" w:eastAsia="Times New Roman" w:cs="Times New Roman"/>
        </w:rPr>
        <w:t xml:space="preserve"> </w:t>
      </w:r>
      <w:r>
        <w:rPr>
          <w:rFonts w:ascii="Myanmar Text" w:hAnsi="Myanmar Text" w:eastAsia="Myanmar Text" w:cs="Myanmar Text"/>
        </w:rPr>
        <w:t>တရားစီရင်ခြင်း၏</w:t>
      </w:r>
      <w:r>
        <w:rPr>
          <w:rFonts w:ascii="Times New Roman" w:hAnsi="Times New Roman" w:eastAsia="Times New Roman" w:cs="Times New Roman"/>
        </w:rPr>
        <w:t xml:space="preserve"> </w:t>
      </w:r>
      <w:r>
        <w:rPr>
          <w:rFonts w:ascii="Myanmar Text" w:hAnsi="Myanmar Text" w:eastAsia="Myanmar Text" w:cs="Myanmar Text"/>
        </w:rPr>
        <w:t>နာရီ</w:t>
      </w:r>
      <w:r>
        <w:rPr>
          <w:rFonts w:ascii="Times New Roman" w:hAnsi="Times New Roman" w:eastAsia="Times New Roman" w:cs="Times New Roman"/>
        </w:rPr>
        <w:t xml:space="preserve">” </w:t>
      </w:r>
      <w:r>
        <w:rPr>
          <w:rFonts w:ascii="Myanmar Text" w:hAnsi="Myanmar Text" w:eastAsia="Myanmar Text" w:cs="Myanmar Text"/>
        </w:rPr>
        <w:t>ဖြစ်သော</w:t>
      </w:r>
      <w:r>
        <w:rPr>
          <w:rFonts w:ascii="Times New Roman" w:hAnsi="Times New Roman" w:eastAsia="Times New Roman" w:cs="Times New Roman"/>
        </w:rPr>
        <w:t xml:space="preserve"> </w:t>
      </w:r>
      <w:r>
        <w:rPr>
          <w:rFonts w:ascii="Myanmar Text" w:hAnsi="Myanmar Text" w:eastAsia="Myanmar Text" w:cs="Myanmar Text"/>
        </w:rPr>
        <w:t>၁၈၄၄</w:t>
      </w:r>
      <w:r>
        <w:rPr>
          <w:rFonts w:ascii="Times New Roman" w:hAnsi="Times New Roman" w:eastAsia="Times New Roman" w:cs="Times New Roman"/>
        </w:rPr>
        <w:t xml:space="preserve">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အောက်တိုဘာ</w:t>
      </w:r>
      <w:r>
        <w:rPr>
          <w:rFonts w:ascii="Times New Roman" w:hAnsi="Times New Roman" w:eastAsia="Times New Roman" w:cs="Times New Roman"/>
        </w:rPr>
        <w:t xml:space="preserve"> </w:t>
      </w:r>
      <w:r>
        <w:rPr>
          <w:rFonts w:ascii="Myanmar Text" w:hAnsi="Myanmar Text" w:eastAsia="Myanmar Text" w:cs="Myanmar Text"/>
        </w:rPr>
        <w:t>၂၂</w:t>
      </w:r>
      <w:r>
        <w:rPr>
          <w:rFonts w:ascii="Times New Roman" w:hAnsi="Times New Roman" w:eastAsia="Times New Roman" w:cs="Times New Roman"/>
        </w:rPr>
        <w:t xml:space="preserve"> </w:t>
      </w:r>
      <w:r>
        <w:rPr>
          <w:rFonts w:ascii="Myanmar Text" w:hAnsi="Myanmar Text" w:eastAsia="Myanmar Text" w:cs="Myanmar Text"/>
        </w:rPr>
        <w:t>ရက်နေ့သည်</w:t>
      </w:r>
      <w:r>
        <w:rPr>
          <w:rFonts w:ascii="Times New Roman" w:hAnsi="Times New Roman" w:eastAsia="Times New Roman" w:cs="Times New Roman"/>
        </w:rPr>
        <w:t xml:space="preserve"> </w:t>
      </w:r>
      <w:r>
        <w:rPr>
          <w:rFonts w:ascii="Myanmar Text" w:hAnsi="Myanmar Text" w:eastAsia="Myanmar Text" w:cs="Myanmar Text"/>
        </w:rPr>
        <w:t>ဘုရားကို</w:t>
      </w:r>
      <w:r>
        <w:rPr>
          <w:rFonts w:ascii="Times New Roman" w:hAnsi="Times New Roman" w:eastAsia="Times New Roman" w:cs="Times New Roman"/>
        </w:rPr>
        <w:t xml:space="preserve"> </w:t>
      </w:r>
      <w:r>
        <w:rPr>
          <w:rFonts w:ascii="Myanmar Text" w:hAnsi="Myanmar Text" w:eastAsia="Myanmar Text" w:cs="Myanmar Text"/>
        </w:rPr>
        <w:t>ကိုးကွယ်သူများကို</w:t>
      </w:r>
      <w:r>
        <w:rPr>
          <w:rFonts w:ascii="Times New Roman" w:hAnsi="Times New Roman" w:eastAsia="Times New Roman" w:cs="Times New Roman"/>
        </w:rPr>
        <w:t xml:space="preserve"> </w:t>
      </w:r>
      <w:r>
        <w:rPr>
          <w:rFonts w:ascii="Myanmar Text" w:hAnsi="Myanmar Text" w:eastAsia="Myanmar Text" w:cs="Myanmar Text"/>
        </w:rPr>
        <w:t>အုပ်စုနှစ်စုအဖြစ်</w:t>
      </w:r>
      <w:r>
        <w:rPr>
          <w:rFonts w:ascii="Times New Roman" w:hAnsi="Times New Roman" w:eastAsia="Times New Roman" w:cs="Times New Roman"/>
        </w:rPr>
        <w:t xml:space="preserve"> </w:t>
      </w:r>
      <w:r>
        <w:rPr>
          <w:rFonts w:ascii="Myanmar Text" w:hAnsi="Myanmar Text" w:eastAsia="Myanmar Text" w:cs="Myanmar Text"/>
        </w:rPr>
        <w:t>ပေါ်ထွက်စေခဲ့သည်။</w:t>
      </w:r>
      <w:r>
        <w:rPr>
          <w:rFonts w:ascii="Times New Roman" w:hAnsi="Times New Roman" w:eastAsia="Times New Roman" w:cs="Times New Roman"/>
        </w:rPr>
        <w:t xml:space="preserve"> </w:t>
      </w:r>
      <w:r>
        <w:rPr>
          <w:rFonts w:ascii="Myanmar Text" w:hAnsi="Myanmar Text" w:eastAsia="Myanmar Text" w:cs="Myanmar Text"/>
        </w:rPr>
        <w:t>ထိုအုပ်စုနှစ်စုကို</w:t>
      </w:r>
      <w:r>
        <w:rPr>
          <w:rFonts w:ascii="Times New Roman" w:hAnsi="Times New Roman" w:eastAsia="Times New Roman" w:cs="Times New Roman"/>
        </w:rPr>
        <w:t xml:space="preserve"> </w:t>
      </w:r>
      <w:r>
        <w:rPr>
          <w:rFonts w:ascii="Myanmar Text" w:hAnsi="Myanmar Text" w:eastAsia="Myanmar Text" w:cs="Myanmar Text"/>
        </w:rPr>
        <w:t>ဒံယေလ</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၁၂</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ပညာရှိသူ</w:t>
      </w:r>
      <w:r>
        <w:rPr>
          <w:rFonts w:ascii="Times New Roman" w:hAnsi="Times New Roman" w:eastAsia="Times New Roman" w:cs="Times New Roman"/>
        </w:rPr>
        <w:t xml:space="preserve">” </w:t>
      </w:r>
      <w:r>
        <w:rPr>
          <w:rFonts w:ascii="Myanmar Text" w:hAnsi="Myanmar Text" w:eastAsia="Myanmar Text" w:cs="Myanmar Text"/>
        </w:rPr>
        <w:t>နှင့်</w:t>
      </w:r>
      <w:r>
        <w:rPr>
          <w:rFonts w:ascii="Times New Roman" w:hAnsi="Times New Roman" w:eastAsia="Times New Roman" w:cs="Times New Roman"/>
        </w:rPr>
        <w:t xml:space="preserve"> “</w:t>
      </w:r>
      <w:r>
        <w:rPr>
          <w:rFonts w:ascii="Myanmar Text" w:hAnsi="Myanmar Text" w:eastAsia="Myanmar Text" w:cs="Myanmar Text"/>
        </w:rPr>
        <w:t>ဆိုးညစ်သူ</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ကိုယ်စားပြုဖော်ပြထားပြီး၊</w:t>
      </w:r>
      <w:r>
        <w:rPr>
          <w:rFonts w:ascii="Times New Roman" w:hAnsi="Times New Roman" w:eastAsia="Times New Roman" w:cs="Times New Roman"/>
        </w:rPr>
        <w:t xml:space="preserve"> </w:t>
      </w:r>
      <w:r>
        <w:rPr>
          <w:rFonts w:ascii="Myanmar Text" w:hAnsi="Myanmar Text" w:eastAsia="Myanmar Text" w:cs="Myanmar Text"/>
        </w:rPr>
        <w:t>ထို့ပြင်</w:t>
      </w:r>
      <w:r>
        <w:rPr>
          <w:rFonts w:ascii="Times New Roman" w:hAnsi="Times New Roman" w:eastAsia="Times New Roman" w:cs="Times New Roman"/>
        </w:rPr>
        <w:t xml:space="preserve"> </w:t>
      </w:r>
      <w:r>
        <w:rPr>
          <w:rFonts w:ascii="Myanmar Text" w:hAnsi="Myanmar Text" w:eastAsia="Myanmar Text" w:cs="Myanmar Text"/>
        </w:rPr>
        <w:t>ကညာဆယ်ယောက်၏</w:t>
      </w:r>
      <w:r>
        <w:rPr>
          <w:rFonts w:ascii="Times New Roman" w:hAnsi="Times New Roman" w:eastAsia="Times New Roman" w:cs="Times New Roman"/>
        </w:rPr>
        <w:t xml:space="preserve"> </w:t>
      </w:r>
      <w:r>
        <w:rPr>
          <w:rFonts w:ascii="Myanmar Text" w:hAnsi="Myanmar Text" w:eastAsia="Myanmar Text" w:cs="Myanmar Text"/>
        </w:rPr>
        <w:t>ဥပမာပုံပြင်တွင်လည်း</w:t>
      </w:r>
      <w:r>
        <w:rPr>
          <w:rFonts w:ascii="Times New Roman" w:hAnsi="Times New Roman" w:eastAsia="Times New Roman" w:cs="Times New Roman"/>
        </w:rPr>
        <w:t xml:space="preserve"> “</w:t>
      </w:r>
      <w:r>
        <w:rPr>
          <w:rFonts w:ascii="Myanmar Text" w:hAnsi="Myanmar Text" w:eastAsia="Myanmar Text" w:cs="Myanmar Text"/>
        </w:rPr>
        <w:t>ပညာရှိသူ</w:t>
      </w:r>
      <w:r>
        <w:rPr>
          <w:rFonts w:ascii="Times New Roman" w:hAnsi="Times New Roman" w:eastAsia="Times New Roman" w:cs="Times New Roman"/>
        </w:rPr>
        <w:t xml:space="preserve">” </w:t>
      </w:r>
      <w:r>
        <w:rPr>
          <w:rFonts w:ascii="Myanmar Text" w:hAnsi="Myanmar Text" w:eastAsia="Myanmar Text" w:cs="Myanmar Text"/>
        </w:rPr>
        <w:t>သို့မဟုတ်</w:t>
      </w:r>
      <w:r>
        <w:rPr>
          <w:rFonts w:ascii="Times New Roman" w:hAnsi="Times New Roman" w:eastAsia="Times New Roman" w:cs="Times New Roman"/>
        </w:rPr>
        <w:t xml:space="preserve"> “</w:t>
      </w:r>
      <w:r>
        <w:rPr>
          <w:rFonts w:ascii="Myanmar Text" w:hAnsi="Myanmar Text" w:eastAsia="Myanmar Text" w:cs="Myanmar Text"/>
        </w:rPr>
        <w:t>မိုက်မဲသူ</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ကိုယ်စားပြုဖော်ပြထားသည်။</w:t>
      </w:r>
      <w:r>
        <w:rPr>
          <w:rFonts w:ascii="Times New Roman" w:hAnsi="Times New Roman" w:eastAsia="Times New Roman" w:cs="Times New Roman"/>
        </w:rPr>
        <w:t xml:space="preserve"> </w:t>
      </w:r>
      <w:r>
        <w:rPr>
          <w:rFonts w:ascii="Myanmar Text" w:hAnsi="Myanmar Text" w:eastAsia="Myanmar Text" w:cs="Myanmar Text"/>
        </w:rPr>
        <w:t>ထို့အပြင်</w:t>
      </w:r>
      <w:r>
        <w:rPr>
          <w:rFonts w:ascii="Times New Roman" w:hAnsi="Times New Roman" w:eastAsia="Times New Roman" w:cs="Times New Roman"/>
        </w:rPr>
        <w:t xml:space="preserve"> </w:t>
      </w:r>
      <w:r>
        <w:rPr>
          <w:rFonts w:ascii="Myanmar Text" w:hAnsi="Myanmar Text" w:eastAsia="Myanmar Text" w:cs="Myanmar Text"/>
        </w:rPr>
        <w:t>ဟဗက္ကုတ်</w:t>
      </w:r>
      <w:r>
        <w:rPr>
          <w:rFonts w:ascii="Times New Roman" w:hAnsi="Times New Roman" w:eastAsia="Times New Roman" w:cs="Times New Roman"/>
        </w:rPr>
        <w:t xml:space="preserve"> </w:t>
      </w:r>
      <w:r>
        <w:rPr>
          <w:rFonts w:ascii="Myanmar Text" w:hAnsi="Myanmar Text" w:eastAsia="Myanmar Text" w:cs="Myanmar Text"/>
        </w:rPr>
        <w:t>အခန်းကြီး</w:t>
      </w:r>
      <w:r>
        <w:rPr>
          <w:rFonts w:ascii="Times New Roman" w:hAnsi="Times New Roman" w:eastAsia="Times New Roman" w:cs="Times New Roman"/>
        </w:rPr>
        <w:t xml:space="preserve"> </w:t>
      </w:r>
      <w:r>
        <w:rPr>
          <w:rFonts w:ascii="Myanmar Text" w:hAnsi="Myanmar Text" w:eastAsia="Myanmar Text" w:cs="Myanmar Text"/>
        </w:rPr>
        <w:t>၂</w:t>
      </w:r>
      <w:r>
        <w:rPr>
          <w:rFonts w:ascii="Times New Roman" w:hAnsi="Times New Roman" w:eastAsia="Times New Roman" w:cs="Times New Roman"/>
        </w:rPr>
        <w:t xml:space="preserve"> </w:t>
      </w:r>
      <w:r>
        <w:rPr>
          <w:rFonts w:ascii="Myanmar Text" w:hAnsi="Myanmar Text" w:eastAsia="Myanmar Text" w:cs="Myanmar Text"/>
        </w:rPr>
        <w:t>တွင်</w:t>
      </w:r>
      <w:r>
        <w:rPr>
          <w:rFonts w:ascii="Times New Roman" w:hAnsi="Times New Roman" w:eastAsia="Times New Roman" w:cs="Times New Roman"/>
        </w:rPr>
        <w:t xml:space="preserve"> </w:t>
      </w:r>
      <w:r>
        <w:rPr>
          <w:rFonts w:ascii="Myanmar Text" w:hAnsi="Myanmar Text" w:eastAsia="Myanmar Text" w:cs="Myanmar Text"/>
        </w:rPr>
        <w:t>ယုံကြည်ခြင်းအားဖြင့်</w:t>
      </w:r>
      <w:r>
        <w:rPr>
          <w:rFonts w:ascii="Times New Roman" w:hAnsi="Times New Roman" w:eastAsia="Times New Roman" w:cs="Times New Roman"/>
        </w:rPr>
        <w:t xml:space="preserve"> </w:t>
      </w:r>
      <w:r>
        <w:rPr>
          <w:rFonts w:ascii="Myanmar Text" w:hAnsi="Myanmar Text" w:eastAsia="Myanmar Text" w:cs="Myanmar Text"/>
        </w:rPr>
        <w:t>ဖြောင့်မတ်ရာသို့</w:t>
      </w:r>
      <w:r>
        <w:rPr>
          <w:rFonts w:ascii="Times New Roman" w:hAnsi="Times New Roman" w:eastAsia="Times New Roman" w:cs="Times New Roman"/>
        </w:rPr>
        <w:t xml:space="preserve"> </w:t>
      </w:r>
      <w:r>
        <w:rPr>
          <w:rFonts w:ascii="Myanmar Text" w:hAnsi="Myanmar Text" w:eastAsia="Myanmar Text" w:cs="Myanmar Text"/>
        </w:rPr>
        <w:t>သတ်မှတ်ခံရသူများအဖြစ်လည်း</w:t>
      </w:r>
      <w:r>
        <w:rPr>
          <w:rFonts w:ascii="Times New Roman" w:hAnsi="Times New Roman" w:eastAsia="Times New Roman" w:cs="Times New Roman"/>
        </w:rPr>
        <w:t xml:space="preserve"> </w:t>
      </w:r>
      <w:r>
        <w:rPr>
          <w:rFonts w:ascii="Myanmar Text" w:hAnsi="Myanmar Text" w:eastAsia="Myanmar Text" w:cs="Myanmar Text"/>
        </w:rPr>
        <w:t>ကိုယ်စားပြုဖော်ပြထားပြီး၊</w:t>
      </w:r>
      <w:r>
        <w:rPr>
          <w:rFonts w:ascii="Times New Roman" w:hAnsi="Times New Roman" w:eastAsia="Times New Roman" w:cs="Times New Roman"/>
        </w:rPr>
        <w:t xml:space="preserve"> </w:t>
      </w:r>
      <w:r>
        <w:rPr>
          <w:rFonts w:ascii="Myanmar Text" w:hAnsi="Myanmar Text" w:eastAsia="Myanmar Text" w:cs="Myanmar Text"/>
        </w:rPr>
        <w:t>သူတို့ကို</w:t>
      </w:r>
      <w:r>
        <w:rPr>
          <w:rFonts w:ascii="Times New Roman" w:hAnsi="Times New Roman" w:eastAsia="Times New Roman" w:cs="Times New Roman"/>
        </w:rPr>
        <w:t xml:space="preserve"> </w:t>
      </w:r>
      <w:r>
        <w:rPr>
          <w:rFonts w:ascii="Myanmar Text" w:hAnsi="Myanmar Text" w:eastAsia="Myanmar Text" w:cs="Myanmar Text"/>
        </w:rPr>
        <w:t>တရားစီရင်ခြင်း၏</w:t>
      </w:r>
      <w:r>
        <w:rPr>
          <w:rFonts w:ascii="Times New Roman" w:hAnsi="Times New Roman" w:eastAsia="Times New Roman" w:cs="Times New Roman"/>
        </w:rPr>
        <w:t xml:space="preserve"> “</w:t>
      </w:r>
      <w:r>
        <w:rPr>
          <w:rFonts w:ascii="Myanmar Text" w:hAnsi="Myanmar Text" w:eastAsia="Myanmar Text" w:cs="Myanmar Text"/>
        </w:rPr>
        <w:t>နာရီ</w:t>
      </w:r>
      <w:r>
        <w:rPr>
          <w:rFonts w:ascii="Times New Roman" w:hAnsi="Times New Roman" w:eastAsia="Times New Roman" w:cs="Times New Roman"/>
        </w:rPr>
        <w:t xml:space="preserve">” </w:t>
      </w:r>
      <w:r>
        <w:rPr>
          <w:rFonts w:ascii="Myanmar Text" w:hAnsi="Myanmar Text" w:eastAsia="Myanmar Text" w:cs="Myanmar Text"/>
        </w:rPr>
        <w:t>ရောက်လာသောအခါ</w:t>
      </w:r>
      <w:r>
        <w:rPr>
          <w:rFonts w:ascii="Times New Roman" w:hAnsi="Times New Roman" w:eastAsia="Times New Roman" w:cs="Times New Roman"/>
        </w:rPr>
        <w:t xml:space="preserve"> </w:t>
      </w:r>
      <w:r>
        <w:rPr>
          <w:rFonts w:ascii="Myanmar Text" w:hAnsi="Myanmar Text" w:eastAsia="Myanmar Text" w:cs="Myanmar Text"/>
        </w:rPr>
        <w:t>နေဗုခဒ္ဒနေဇာ၌</w:t>
      </w:r>
      <w:r>
        <w:rPr>
          <w:rFonts w:ascii="Times New Roman" w:hAnsi="Times New Roman" w:eastAsia="Times New Roman" w:cs="Times New Roman"/>
        </w:rPr>
        <w:t xml:space="preserve"> </w:t>
      </w:r>
      <w:r>
        <w:rPr>
          <w:rFonts w:ascii="Myanmar Text" w:hAnsi="Myanmar Text" w:eastAsia="Myanmar Text" w:cs="Myanmar Text"/>
        </w:rPr>
        <w:t>တွေ့မြင်ရသည့်</w:t>
      </w:r>
      <w:r>
        <w:rPr>
          <w:rFonts w:ascii="Times New Roman" w:hAnsi="Times New Roman" w:eastAsia="Times New Roman" w:cs="Times New Roman"/>
        </w:rPr>
        <w:t xml:space="preserve"> </w:t>
      </w:r>
      <w:r>
        <w:rPr>
          <w:rFonts w:ascii="Myanmar Text" w:hAnsi="Myanmar Text" w:eastAsia="Myanmar Text" w:cs="Myanmar Text"/>
        </w:rPr>
        <w:t>တူညီသော</w:t>
      </w:r>
      <w:r>
        <w:rPr>
          <w:rFonts w:ascii="Times New Roman" w:hAnsi="Times New Roman" w:eastAsia="Times New Roman" w:cs="Times New Roman"/>
        </w:rPr>
        <w:t xml:space="preserve"> </w:t>
      </w:r>
      <w:r>
        <w:rPr>
          <w:rFonts w:ascii="Myanmar Text" w:hAnsi="Myanmar Text" w:eastAsia="Myanmar Text" w:cs="Myanmar Text"/>
        </w:rPr>
        <w:t>စရိုက်လက္ခဏာကို</w:t>
      </w:r>
      <w:r>
        <w:rPr>
          <w:rFonts w:ascii="Times New Roman" w:hAnsi="Times New Roman" w:eastAsia="Times New Roman" w:cs="Times New Roman"/>
        </w:rPr>
        <w:t xml:space="preserve"> </w:t>
      </w:r>
      <w:r>
        <w:rPr>
          <w:rFonts w:ascii="Myanmar Text" w:hAnsi="Myanmar Text" w:eastAsia="Myanmar Text" w:cs="Myanmar Text"/>
        </w:rPr>
        <w:t>ဖော်ပြပြသသူတို့နှင့်</w:t>
      </w:r>
      <w:r>
        <w:rPr>
          <w:rFonts w:ascii="Times New Roman" w:hAnsi="Times New Roman" w:eastAsia="Times New Roman" w:cs="Times New Roman"/>
        </w:rPr>
        <w:t xml:space="preserve"> </w:t>
      </w:r>
      <w:r>
        <w:rPr>
          <w:rFonts w:ascii="Myanmar Text" w:hAnsi="Myanmar Text" w:eastAsia="Myanmar Text" w:cs="Myanmar Text"/>
        </w:rPr>
        <w:t>နှိုင်းယှဉ်ထားသည်။</w:t>
      </w:r>
    </w:p>
    <w:p>
      <w:pPr>
        <w:pStyle w:val="ArticleScripture"/>
        <w:jc w:val="left"/>
      </w:pPr>
      <w:r>
        <w:rPr>
          <w:rFonts w:ascii="Times New Roman" w:hAnsi="Times New Roman" w:eastAsia="Times New Roman" w:cs="Times New Roman"/>
        </w:rPr>
        <w:t>Siehe, wer stolz ist, dessen Seele ist nicht aufrichtig in ihm; der Gerechte aber wird durch seinen Glauben leben. Habakuk 2,4.</w:t>
      </w:r>
    </w:p>
    <w:p>
      <w:pPr>
        <w:pStyle w:val="ArticleBody"/>
        <w:jc w:val="left"/>
      </w:pPr>
      <w:r>
        <w:rPr>
          <w:rFonts w:ascii="Times New Roman" w:hAnsi="Times New Roman" w:eastAsia="Times New Roman" w:cs="Times New Roman"/>
        </w:rPr>
        <w:t>Katika kila moja ya mistari hiyo mitatu, makundi mawili yalidhihirishwa wakati “saa” ya hukumu yake ilipowadia tarehe 22 Oktoba, 1844, ambayo ndiyo inawakilishwa na “saa” ya hukumu ya Nebukadreza. Mwaka 1798 ulikuwa mwisho wa ghadhabu ya “kwanza” ya “nyakati saba,” wakati upapa ulipoacha kufanikiwa, kwa maana ulipata jeraha la mauti.</w:t>
      </w:r>
    </w:p>
    <w:p>
      <w:pPr>
        <w:pStyle w:val="ArticleScripture"/>
        <w:jc w:val="left"/>
      </w:pPr>
      <w:r>
        <w:rPr>
          <w:rFonts w:ascii="Times New Roman" w:hAnsi="Times New Roman" w:eastAsia="Times New Roman" w:cs="Times New Roman"/>
        </w:rPr>
        <w:t>Ug hari magabuhat sumala sa iyang kabubut-on; ug magapahitas-on siya sa iyang kaugalingon, ug magapadaku sa iyang kaugalingon labaw sa matag dios, ug magasulti ug katingalahang mga butang batok sa Dios sa mga dios, ug mouswag siya hangtod nga matuman ang kasuko: kay ang gitagal pagabuhaton gayod. Daniel 11:36.</w:t>
      </w:r>
    </w:p>
    <w:p>
      <w:pPr>
        <w:pStyle w:val="ArticleBody"/>
        <w:jc w:val="left"/>
      </w:pPr>
      <w:r>
        <w:rPr>
          <w:rFonts w:ascii="Times New Roman" w:hAnsi="Times New Roman" w:eastAsia="Times New Roman" w:cs="Times New Roman"/>
        </w:rPr>
        <w:t>1844, était la fin de la « dernière » indignation :</w:t>
      </w:r>
    </w:p>
    <w:p>
      <w:pPr>
        <w:pStyle w:val="ArticleScripture"/>
        <w:jc w:val="left"/>
      </w:pPr>
      <w:r>
        <w:rPr>
          <w:rFonts w:ascii="Times New Roman" w:hAnsi="Times New Roman" w:eastAsia="Times New Roman" w:cs="Times New Roman"/>
        </w:rPr>
        <w:t>Et il dit : Voici, je te ferai connaître ce qui arrivera à la fin de l’indignation ; car à l’époque fixée sera la fin. Daniel 8:19.</w:t>
      </w:r>
    </w:p>
    <w:p>
      <w:pPr>
        <w:pStyle w:val="ArticleBody"/>
        <w:jc w:val="left"/>
      </w:pPr>
      <w:r>
        <w:rPr>
          <w:rFonts w:ascii="Times New Roman" w:hAnsi="Times New Roman" w:eastAsia="Times New Roman" w:cs="Times New Roman"/>
        </w:rPr>
        <w:t>Le premier emploi du mot « heure », dans le chapitre quatre de Daniel, représente 1798 ; laquelle fut la fin du « premier » de l’indignation de Dieu de « sept temps » contre le royaume du nord d’Israël ; l’arrivée du message du premier ange au temps de la fin ; et la fin des « sept temps » de Nebucadnetsar à la « fin des jours ».</w:t>
      </w:r>
    </w:p>
    <w:p>
      <w:pPr>
        <w:pStyle w:val="ArticleBody"/>
        <w:jc w:val="left"/>
      </w:pPr>
      <w:r>
        <w:rPr>
          <w:rFonts w:ascii="Times New Roman" w:hAnsi="Times New Roman" w:eastAsia="Times New Roman" w:cs="Times New Roman"/>
        </w:rPr>
        <w:t>“ساعة” کا دوسرا استعمال، دانی ایل کے چوتھے باب میں، 1844 کی نمائندگی کرتا ہے؛ جو یہوداہ کی جنوبی سلطنت کے خلاف “سات زمانوں” کی “آخری” ناراضی کا خاتمہ تھا۔ یہ تفتیشی عدالت کے آغاز، اور نبوکدنضر کی ذاتی عدالت کے پہنچنے کا وقت بھی تھا۔</w:t>
      </w:r>
    </w:p>
    <w:p>
      <w:pPr>
        <w:pStyle w:val="ArticleBody"/>
        <w:jc w:val="left"/>
      </w:pPr>
      <w:r>
        <w:rPr>
          <w:rFonts w:ascii="Times New Roman" w:hAnsi="Times New Roman" w:eastAsia="Times New Roman" w:cs="Times New Roman"/>
        </w:rPr>
        <w:t>Le chapitre premier retrace l’histoire du processus d’épreuve en trois étapes et marque la mise en puissance du message du premier ange le 11 août 1840. Le chapitre quatre représente l’arrivée du message du premier ange au temps de la fin en 1798, et doit être superposé au chapitre premier. Le chapitre quatre met l’accent sur le message du premier ange et sur son avertissement d’un jugement approchant, et marque le 22 octobre 1844 ainsi que l’arrivée du message du troisième ange.</w:t>
      </w:r>
    </w:p>
    <w:p>
      <w:pPr>
        <w:pStyle w:val="ArticleBody"/>
        <w:jc w:val="left"/>
      </w:pPr>
      <w:r>
        <w:rPr>
          <w:rFonts w:ascii="Times New Roman" w:hAnsi="Times New Roman" w:eastAsia="Times New Roman" w:cs="Times New Roman"/>
        </w:rPr>
        <w:t>Ensemble, ils représentent le commencement non seulement de l’adventisme, mais aussi des États-Unis. Les chapitres un à trois traitent également de l’histoire à la fin de l’adventisme, et de la fin des États-Unis. Le chapitre cinq, ainsi que le témoignage de Belshatsar, s’accorde aussi avec ces trois premiers chapitres.</w:t>
      </w:r>
    </w:p>
    <w:p>
      <w:pPr>
        <w:pStyle w:val="ArticleBody"/>
        <w:jc w:val="left"/>
      </w:pPr>
      <w:r>
        <w:rPr>
          <w:rFonts w:ascii="Times New Roman" w:hAnsi="Times New Roman" w:eastAsia="Times New Roman" w:cs="Times New Roman"/>
        </w:rPr>
        <w:t>Le chapitre un, en harmonie avec le chapitre quatre, représente le mouvement du premier ange et l’histoire du moment où le livre de Daniel fut descellé au temps de la fin, en 1798. Le message alors descellé est symbolisé par la vision du fleuve d’Ulaï, qui représente l’accroissement de la connaissance contenu dans les chapitres sept, huit et neuf de Daniel.</w:t>
      </w:r>
    </w:p>
    <w:p>
      <w:pPr>
        <w:pStyle w:val="ArticleScripture"/>
        <w:jc w:val="left"/>
      </w:pPr>
      <w:r>
        <w:rPr>
          <w:rFonts w:ascii="Times New Roman" w:hAnsi="Times New Roman" w:eastAsia="Times New Roman" w:cs="Times New Roman"/>
        </w:rPr>
        <w:t>I te toru o nga tau o te kingitanga o Kingi Perehatara ka puta mai he kite ki ahau, ara ki ahau, ki a Raniera, i muri iho i tera i puta mai ki ahau i te timatanga. A i kite ahau i roto i te kite; a, i ahau e titiro ana, na, i Huhana ahau i te whare kingi, i te mea kei te kawanatanga o Erama; a i kite ahau i roto i te kite, a i te taha ahau o te awa o Urai. Raniera 8:1, 2.</w:t>
      </w:r>
    </w:p>
    <w:p>
      <w:pPr>
        <w:pStyle w:val="ArticleBody"/>
        <w:jc w:val="left"/>
      </w:pPr>
      <w:r>
        <w:rPr>
          <w:rFonts w:ascii="Times New Roman" w:hAnsi="Times New Roman" w:eastAsia="Times New Roman" w:cs="Times New Roman"/>
        </w:rPr>
        <w:t>Les chapitres un à trois, en lien avec le chapitre cinq, représentent le mouvement du troisième ange et l’histoire de l’époque où le livre de Daniel fut descellé en 1989. Le message alors descellé est symbolisé par la vision du fleuve Hiddékel, laquelle représente l’accroissement de la connaissance contenu dans les chapitres dix, onze et douze.</w:t>
      </w:r>
    </w:p>
    <w:p>
      <w:pPr>
        <w:pStyle w:val="ArticleScripture"/>
        <w:jc w:val="left"/>
      </w:pPr>
      <w:r>
        <w:rPr>
          <w:rFonts w:ascii="Ebrima" w:hAnsi="Ebrima" w:eastAsia="Ebrima" w:cs="Ebrima"/>
        </w:rPr>
        <w:t>እኔም</w:t>
      </w:r>
      <w:r>
        <w:rPr>
          <w:rFonts w:ascii="Times New Roman" w:hAnsi="Times New Roman" w:eastAsia="Times New Roman" w:cs="Times New Roman"/>
        </w:rPr>
        <w:t xml:space="preserve"> </w:t>
      </w:r>
      <w:r>
        <w:rPr>
          <w:rFonts w:ascii="Ebrima" w:hAnsi="Ebrima" w:eastAsia="Ebrima" w:cs="Ebrima"/>
        </w:rPr>
        <w:t>በፊተኛው</w:t>
      </w:r>
      <w:r>
        <w:rPr>
          <w:rFonts w:ascii="Times New Roman" w:hAnsi="Times New Roman" w:eastAsia="Times New Roman" w:cs="Times New Roman"/>
        </w:rPr>
        <w:t xml:space="preserve"> </w:t>
      </w:r>
      <w:r>
        <w:rPr>
          <w:rFonts w:ascii="Ebrima" w:hAnsi="Ebrima" w:eastAsia="Ebrima" w:cs="Ebrima"/>
        </w:rPr>
        <w:t>ወር</w:t>
      </w:r>
      <w:r>
        <w:rPr>
          <w:rFonts w:ascii="Times New Roman" w:hAnsi="Times New Roman" w:eastAsia="Times New Roman" w:cs="Times New Roman"/>
        </w:rPr>
        <w:t xml:space="preserve"> </w:t>
      </w:r>
      <w:r>
        <w:rPr>
          <w:rFonts w:ascii="Ebrima" w:hAnsi="Ebrima" w:eastAsia="Ebrima" w:cs="Ebrima"/>
        </w:rPr>
        <w:t>በሃያ</w:t>
      </w:r>
      <w:r>
        <w:rPr>
          <w:rFonts w:ascii="Times New Roman" w:hAnsi="Times New Roman" w:eastAsia="Times New Roman" w:cs="Times New Roman"/>
        </w:rPr>
        <w:t xml:space="preserve"> </w:t>
      </w:r>
      <w:r>
        <w:rPr>
          <w:rFonts w:ascii="Ebrima" w:hAnsi="Ebrima" w:eastAsia="Ebrima" w:cs="Ebrima"/>
        </w:rPr>
        <w:t>አራተኛው</w:t>
      </w:r>
      <w:r>
        <w:rPr>
          <w:rFonts w:ascii="Times New Roman" w:hAnsi="Times New Roman" w:eastAsia="Times New Roman" w:cs="Times New Roman"/>
        </w:rPr>
        <w:t xml:space="preserve"> </w:t>
      </w:r>
      <w:r>
        <w:rPr>
          <w:rFonts w:ascii="Ebrima" w:hAnsi="Ebrima" w:eastAsia="Ebrima" w:cs="Ebrima"/>
        </w:rPr>
        <w:t>ቀን፣</w:t>
      </w:r>
      <w:r>
        <w:rPr>
          <w:rFonts w:ascii="Times New Roman" w:hAnsi="Times New Roman" w:eastAsia="Times New Roman" w:cs="Times New Roman"/>
        </w:rPr>
        <w:t xml:space="preserve"> </w:t>
      </w:r>
      <w:r>
        <w:rPr>
          <w:rFonts w:ascii="Ebrima" w:hAnsi="Ebrima" w:eastAsia="Ebrima" w:cs="Ebrima"/>
        </w:rPr>
        <w:t>በታላቁ</w:t>
      </w:r>
      <w:r>
        <w:rPr>
          <w:rFonts w:ascii="Times New Roman" w:hAnsi="Times New Roman" w:eastAsia="Times New Roman" w:cs="Times New Roman"/>
        </w:rPr>
        <w:t xml:space="preserve"> </w:t>
      </w:r>
      <w:r>
        <w:rPr>
          <w:rFonts w:ascii="Ebrima" w:hAnsi="Ebrima" w:eastAsia="Ebrima" w:cs="Ebrima"/>
        </w:rPr>
        <w:t>ወንዝ</w:t>
      </w:r>
      <w:r>
        <w:rPr>
          <w:rFonts w:ascii="Times New Roman" w:hAnsi="Times New Roman" w:eastAsia="Times New Roman" w:cs="Times New Roman"/>
        </w:rPr>
        <w:t xml:space="preserve"> </w:t>
      </w:r>
      <w:r>
        <w:rPr>
          <w:rFonts w:ascii="Ebrima" w:hAnsi="Ebrima" w:eastAsia="Ebrima" w:cs="Ebrima"/>
        </w:rPr>
        <w:t>አጠገብ</w:t>
      </w:r>
      <w:r>
        <w:rPr>
          <w:rFonts w:ascii="Times New Roman" w:hAnsi="Times New Roman" w:eastAsia="Times New Roman" w:cs="Times New Roman"/>
        </w:rPr>
        <w:t xml:space="preserve"> </w:t>
      </w:r>
      <w:r>
        <w:rPr>
          <w:rFonts w:ascii="Ebrima" w:hAnsi="Ebrima" w:eastAsia="Ebrima" w:cs="Ebrima"/>
        </w:rPr>
        <w:t>ሳለሁ፣</w:t>
      </w:r>
      <w:r>
        <w:rPr>
          <w:rFonts w:ascii="Times New Roman" w:hAnsi="Times New Roman" w:eastAsia="Times New Roman" w:cs="Times New Roman"/>
        </w:rPr>
        <w:t xml:space="preserve"> </w:t>
      </w:r>
      <w:r>
        <w:rPr>
          <w:rFonts w:ascii="Ebrima" w:hAnsi="Ebrima" w:eastAsia="Ebrima" w:cs="Ebrima"/>
        </w:rPr>
        <w:t>እርሱም</w:t>
      </w:r>
      <w:r>
        <w:rPr>
          <w:rFonts w:ascii="Times New Roman" w:hAnsi="Times New Roman" w:eastAsia="Times New Roman" w:cs="Times New Roman"/>
        </w:rPr>
        <w:t xml:space="preserve"> </w:t>
      </w:r>
      <w:r>
        <w:rPr>
          <w:rFonts w:ascii="Ebrima" w:hAnsi="Ebrima" w:eastAsia="Ebrima" w:cs="Ebrima"/>
        </w:rPr>
        <w:t>ሂዴቄል</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ዳንኤል</w:t>
      </w:r>
      <w:r>
        <w:rPr>
          <w:rFonts w:ascii="Times New Roman" w:hAnsi="Times New Roman" w:eastAsia="Times New Roman" w:cs="Times New Roman"/>
        </w:rPr>
        <w:t xml:space="preserve"> 10</w:t>
      </w:r>
      <w:r>
        <w:rPr>
          <w:rFonts w:ascii="Ebrima" w:hAnsi="Ebrima" w:eastAsia="Ebrima" w:cs="Ebrima"/>
        </w:rPr>
        <w:t>፥</w:t>
      </w:r>
      <w:r>
        <w:rPr>
          <w:rFonts w:ascii="Times New Roman" w:hAnsi="Times New Roman" w:eastAsia="Times New Roman" w:cs="Times New Roman"/>
        </w:rPr>
        <w:t>4</w:t>
      </w:r>
      <w:r>
        <w:rPr>
          <w:rFonts w:ascii="Ebrima" w:hAnsi="Ebrima" w:eastAsia="Ebrima" w:cs="Ebrima"/>
        </w:rPr>
        <w:t>።</w:t>
      </w:r>
    </w:p>
    <w:p>
      <w:pPr>
        <w:pStyle w:val="ArticleBody"/>
        <w:jc w:val="left"/>
      </w:pPr>
      <w:r>
        <w:rPr>
          <w:rFonts w:ascii="Times New Roman" w:hAnsi="Times New Roman" w:eastAsia="Times New Roman" w:cs="Times New Roman"/>
        </w:rPr>
        <w:t>Nous poursuivrons notre examen de la lignée de Nebucadnetsar et de Belshatsar dans le prochain article.</w:t>
      </w:r>
    </w:p>
    <w:p>
      <w:pPr>
        <w:pStyle w:val="ArticleScripture"/>
        <w:jc w:val="left"/>
      </w:pPr>
      <w:r>
        <w:rPr>
          <w:rFonts w:ascii="Times New Roman" w:hAnsi="Times New Roman" w:eastAsia="Times New Roman" w:cs="Times New Roman"/>
        </w:rPr>
        <w:t>“Waxaa loo baahan yahay in Erayga Ilaah si aad uga dhow loo barto. Gaar ahaan waa in Daanyeel iyo Muujintaba loo fiirsadaa si aan weligeed hore loogu samayn taariikhda shaqadeenna. Waxaa dhici karta in aan wax yar ka yareyno hadalka ku saabsan xoogga Roomaanka iyo baabtinimada, hase yeeshee waa in aynu dadka ku baraarujinno waxa nebiyadu iyo rasuulladu ku qoreen waxyiga Ruuxa Ilaah. Ruuxa Quduuska ahi arrimaha sidaas buu u habeeyey, labadaba bixinta wax sii sheegidda iyo dhacdooyinka lagu sawirayba, si loo baro in wakiilka aadanuhu aanu muuqan, balse lagu qariyo Masiixa dhexdiisa, iyo in Rabbiga Ilaaha samada iyo sharcigiisa kor loo qaado.</w:t>
      </w:r>
    </w:p>
    <w:p>
      <w:pPr>
        <w:pStyle w:val="ArticleScripture"/>
        <w:jc w:val="left"/>
      </w:pPr>
      <w:r>
        <w:rPr>
          <w:rFonts w:ascii="Times New Roman" w:hAnsi="Times New Roman" w:eastAsia="Times New Roman" w:cs="Times New Roman"/>
        </w:rPr>
        <w:t>« Lisez le livre de Daniel. Rappelez, point par point, l’histoire des royaumes qui y sont représentés. Voyez des hommes d’État, des conseils, de puissantes armées, et considérez comment Dieu a œuvré pour abaisser l’orgueil des hommes et jeter dans la poussière la gloire humaine. Dieu seul y est représenté comme grand. Dans la vision du prophète, on le voit renverser un puissant souverain et en établir un autre. Il est révélé comme le Monarque de l’univers, sur le point d’établir son royaume éternel — l’Ancien des jours, le Dieu vivant, la Source de toute sagesse, le Souverain du présent, le Révélateur de l’avenir. Lisez et comprenez combien l’homme est pauvre, combien il est fragile, combien sa vie est courte, combien il est sujet à l’erreur, combien il est coupable lorsqu’il élève son âme vers la vanité. »</w:t>
      </w:r>
    </w:p>
    <w:p>
      <w:pPr>
        <w:pStyle w:val="ArticleScripture"/>
        <w:jc w:val="left"/>
      </w:pPr>
      <w:r>
        <w:rPr>
          <w:rFonts w:ascii="Times New Roman" w:hAnsi="Times New Roman" w:eastAsia="Times New Roman" w:cs="Times New Roman"/>
        </w:rPr>
        <w:t>“Roho Mtakatifu kupitia kwa Isaya anatuelekeza kwa Mungu, Mungu aliye hai, kuwa ndilo lengo kuu la kuzingatiwa—kwa Mungu kama alivyofunuliwa katika Kristo. ‘Kwa maana mtoto amezaliwa kwa ajili yetu, tumepewa mwana; na mamlaka yatakuwa begani mwake; na jina lake litaitwa Ajabu, Mshauri, Mungu Mwenye Nguvu, Baba wa Milele, Mkuu wa Amani’ [Isaiah 9:6].”</w:t>
      </w:r>
    </w:p>
    <w:p>
      <w:pPr>
        <w:pStyle w:val="ArticleScripture"/>
        <w:jc w:val="left"/>
      </w:pPr>
      <w:r>
        <w:rPr>
          <w:rFonts w:ascii="Times New Roman" w:hAnsi="Times New Roman" w:eastAsia="Times New Roman" w:cs="Times New Roman"/>
        </w:rPr>
        <w:t>“Ko te māramatanga i riro tika mai i a Raniera i te Atua, i homai rawa mō ēnei rā whakamutunga. Ko ngā kite i kite ai ia i ngā tahataha o te Ulai me te Hītekera, arā, ngā awa nunui o Hinara, kei te whakatutukihia ināianei, ā, kāore e roa ka tutuki katoa ngā mea i poropititia.”</w:t>
      </w:r>
    </w:p>
    <w:p>
      <w:pPr>
        <w:pStyle w:val="ArticleScripture"/>
        <w:jc w:val="left"/>
      </w:pPr>
      <w:r>
        <w:rPr>
          <w:rFonts w:ascii="Times New Roman" w:hAnsi="Times New Roman" w:eastAsia="Times New Roman" w:cs="Times New Roman"/>
        </w:rPr>
        <w:t>«Предвидете околностите на еврејскиот народ кога биле дадени пророштвата на Даниел. Израелците беа во ропство, нивниот храм беше разрушен, а храмовата служба прекината. Нивната религија беше сосредоточена во обредите на жртвениот систем. Тие им ја придаваа сета важност на надворешните облици, додека го беа изгубиле духот на вистинското богослужение. Нивните служби беа изопачени со преданијата и обичаите на незнабоштвото, и при извршувањето на жртвените обреди тие не гледаа подалеку од сенката кон суштината. Тие не Го распознаа Христа, вистинскиот принос за гревовите на луѓето. Господ дејствуваше за да го одведе народот во ропство и да ги прекине службите во храмот, за надворешните обреди да не станат севкупност на нивната религија. Нивните начела и практики мораа да бидат очистени од незнабоштвото. Обредната служба престана за да може да оживее службата на срцето. Надворешната слава беше отстранета за да може да се открие духовното.» Manuscript Releases, volume 16, 333, 334.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Nambari Ishirini na Saba</dc:title>
  <dc:subject>Un Autre Rêve Secret</dc:subject>
  <dc:creator>Jeff Pippenger</dc:creator>
  <cp:keywords/>
  <dc:description>Generated by ArticleDigger from daniel\27_daniel.json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