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كتاب دانيال - العدد الثامن والعشرون</w:t>
      </w:r>
    </w:p>
    <w:p>
      <w:pPr>
        <w:pStyle w:val="ArticleSubtitle"/>
        <w:jc w:val="left"/>
      </w:pPr>
      <w:r>
        <w:rPr>
          <w:rFonts w:ascii="Segoe UI" w:hAnsi="Segoe UI" w:eastAsia="Segoe UI" w:cs="Segoe UI"/>
        </w:rPr>
        <w:t>دیوارها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Nebukadnezar ananɔ adwentfo no mfiase, United States no mfiase, Protestan abɛn no mfiase, ne Republican abɛn no mfiase. Belsasar nso gyina hɔ ma saa nsensanee yi nyinaa awiei.</w:t>
      </w:r>
    </w:p>
    <w:p>
      <w:pPr>
        <w:pStyle w:val="ArticleBody"/>
        <w:jc w:val="left"/>
      </w:pPr>
      <w:r>
        <w:rPr>
          <w:rFonts w:ascii="Times New Roman" w:hAnsi="Times New Roman" w:eastAsia="Times New Roman" w:cs="Times New Roman"/>
        </w:rPr>
        <w:t>Nebukadnezara maneho ny tantaran’ny hafatry ny anjely voalohany sy faharoa hatramin’ny 1798 ka hatramin’ny 1844, sy ny fiandohan’ny fitsarana famotoran’Andriamanitra. Ny fijoroany ho vavolombelona dia mifanaraka amin’ny Daniela toko voalohany. Belsazara kosa maneho ny tantaran’ny hafatry ny anjely fahatelo hatramin’ny 1989 ka hatramin’ny lalàna Alahady, sy ny fiandohan’ny fitsarana fanatanterahan’Andriamanitra. Ny fijoroany ho vavolombelona dia mifanaraka amin’ny Daniela toko voalohany ka hatramin’ny fahatelo.</w:t>
      </w:r>
    </w:p>
    <w:p>
      <w:pPr>
        <w:pStyle w:val="ArticleBody"/>
        <w:jc w:val="left"/>
      </w:pPr>
      <w:r>
        <w:rPr>
          <w:rFonts w:ascii="Times New Roman" w:hAnsi="Times New Roman" w:eastAsia="Times New Roman" w:cs="Times New Roman"/>
        </w:rPr>
        <w:t>Nebucadnezzar marque la fin des « sept temps » qui vinrent sur le royaume du nord d’Israël en 1798, lorsque son royaume lui fut rendu après qu’il eut vécu avec un cœur de bête. Son témoignage se poursuit jusqu’à l’ouverture du jugement investigatif à la fin des « sept temps » qui vinrent sur le royaume du sud de Juda en 1844. Dans son témoignage, le mot « heure » représente le message de l’heure du jugement du premier ange, puis de nouveau il représente l’arrivée de ce message. L’« heure » dans son témoignage marque à la fois 1798 et 1844, lesquels représentent respectivement la conclusion de la première indignation et de la dernière indignation.</w:t>
      </w:r>
    </w:p>
    <w:p>
      <w:pPr>
        <w:pStyle w:val="ArticleBody"/>
        <w:jc w:val="left"/>
      </w:pPr>
      <w:r>
        <w:rPr>
          <w:rFonts w:ascii="Times New Roman" w:hAnsi="Times New Roman" w:eastAsia="Times New Roman" w:cs="Times New Roman"/>
        </w:rPr>
        <w:t>La fin de Belshatsar est marquée par l’écriture mystique qui équivaut à deux mille cinq cent vingt. Les « sept temps », qu’ils soient représentés comme une « heure », une « dispersion » ou « deux mille cinq cent vingt », sont un symbole de jugement. Le jugement de Nimrod fut une « dispersion », celui de Nebucadnetsar fut « sept temps », et celui de Belshatsar fut deux mille cinq cent vingt. Lorsque Nebucadnetsar jugea les trois dignitaires, il fit chauffer la fournaise « sept fois » au-delà de la normale.</w:t>
      </w:r>
    </w:p>
    <w:p>
      <w:pPr>
        <w:pStyle w:val="ArticleBody"/>
        <w:jc w:val="left"/>
      </w:pPr>
      <w:r>
        <w:rPr>
          <w:rFonts w:ascii="Times New Roman" w:hAnsi="Times New Roman" w:eastAsia="Times New Roman" w:cs="Times New Roman"/>
        </w:rPr>
        <w:t>Le jugement des « sept temps » est marqué à l’arrivée du premier message, ainsi qu’à l’arrivée du troisième message. La fin de l’adventisme millérite en 1863 commence avec le rejet de la doctrine des « sept temps », et cent vingt-six ans plus tard, en 1989, arriva « le temps de la fin » pour l’histoire du troisième ange. Cent vingt-six est un symbole des « sept temps » ; ainsi, la fin du mouvement du premier ange en 1863 jusqu’au commencement du mouvement du troisième ange en 1989 est reliée par les « sept temps » au moyen du cent vingt-six symbolique.</w:t>
      </w:r>
    </w:p>
    <w:p>
      <w:pPr>
        <w:pStyle w:val="ArticleBody"/>
        <w:jc w:val="left"/>
      </w:pP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थॉमस</w:t>
      </w:r>
      <w:r>
        <w:rPr>
          <w:rFonts w:ascii="Times New Roman" w:hAnsi="Times New Roman" w:eastAsia="Times New Roman" w:cs="Times New Roman"/>
        </w:rPr>
        <w:t xml:space="preserve"> </w:t>
      </w:r>
      <w:r>
        <w:rPr>
          <w:rFonts w:ascii="Nirmala UI" w:hAnsi="Nirmala UI" w:eastAsia="Nirmala UI" w:cs="Nirmala UI"/>
        </w:rPr>
        <w:t>जेफ़रसन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टाँगे</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अंधेपन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अवस्थाओं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तराजू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घटिया</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बेलशस्सर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 Dans l’histoire de Nebucadnetsar et de Belshatsar, Dieu s’adresse aux nations d’aujourd’hui. » Signs of the Times, 20 juillet 1891.</w:t>
      </w:r>
    </w:p>
    <w:p>
      <w:pPr>
        <w:pStyle w:val="ArticleBody"/>
        <w:jc w:val="left"/>
      </w:pPr>
      <w:r>
        <w:rPr>
          <w:rFonts w:ascii="Times New Roman" w:hAnsi="Times New Roman" w:eastAsia="Times New Roman" w:cs="Times New Roman"/>
        </w:rPr>
        <w:t>Ang sugilanon ni Belshazzar adunay usab usa ka mensahe alang sa Protestante nga sungay, nga nagrepresentar sa katawhan sa kalibutan.</w:t>
      </w:r>
    </w:p>
    <w:p>
      <w:pPr>
        <w:pStyle w:val="ArticleScripture"/>
        <w:jc w:val="left"/>
      </w:pPr>
      <w:r>
        <w:rPr>
          <w:rFonts w:ascii="Times New Roman" w:hAnsi="Times New Roman" w:eastAsia="Times New Roman" w:cs="Times New Roman"/>
        </w:rPr>
        <w:t>“Ɛwɔ Nebukadnessar ne Belsasar abakɔsɛm mu no, Onyankopɔn kasa kyerɛ nnɛ yi nnipa.” Bible Echo, September 17, 1894.</w:t>
      </w:r>
    </w:p>
    <w:p>
      <w:pPr>
        <w:pStyle w:val="ArticleBody"/>
        <w:jc w:val="left"/>
      </w:pPr>
      <w:r>
        <w:rPr>
          <w:rFonts w:ascii="Times New Roman" w:hAnsi="Times New Roman" w:eastAsia="Times New Roman" w:cs="Times New Roman"/>
        </w:rPr>
        <w:t>Текстът не включва достатъчно информация, за да се определи какъв е езикът „ff“. Моля, посочете целевия език, за да направя точен превод.</w:t>
      </w:r>
    </w:p>
    <w:p>
      <w:pPr>
        <w:pStyle w:val="ArticleScripture"/>
        <w:jc w:val="left"/>
      </w:pPr>
      <w:r>
        <w:rPr>
          <w:rFonts w:ascii="Times New Roman" w:hAnsi="Times New Roman" w:eastAsia="Times New Roman" w:cs="Times New Roman"/>
        </w:rPr>
        <w:t>“Mbikta kɔkɛlɛ bɛ tɛnna ŋmɔ bɛ, amɛ si ŋkɛshi amɛni kɛ amli nɔ hewalɛ ni adzraŋtsɛ he, bɛji akɛ bɛgblɔ kɛ bɛhewalɛ mli akɛ nitsumɔi amɛ si le Mawu Fiamlɛ lɛ ŋshishi. Bɛyɛi amɛ ni bɛgblɔ ŋkpɛi lɛ ni eba Mawu se mli lɛ—gbɛmɔ lɛ ni Etsɔ le ehee ekɛ eba Etsɔ lɛ amɛ hewalɛ he, ni si bɛyɛɔ seikɛi amɛ ni eba hewalɛ, anɔpa, ni tsɔmɔ lɛ mli bɛha amɛ hewalɛ nyɛ bɛtsɔ amɛ daa mli.”</w:t>
      </w:r>
    </w:p>
    <w:p>
      <w:pPr>
        <w:pStyle w:val="ArticleScripture"/>
        <w:jc w:val="left"/>
      </w:pPr>
      <w:r>
        <w:rPr>
          <w:rFonts w:ascii="Times New Roman" w:hAnsi="Times New Roman" w:eastAsia="Times New Roman" w:cs="Times New Roman"/>
        </w:rPr>
        <w:t>“Kwa maneno yenye maana isiyoweza kukosewa nabii anaonyesha kazi mahsusi ya watu hawa waliosalia wajengao ukuta. ‘Kama ukigeuza mguu wako usiikanyage Sabato, usifanye mapenzi yako siku yangu takatifu; na kuiita Sabato furaha, siku takatifu ya Bwana, yenye heshima; nawe utamheshimu, usizifuate njia zako mwenyewe, wala usitafute mapenzi yako mwenyewe, wala kusema maneno yako mwenyewe; ndipo utajifurahisha katika Bwana; nami nitakupandisha juu ya mahali pa juu pa dunia, na kukulisha urithi wa Yakobo baba yako; kwa maana kinywa cha Bwana kimenena hayo.’ Isaya 58:13, 14.” Prophets and Kings, 677, 678.</w:t>
      </w:r>
    </w:p>
    <w:p>
      <w:pPr>
        <w:pStyle w:val="ArticleBody"/>
        <w:jc w:val="left"/>
      </w:pPr>
      <w:r>
        <w:rPr>
          <w:rFonts w:ascii="Times New Roman" w:hAnsi="Times New Roman" w:eastAsia="Times New Roman" w:cs="Times New Roman"/>
        </w:rPr>
        <w:t>La méthodologie biblique révélée par des anges à William Miller représente les lois prophétiques de Dieu, et, contrairement à l’Israël ancien, l’Israël moderne devait être le dépositaire non seulement de la loi des Dix Commandements, mais aussi des prophéties.</w:t>
      </w:r>
    </w:p>
    <w:p>
      <w:pPr>
        <w:pStyle w:val="ArticleScripture"/>
        <w:jc w:val="left"/>
      </w:pPr>
      <w:r>
        <w:rPr>
          <w:rFonts w:ascii="Times New Roman" w:hAnsi="Times New Roman" w:eastAsia="Times New Roman" w:cs="Times New Roman"/>
        </w:rPr>
        <w:t>“Bɨtangri basaa okan qowoo hawaa, sidii uu Israa’iilkii hore ugu yeedhay, inay dhulka u istaagto sida iftiin. Isagoo adeegsanaya faaska weyn ee runta, oo ah farriimaha malaa’igta kowaad, labaad, iyo saddexaad, ayuu ka soocay kaniisadaha iyo dunidaba si uu ugu soo dhoweeyo naftiisa dhowaan quduus ah. Wuxuu ka dhigay ilaaliyayaasha sharcigiisa, wuxuuna ku aamminay runaha waaweyn ee waxsii sheegidda ee wakhtigan. Sida oraahyadii quduuska ahaa ee loo dhiibay Israa’iilkii hore, kuwanu waa ammaano quduus ah oo ay tahay in dunida lala wadaago. Saddexda malaa’igood ee Muujintii 14 waxay matalaan dadka aqbala iftiinka farriimaha Ilaah oo u baxa sidii wakiilladiisa si ay digniinta uga dhawaaqaan dhererka iyo ballaca dhulka oo dhan. Masiixu wuxuu xertiisa ku leeyahay: ‘Idinku waxaad tihiin iftiinka dunida.’ Nafta kasta oo Ciise aqbashaa, iskutallaabta Kalfari waxay ku hadlaysaa: ‘Bal eega qiimaha nafta: “Dunida oo dhan taga, oo injiilka ku wacdiya uunka oo dhan.’” Waxba looma oggola inay shaqadan hor istaagaan. Waa shaqada ugu muhiimsan ee wakhtigan; waa inay gaadhaa meel fog sida daa’inimada. Jacaylkii Ciise u muujiyey nafaha dadka allabarigii uu u bixiyey furashadooda dhexdiisa, ayaa dhaqaajin doona dhammaan kuwa raacsan.” Testimonies, volume 5, 455.</w:t>
      </w:r>
    </w:p>
    <w:p>
      <w:pPr>
        <w:pStyle w:val="ArticleBody"/>
        <w:jc w:val="left"/>
      </w:pPr>
      <w:r>
        <w:rPr>
          <w:rFonts w:ascii="Times New Roman" w:hAnsi="Times New Roman" w:eastAsia="Times New Roman" w:cs="Times New Roman"/>
        </w:rPr>
        <w:t>Les « grandes vérités de la prophétie », qui furent transmises par des anges et établies par l’œuvre de William Miller, sont « un dépôt sacré à communiquer au monde ». La loi des Dix Commandements, les lois de la nature, les lois de la santé et les lois de l’étude prophétique ont été données par le même Grand Législateur, et rejeter un seul Commandement, c’est les rejeter tous. Le rejet de la méthodologie donnée à William Miller marqua le commencement d’une rébellion progressive qui conduira finalement l’adventisme à rejeter le sabbat du septième jour.</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法儿在这末后的日子</w:t>
      </w:r>
      <w:r>
        <w:rPr>
          <w:rFonts w:ascii="Times New Roman" w:hAnsi="Times New Roman" w:eastAsia="Times New Roman" w:cs="Times New Roman"/>
        </w:rPr>
        <w:t>,</w:t>
      </w:r>
      <w:r>
        <w:rPr>
          <w:rFonts w:ascii="Microsoft YaHei" w:hAnsi="Microsoft YaHei" w:eastAsia="Microsoft YaHei" w:cs="Microsoft YaHei"/>
        </w:rPr>
        <w:t>主与他名义上的子民有争辩</w:t>
      </w:r>
      <w:r>
        <w:rPr>
          <w:rFonts w:ascii="Times New Roman" w:hAnsi="Times New Roman" w:eastAsia="Times New Roman" w:cs="Times New Roman"/>
        </w:rPr>
        <w:t>.</w:t>
      </w:r>
      <w:r>
        <w:rPr>
          <w:rFonts w:ascii="Microsoft YaHei" w:hAnsi="Microsoft YaHei" w:eastAsia="Microsoft YaHei" w:cs="Microsoft YaHei"/>
        </w:rPr>
        <w:t>在这场争辩中</w:t>
      </w:r>
      <w:r>
        <w:rPr>
          <w:rFonts w:ascii="Times New Roman" w:hAnsi="Times New Roman" w:eastAsia="Times New Roman" w:cs="Times New Roman"/>
        </w:rPr>
        <w:t>,</w:t>
      </w:r>
      <w:r>
        <w:rPr>
          <w:rFonts w:ascii="Microsoft YaHei" w:hAnsi="Microsoft YaHei" w:eastAsia="Microsoft YaHei" w:cs="Microsoft YaHei"/>
        </w:rPr>
        <w:t>身居责任职位的人必采取一条与尼希米所行完全相反的路线</w:t>
      </w:r>
      <w:r>
        <w:rPr>
          <w:rFonts w:ascii="Times New Roman" w:hAnsi="Times New Roman" w:eastAsia="Times New Roman" w:cs="Times New Roman"/>
        </w:rPr>
        <w:t>.</w:t>
      </w:r>
      <w:r>
        <w:rPr>
          <w:rFonts w:ascii="Microsoft YaHei" w:hAnsi="Microsoft YaHei" w:eastAsia="Microsoft YaHei" w:cs="Microsoft YaHei"/>
        </w:rPr>
        <w:t>他们不但自己忽视并藐视安息日</w:t>
      </w:r>
      <w:r>
        <w:rPr>
          <w:rFonts w:ascii="Times New Roman" w:hAnsi="Times New Roman" w:eastAsia="Times New Roman" w:cs="Times New Roman"/>
        </w:rPr>
        <w:t>,</w:t>
      </w:r>
      <w:r>
        <w:rPr>
          <w:rFonts w:ascii="Microsoft YaHei" w:hAnsi="Microsoft YaHei" w:eastAsia="Microsoft YaHei" w:cs="Microsoft YaHei"/>
        </w:rPr>
        <w:t>而且还要设法阻止别人遵守安息日</w:t>
      </w:r>
      <w:r>
        <w:rPr>
          <w:rFonts w:ascii="Times New Roman" w:hAnsi="Times New Roman" w:eastAsia="Times New Roman" w:cs="Times New Roman"/>
        </w:rPr>
        <w:t>,</w:t>
      </w:r>
      <w:r>
        <w:rPr>
          <w:rFonts w:ascii="Microsoft YaHei" w:hAnsi="Microsoft YaHei" w:eastAsia="Microsoft YaHei" w:cs="Microsoft YaHei"/>
        </w:rPr>
        <w:t>把它埋没在风俗和遗传的瓦砾之下</w:t>
      </w:r>
      <w:r>
        <w:rPr>
          <w:rFonts w:ascii="Times New Roman" w:hAnsi="Times New Roman" w:eastAsia="Times New Roman" w:cs="Times New Roman"/>
        </w:rPr>
        <w:t>.</w:t>
      </w:r>
      <w:r>
        <w:rPr>
          <w:rFonts w:ascii="Microsoft YaHei" w:hAnsi="Microsoft YaHei" w:eastAsia="Microsoft YaHei" w:cs="Microsoft YaHei"/>
        </w:rPr>
        <w:t>在教会里</w:t>
      </w:r>
      <w:r>
        <w:rPr>
          <w:rFonts w:ascii="Times New Roman" w:hAnsi="Times New Roman" w:eastAsia="Times New Roman" w:cs="Times New Roman"/>
        </w:rPr>
        <w:t>,</w:t>
      </w:r>
      <w:r>
        <w:rPr>
          <w:rFonts w:ascii="Microsoft YaHei" w:hAnsi="Microsoft YaHei" w:eastAsia="Microsoft YaHei" w:cs="Microsoft YaHei"/>
        </w:rPr>
        <w:t>并在露天的大型聚会中</w:t>
      </w:r>
      <w:r>
        <w:rPr>
          <w:rFonts w:ascii="Times New Roman" w:hAnsi="Times New Roman" w:eastAsia="Times New Roman" w:cs="Times New Roman"/>
        </w:rPr>
        <w:t>,</w:t>
      </w:r>
      <w:r>
        <w:rPr>
          <w:rFonts w:ascii="Microsoft YaHei" w:hAnsi="Microsoft YaHei" w:eastAsia="Microsoft YaHei" w:cs="Microsoft YaHei"/>
        </w:rPr>
        <w:t>传道人必向众人力劝遵守一周的第一日</w:t>
      </w:r>
      <w:r>
        <w:rPr>
          <w:rFonts w:ascii="Times New Roman" w:hAnsi="Times New Roman" w:eastAsia="Times New Roman" w:cs="Times New Roman"/>
        </w:rPr>
        <w:t>.</w:t>
      </w:r>
      <w:r>
        <w:rPr>
          <w:rFonts w:ascii="Microsoft YaHei" w:hAnsi="Microsoft YaHei" w:eastAsia="Microsoft YaHei" w:cs="Microsoft YaHei"/>
        </w:rPr>
        <w:t>海上和陆地上都有灾祸</w:t>
      </w:r>
      <w:r>
        <w:rPr>
          <w:rFonts w:ascii="Times New Roman" w:hAnsi="Times New Roman" w:eastAsia="Times New Roman" w:cs="Times New Roman"/>
        </w:rPr>
        <w:t>;</w:t>
      </w:r>
      <w:r>
        <w:rPr>
          <w:rFonts w:ascii="Microsoft YaHei" w:hAnsi="Microsoft YaHei" w:eastAsia="Microsoft YaHei" w:cs="Microsoft YaHei"/>
        </w:rPr>
        <w:t>这些灾祸还必增多</w:t>
      </w:r>
      <w:r>
        <w:rPr>
          <w:rFonts w:ascii="Times New Roman" w:hAnsi="Times New Roman" w:eastAsia="Times New Roman" w:cs="Times New Roman"/>
        </w:rPr>
        <w:t>,</w:t>
      </w:r>
      <w:r>
        <w:rPr>
          <w:rFonts w:ascii="Microsoft YaHei" w:hAnsi="Microsoft YaHei" w:eastAsia="Microsoft YaHei" w:cs="Microsoft YaHei"/>
        </w:rPr>
        <w:t>一场灾难紧接着另一场</w:t>
      </w:r>
      <w:r>
        <w:rPr>
          <w:rFonts w:ascii="Times New Roman" w:hAnsi="Times New Roman" w:eastAsia="Times New Roman" w:cs="Times New Roman"/>
        </w:rPr>
        <w:t>;</w:t>
      </w:r>
      <w:r>
        <w:rPr>
          <w:rFonts w:ascii="Microsoft YaHei" w:hAnsi="Microsoft YaHei" w:eastAsia="Microsoft YaHei" w:cs="Microsoft YaHei"/>
        </w:rPr>
        <w:t>而那一小群凭良心遵守安息日的人</w:t>
      </w:r>
      <w:r>
        <w:rPr>
          <w:rFonts w:ascii="Times New Roman" w:hAnsi="Times New Roman" w:eastAsia="Times New Roman" w:cs="Times New Roman"/>
        </w:rPr>
        <w:t>,</w:t>
      </w:r>
      <w:r>
        <w:rPr>
          <w:rFonts w:ascii="Microsoft YaHei" w:hAnsi="Microsoft YaHei" w:eastAsia="Microsoft YaHei" w:cs="Microsoft YaHei"/>
        </w:rPr>
        <w:t>必被指为因他们不顾星期日而将上帝的忿怒招到世界上的人</w:t>
      </w:r>
      <w:r>
        <w:rPr>
          <w:rFonts w:ascii="Times New Roman" w:hAnsi="Times New Roman" w:eastAsia="Times New Roman" w:cs="Times New Roman"/>
        </w:rPr>
        <w:t>.”</w:t>
      </w:r>
    </w:p>
    <w:p>
      <w:pPr>
        <w:pStyle w:val="ArticleScripture"/>
        <w:jc w:val="left"/>
      </w:pP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মিথ্যাকে</w:t>
      </w:r>
      <w:r>
        <w:rPr>
          <w:rFonts w:ascii="Times New Roman" w:hAnsi="Times New Roman" w:eastAsia="Times New Roman" w:cs="Times New Roman"/>
        </w:rPr>
        <w:t xml:space="preserve"> </w:t>
      </w:r>
      <w:r>
        <w:rPr>
          <w:rFonts w:ascii="Nirmala UI" w:hAnsi="Nirmala UI" w:eastAsia="Nirmala UI" w:cs="Nirmala UI"/>
        </w:rPr>
        <w:t>উৎসাহিত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জগতকে</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মতবাদ</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পরিকল্পনা।</w:t>
      </w:r>
      <w:r>
        <w:rPr>
          <w:rFonts w:ascii="Times New Roman" w:hAnsi="Times New Roman" w:eastAsia="Times New Roman" w:cs="Times New Roman"/>
        </w:rPr>
        <w:t xml:space="preserve"> </w:t>
      </w:r>
      <w:r>
        <w:rPr>
          <w:rFonts w:ascii="Nirmala UI" w:hAnsi="Nirmala UI" w:eastAsia="Nirmala UI" w:cs="Nirmala UI"/>
        </w:rPr>
        <w:t>সব</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ধর্মের</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সক্রিয়</w:t>
      </w:r>
      <w:r>
        <w:rPr>
          <w:rFonts w:ascii="Times New Roman" w:hAnsi="Times New Roman" w:eastAsia="Times New Roman" w:cs="Times New Roman"/>
        </w:rPr>
        <w:t xml:space="preserve"> </w:t>
      </w:r>
      <w:r>
        <w:rPr>
          <w:rFonts w:ascii="Nirmala UI" w:hAnsi="Nirmala UI" w:eastAsia="Nirmala UI" w:cs="Nirmala UI"/>
        </w:rPr>
        <w:t>ভূমিকা</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উপদেশসমূহ</w:t>
      </w:r>
      <w:r>
        <w:rPr>
          <w:rFonts w:ascii="Times New Roman" w:hAnsi="Times New Roman" w:eastAsia="Times New Roman" w:cs="Times New Roman"/>
        </w:rPr>
        <w:t xml:space="preserve"> </w:t>
      </w:r>
      <w:r>
        <w:rPr>
          <w:rFonts w:ascii="Nirmala UI" w:hAnsi="Nirmala UI" w:eastAsia="Nirmala UI" w:cs="Nirmala UI"/>
        </w:rPr>
        <w:t>বলবৎ</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প্রচেষ্টায়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কিছুতেই</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উৎসাহের</w:t>
      </w:r>
      <w:r>
        <w:rPr>
          <w:rFonts w:ascii="Times New Roman" w:hAnsi="Times New Roman" w:eastAsia="Times New Roman" w:cs="Times New Roman"/>
        </w:rPr>
        <w:t xml:space="preserve"> </w:t>
      </w:r>
      <w:r>
        <w:rPr>
          <w:rFonts w:ascii="Nirmala UI" w:hAnsi="Nirmala UI" w:eastAsia="Nirmala UI" w:cs="Nirmala UI"/>
        </w:rPr>
        <w:t>আবরণের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প্রভাবে</w:t>
      </w:r>
      <w:r>
        <w:rPr>
          <w:rFonts w:ascii="Times New Roman" w:hAnsi="Times New Roman" w:eastAsia="Times New Roman" w:cs="Times New Roman"/>
        </w:rPr>
        <w:t xml:space="preserve"> </w:t>
      </w:r>
      <w:r>
        <w:rPr>
          <w:rFonts w:ascii="Nirmala UI" w:hAnsi="Nirmala UI" w:eastAsia="Nirmala UI" w:cs="Nirmala UI"/>
        </w:rPr>
        <w:t>প্রভাবিত</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সহমানুষের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নিষ্ঠুর</w:t>
      </w:r>
      <w:r>
        <w:rPr>
          <w:rFonts w:ascii="Times New Roman" w:hAnsi="Times New Roman" w:eastAsia="Times New Roman" w:cs="Times New Roman"/>
        </w:rPr>
        <w:t xml:space="preserve"> </w:t>
      </w:r>
      <w:r>
        <w:rPr>
          <w:rFonts w:ascii="Nirmala UI" w:hAnsi="Nirmala UI" w:eastAsia="Nirmala UI" w:cs="Nirmala UI"/>
        </w:rPr>
        <w:t>যন্ত্রণার</w:t>
      </w:r>
      <w:r>
        <w:rPr>
          <w:rFonts w:ascii="Times New Roman" w:hAnsi="Times New Roman" w:eastAsia="Times New Roman" w:cs="Times New Roman"/>
        </w:rPr>
        <w:t xml:space="preserve"> </w:t>
      </w:r>
      <w:r>
        <w:rPr>
          <w:rFonts w:ascii="Nirmala UI" w:hAnsi="Nirmala UI" w:eastAsia="Nirmala UI" w:cs="Nirmala UI"/>
        </w:rPr>
        <w:t>উদ্ভাবন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ভীষণতম</w:t>
      </w:r>
      <w:r>
        <w:rPr>
          <w:rFonts w:ascii="Times New Roman" w:hAnsi="Times New Roman" w:eastAsia="Times New Roman" w:cs="Times New Roman"/>
        </w:rPr>
        <w:t xml:space="preserve"> </w:t>
      </w:r>
      <w:r>
        <w:rPr>
          <w:rFonts w:ascii="Nirmala UI" w:hAnsi="Nirmala UI" w:eastAsia="Nirmala UI" w:cs="Nirmala UI"/>
        </w:rPr>
        <w:t>দুঃখকষ্ট</w:t>
      </w:r>
      <w:r>
        <w:rPr>
          <w:rFonts w:ascii="Times New Roman" w:hAnsi="Times New Roman" w:eastAsia="Times New Roman" w:cs="Times New Roman"/>
        </w:rPr>
        <w:t xml:space="preserve"> </w:t>
      </w:r>
      <w:r>
        <w:rPr>
          <w:rFonts w:ascii="Nirmala UI" w:hAnsi="Nirmala UI" w:eastAsia="Nirmala UI" w:cs="Nirmala UI"/>
        </w:rPr>
        <w:t>আরোপ</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কার্যসাধকগণের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অতীতের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দিনেও</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হবে।</w:t>
      </w:r>
    </w:p>
    <w:p>
      <w:pPr>
        <w:pStyle w:val="ArticleScripture"/>
        <w:jc w:val="left"/>
      </w:pPr>
      <w:r>
        <w:rPr>
          <w:rFonts w:ascii="Times New Roman" w:hAnsi="Times New Roman" w:eastAsia="Times New Roman" w:cs="Times New Roman"/>
        </w:rPr>
        <w:t>“Es gibt Männer, die ihren Sinn und ihren Willen darauf gerichtet haben, Böses zu vollbringen; in den dunklen Tiefen ihrer Herzen haben sie beschlossen, welche Verbrechen sie begehen werden. Diese Männer betrügen sich selbst. Sie haben Gottes große Richtschnur des Rechten verworfen und an ihrer Statt einen Maßstab ihrer eigenen Art aufgerichtet; und indem sie sich mit diesem Maßstab vergleichen, sprechen sie sich selbst heilig. Der Herr wird ihnen gestatten, zu offenbaren, was in ihren Herzen ist, den Geist des Meisters, der sie beherrscht, in Taten umzusetzen. Er wird ihnen erlauben, ihren Hass gegen sein Gesetz in ihrem Verhalten gegen jene zu zeigen, die dessen Forderungen treu sind. Sie werden von demselben Geist religiöser Raserei getrieben sein, der den Pöbel anstachelte, Christus zu kreuzigen; Kirche und Staat werden in derselben verderbten Harmonie vereint sein.”</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现今的教会已经步上了古时犹太人的后尘</w:t>
      </w:r>
      <w:r>
        <w:rPr>
          <w:rFonts w:ascii="Times New Roman" w:hAnsi="Times New Roman" w:eastAsia="Times New Roman" w:cs="Times New Roman"/>
        </w:rPr>
        <w:t>;</w:t>
      </w:r>
      <w:r>
        <w:rPr>
          <w:rFonts w:ascii="Microsoft YaHei" w:hAnsi="Microsoft YaHei" w:eastAsia="Microsoft YaHei" w:cs="Microsoft YaHei"/>
        </w:rPr>
        <w:t>他们为自己的遗传而废弃了上帝的诫命</w:t>
      </w:r>
      <w:r>
        <w:rPr>
          <w:rFonts w:ascii="Times New Roman" w:hAnsi="Times New Roman" w:eastAsia="Times New Roman" w:cs="Times New Roman"/>
        </w:rPr>
        <w:t>.</w:t>
      </w:r>
      <w:r>
        <w:rPr>
          <w:rFonts w:ascii="Microsoft YaHei" w:hAnsi="Microsoft YaHei" w:eastAsia="Microsoft YaHei" w:cs="Microsoft YaHei"/>
        </w:rPr>
        <w:t>她更改了律例</w:t>
      </w:r>
      <w:r>
        <w:rPr>
          <w:rFonts w:ascii="Times New Roman" w:hAnsi="Times New Roman" w:eastAsia="Times New Roman" w:cs="Times New Roman"/>
        </w:rPr>
        <w:t>,</w:t>
      </w:r>
      <w:r>
        <w:rPr>
          <w:rFonts w:ascii="Microsoft YaHei" w:hAnsi="Microsoft YaHei" w:eastAsia="Microsoft YaHei" w:cs="Microsoft YaHei"/>
        </w:rPr>
        <w:t>背弃了永约</w:t>
      </w:r>
      <w:r>
        <w:rPr>
          <w:rFonts w:ascii="Times New Roman" w:hAnsi="Times New Roman" w:eastAsia="Times New Roman" w:cs="Times New Roman"/>
        </w:rPr>
        <w:t>;</w:t>
      </w:r>
      <w:r>
        <w:rPr>
          <w:rFonts w:ascii="Microsoft YaHei" w:hAnsi="Microsoft YaHei" w:eastAsia="Microsoft YaHei" w:cs="Microsoft YaHei"/>
        </w:rPr>
        <w:t>如今正如当时一样</w:t>
      </w:r>
      <w:r>
        <w:rPr>
          <w:rFonts w:ascii="Times New Roman" w:hAnsi="Times New Roman" w:eastAsia="Times New Roman" w:cs="Times New Roman"/>
        </w:rPr>
        <w:t>,</w:t>
      </w:r>
      <w:r>
        <w:rPr>
          <w:rFonts w:ascii="Microsoft YaHei" w:hAnsi="Microsoft YaHei" w:eastAsia="Microsoft YaHei" w:cs="Microsoft YaHei"/>
        </w:rPr>
        <w:t>骄傲、不信和不忠便是其结果</w:t>
      </w:r>
      <w:r>
        <w:rPr>
          <w:rFonts w:ascii="Times New Roman" w:hAnsi="Times New Roman" w:eastAsia="Times New Roman" w:cs="Times New Roman"/>
        </w:rPr>
        <w:t>.</w:t>
      </w:r>
      <w:r>
        <w:rPr>
          <w:rFonts w:ascii="Microsoft YaHei" w:hAnsi="Microsoft YaHei" w:eastAsia="Microsoft YaHei" w:cs="Microsoft YaHei"/>
        </w:rPr>
        <w:t>她真实的情形已在摩西之歌中的这几句话里表明出来：</w:t>
      </w:r>
      <w:r>
        <w:rPr>
          <w:rFonts w:ascii="Times New Roman" w:hAnsi="Times New Roman" w:eastAsia="Times New Roman" w:cs="Times New Roman"/>
        </w:rPr>
        <w:t>‘</w:t>
      </w:r>
      <w:r>
        <w:rPr>
          <w:rFonts w:ascii="Microsoft YaHei" w:hAnsi="Microsoft YaHei" w:eastAsia="Microsoft YaHei" w:cs="Microsoft YaHei"/>
        </w:rPr>
        <w:t>这乖僻弯曲的世代</w:t>
      </w:r>
      <w:r>
        <w:rPr>
          <w:rFonts w:ascii="Times New Roman" w:hAnsi="Times New Roman" w:eastAsia="Times New Roman" w:cs="Times New Roman"/>
        </w:rPr>
        <w:t>,</w:t>
      </w:r>
      <w:r>
        <w:rPr>
          <w:rFonts w:ascii="Microsoft YaHei" w:hAnsi="Microsoft YaHei" w:eastAsia="Microsoft YaHei" w:cs="Microsoft YaHei"/>
        </w:rPr>
        <w:t>向耶和华这样行吗？他是你的父、将你买来的吗？他不是制造你、建立你的吗？他们败坏自己</w:t>
      </w:r>
      <w:r>
        <w:rPr>
          <w:rFonts w:ascii="Times New Roman" w:hAnsi="Times New Roman" w:eastAsia="Times New Roman" w:cs="Times New Roman"/>
        </w:rPr>
        <w:t>;</w:t>
      </w:r>
      <w:r>
        <w:rPr>
          <w:rFonts w:ascii="Microsoft YaHei" w:hAnsi="Microsoft YaHei" w:eastAsia="Microsoft YaHei" w:cs="Microsoft YaHei"/>
        </w:rPr>
        <w:t>他们的玷污不属于他的儿女</w:t>
      </w:r>
      <w:r>
        <w:rPr>
          <w:rFonts w:ascii="Times New Roman" w:hAnsi="Times New Roman" w:eastAsia="Times New Roman" w:cs="Times New Roman"/>
        </w:rPr>
        <w:t>.’”«</w:t>
      </w:r>
      <w:r>
        <w:rPr>
          <w:rFonts w:ascii="Microsoft YaHei" w:hAnsi="Microsoft YaHei" w:eastAsia="Microsoft YaHei" w:cs="Microsoft YaHei"/>
        </w:rPr>
        <w:t>评论与通讯</w:t>
      </w:r>
      <w:r>
        <w:rPr>
          <w:rFonts w:ascii="Times New Roman" w:hAnsi="Times New Roman" w:eastAsia="Times New Roman" w:cs="Times New Roman"/>
        </w:rPr>
        <w:t>»,1884</w:t>
      </w:r>
      <w:r>
        <w:rPr>
          <w:rFonts w:ascii="Microsoft YaHei" w:hAnsi="Microsoft YaHei" w:eastAsia="Microsoft YaHei" w:cs="Microsoft YaHei"/>
        </w:rPr>
        <w:t>年</w:t>
      </w:r>
      <w:r>
        <w:rPr>
          <w:rFonts w:ascii="Times New Roman" w:hAnsi="Times New Roman" w:eastAsia="Times New Roman" w:cs="Times New Roman"/>
        </w:rPr>
        <w:t>3</w:t>
      </w:r>
      <w:r>
        <w:rPr>
          <w:rFonts w:ascii="Microsoft YaHei" w:hAnsi="Microsoft YaHei" w:eastAsia="Microsoft YaHei" w:cs="Microsoft YaHei"/>
        </w:rPr>
        <w:t>月</w:t>
      </w:r>
      <w:r>
        <w:rPr>
          <w:rFonts w:ascii="Times New Roman" w:hAnsi="Times New Roman" w:eastAsia="Times New Roman" w:cs="Times New Roman"/>
        </w:rPr>
        <w:t>18</w:t>
      </w:r>
      <w:r>
        <w:rPr>
          <w:rFonts w:ascii="Microsoft YaHei" w:hAnsi="Microsoft YaHei" w:eastAsia="Microsoft YaHei" w:cs="Microsoft YaHei"/>
        </w:rPr>
        <w:t>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Lopullinen totuuden hylkääminen adventismissa tapahtuu sunnuntailaissa, kun adventismi toistaa muinaisen Israelin historian, jolloin “saman uskonnollisen hurmoksen hengen ajamina, joka yllytti Kristuksen ristiinnaulinneen roskajoukon, kirkko ja valtio yhtyvät samaan turmeltuneeseen sopusointuun.” Adventismin asteittainen kapina kuvataan Hesekielin kahdeksannessa luvussa neljänä pahenevana kauhistuksena, jotka profeetallisesti merkitsevät adventismin neljää sukupolvea, jotka alkoivat vuonna 1863. Lopullinen kauhistus on se, että Jerusalemin johtajat kumartavat aurinkoa.</w:t>
      </w:r>
    </w:p>
    <w:p>
      <w:pPr>
        <w:pStyle w:val="ArticleScripture"/>
        <w:jc w:val="left"/>
      </w:pPr>
      <w:r>
        <w:rPr>
          <w:rFonts w:ascii="Times New Roman" w:hAnsi="Times New Roman" w:eastAsia="Times New Roman" w:cs="Times New Roman"/>
        </w:rPr>
        <w:t>A on mnie wprowadził na wewnętrzny dziedziniec domu Pańskiego; a oto u wejścia do świątyni Pana, między przedsionkiem a ołtarzem, było około dwudziestu pięciu mężów, odwróconych tyłem ku świątyni Pana, a twarzami ku wschodowi; i oddawali pokłon słońcu ku wschodowi. Wtedy rzekł do mnie: Czy widziałeś to, synu człowieczy? Czy to zbyt mała rzecz dla domu Judy, że popełniają obrzydliwości, które tu popełniają? Albowiem napełnili ziemię gwałtem i znowu powrócili, aby Mnie pobudzać do gniewu; a oto przykładają gałązkę do swego nosa. Dlatego i Ja postąpię z zapalczywością: Moje oko nie oszczędzi ani się nie ulituję; a choćby wołali donośnym głosem do Moich uszu, nie wysłucham ich. Ezechiela 8:16–18.</w:t>
      </w:r>
    </w:p>
    <w:p>
      <w:pPr>
        <w:pStyle w:val="ArticleBody"/>
        <w:jc w:val="left"/>
      </w:pPr>
      <w:r>
        <w:rPr>
          <w:rFonts w:ascii="Times New Roman" w:hAnsi="Times New Roman" w:eastAsia="Times New Roman" w:cs="Times New Roman"/>
        </w:rPr>
        <w:t>Le jugement qui s’accomplit en ce temps-là est illustré dans l’« heure » du jugement de Belshazzar.</w:t>
      </w:r>
    </w:p>
    <w:p>
      <w:pPr>
        <w:pStyle w:val="ArticleScripture"/>
        <w:jc w:val="left"/>
      </w:pPr>
      <w:r>
        <w:rPr>
          <w:rFonts w:ascii="Times New Roman" w:hAnsi="Times New Roman" w:eastAsia="Times New Roman" w:cs="Times New Roman"/>
        </w:rPr>
        <w:t>Kuningas Belsassar järjesti suuret pidot tuhannelle ylimykselleen ja joi viiniä niiden tuhannen nähden. Kun Belsassar maisteli viiniä, hän käski tuoda kultaiset ja hopeiset astiat, jotka hänen isänsä Nebukadnessar oli ottanut Jerusalemissa olleesta temppelistä, jotta kuningas ja hänen ruhtinaansa, hänen vaimonsa ja sivuvaimonsa joisivat niistä. Silloin tuotiin kultaiset astiat, jotka oli otettu Jumalan huoneen temppelistä, joka oli Jerusalemissa; ja kuningas, hänen ruhtinaansa, hänen vaimonsa ja hänen sivuvaimonsa joivat niistä. He joivat viiniä ja ylistivät kullan, hopean, vasken, raudan, puun ja kiven jumalia. Sillä samalla hetkellä tuli esiin ihmiskäden sormia, ja ne kirjoittivat lampunjalan kohdalle kuninkaan palatsin seinän kalkkilaastiin; ja kuningas näki sen käden osan, joka kirjoitti. Silloin kuninkaan kasvot muuttuivat, ja hänen ajatuksensa säikäyttivät hänet, niin että hänen lanteittensa liitokset herposivat ja hänen polvensa löivät toisiaan vasten. Kuningas huusi kovalla äänellä, että tuotaisiin tietäjät, kaldealaiset ja ennustajat. Ja kuningas puhui ja sanoi Babylonin viisaille: Joka lukee tämän kirjoituksen ja ilmoittaa minulle sen selityksen, puetaan purppuraan, hänen kaulaansa pannaan kultaketju, ja hän on oleva valtakunnan kolmas hallitsija. Silloin tulivat kaikki kuninkaan viisaat, mutta he eivät voineet lukea kirjoitusta eivätkä ilmoittaa kuninkaalle sen selitystä. Silloin kuningas Belsassar suuresti pelästyi, hänen kasvonsa muuttuivat hänessä, ja hänen ylimyksensä joutuivat hämmennyksen valtaan. Daniel 5:1–9.</w:t>
      </w:r>
    </w:p>
    <w:p>
      <w:pPr>
        <w:pStyle w:val="ArticleBody"/>
        <w:jc w:val="left"/>
      </w:pPr>
      <w:r>
        <w:rPr>
          <w:rFonts w:ascii="Times New Roman" w:hAnsi="Times New Roman" w:eastAsia="Times New Roman" w:cs="Times New Roman"/>
        </w:rPr>
        <w:t>I samme «time» som dommen over Belsassar kom, ble Sjadrak, Mesjak og Abed-Nego kastet i ovnen, som var opphetet «sju ganger» hetere enn vanlig.</w:t>
      </w:r>
    </w:p>
    <w:p>
      <w:pPr>
        <w:pStyle w:val="ArticleScripture"/>
        <w:jc w:val="left"/>
      </w:pPr>
      <w:r>
        <w:rPr>
          <w:rFonts w:ascii="Times New Roman" w:hAnsi="Times New Roman" w:eastAsia="Times New Roman" w:cs="Times New Roman"/>
        </w:rPr>
        <w:t>فَإِنْ كُنْتُمْ الآنَ مُسْتَعِدِّينَ، فَفِي الْوَقْتِ الَّذِي تَسْمَعُونَ فِيهِ صَوْتَ الْقَرْنِ وَالنَّايِ وَالْعُودِ وَالرَّبَابِ وَالسِّنْطِيرِ وَالْمِزْمَارِ وَكُلِّ أَنْوَاعِ الْمُوسِيقَى، تَخِرُّونَ وَتَسْجُدُونَ لِلتِّمْثَالِ الَّذِي صَنَعْتُهُ، فَحَسَنٌ. وَإِنْ لَمْ تَسْجُدُوا، فَفِي تِلْكَ السَّاعَةِ عَيْنِهَا تُطْرَحُونَ إِلَى وَسَطِ أَتُونِ نَارٍ مُتَّقِدَةٍ؛ وَمَنْ هُوَ الإِلَهُ الَّذِي يُنْقِذُكُمْ مِنْ يَدَيَّ؟ فَأَجَابَ شَدْرَخُ وَمِيشَخُ وَعَبْدَنَغُو وَقَالُوا لِلْمَلِكِ: يَا نَبُوخَذْنَصَّرُ، لا يَلْزَمُنَا أَنْ نُجِيبَكَ عَنْ هذَا الأَمْرِ. هُوَذَا إِلَهُنَا الَّذِي نَعْبُدُهُ قَادِرٌ أَنْ يُنْجِيَنَا مِنْ أَتُونِ النَّارِ الْمُتَّقِدَةِ، وَأَنْ يُنْقِذَنَا مِنْ يَدِكَ أَيُّهَا الْمَلِكُ. وَإِلَّا، فَلْيَكُنْ مَعْلُومًا لَكَ أَيُّهَا الْمَلِكُ، أَنَّنَا لا نَعْبُدُ آلِهَتَكَ، وَلا نَسْجُدُ لِتِمْثَالِ الذَّهَبِ الَّذِي نَصَبْتَهُ. حِينَئِذٍ امْتَلأَ نَبُوخَذْنَصَّرُ غَضَبًا، وَتَغَيَّرَتْ هَيْئَةُ وَجْهِهِ عَلَى شَدْرَخَ وَمِيشَخَ وَعَبْدَنَغُو؛ فَتَكَلَّمَ وَأَمَرَ بِأَنْ يُحْمُوا الأَتُونَ سَبْعَةَ أَضْعَافٍ أَكْثَرَ مِمَّا جَرَتِ الْعَادَةُ أَنْ يُحْمَى. دانيال 3:15–19.</w:t>
      </w:r>
    </w:p>
    <w:p>
      <w:pPr>
        <w:pStyle w:val="ArticleBody"/>
        <w:jc w:val="left"/>
      </w:pPr>
      <w:r>
        <w:rPr>
          <w:rFonts w:ascii="Times New Roman" w:hAnsi="Times New Roman" w:eastAsia="Times New Roman" w:cs="Times New Roman"/>
        </w:rPr>
        <w:t>Hora „judecății” pentru Belșațar este aceeași „oră” a judecății pentru Șadrac, Meșac și Abed-Nego, iar în ambele linii „de șapte ori” sunt reprezentate ca simbol al acelei judecăți. Cei trei bărbați vrednici îi reprezintă pe cei doi martori care se înalță cu norii la cer ca steag în „ceasul” marelui cutremur de pământ, la Legea Duminicală, iar Belșațar reprezintă judecata nimicirii naționale care este adusă asupra fiarei pământului în chiar aceeași „oră”.</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बेलशज्जर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„Ke amehile haholo kelellong mabapi le tekanyetso e tlase ea borapeli har’a batho ba rōna. ’Me ha ke nahana ka bomalimabe bo ileng ba boleloa holim’a Kapernaume, ke nahana hore kahlolo e boima le ho feta e tla tla holim’a ba tsebang ’nete empa ba sa tsamaea ho ea ka ’nete, empa ba tsamaea ka litlhase tsa ho hotetsa ha bona ka bobona. Linakong tsa bosiu ke bua le batho ka mokhoa o tebileng haholo le o tiileng, ke ba kopa ka tieo hore ba botse matsoalo a bona; Ke eng? Na ke Mokreste, kapa ha ke eena? Na pelo ea ka e nchafalitsoe? Na mohau o fetolang oa Molimo o bōpile semelo sa ka? Na libe tsa ka li baketsoe? Na li ipoleloa? Na li tšoaretsoe? Na ke ntho e le ’ngoe le Kreste joalokaha eena e le ntho e le ’ngoe le Ntate? Na ke hloile seo nkileng ka se rata? Na joale ke rata seo nkileng ka se hloea? Na ke nka lintho tsohle e le tahlehelo ka baka la bokhabane bo fetisisang ba tsebo ea Kreste Jesu? Na ke utloa hore ke letlotlo le rekiloeng la Jesu Kreste, le hore hora e ’ngoe le e ’ngoe ke tshwanetse ho inehela tšebeletsong ea hae?</w:t>
      </w:r>
    </w:p>
    <w:p>
      <w:pPr>
        <w:pStyle w:val="ArticleScripture"/>
        <w:jc w:val="left"/>
      </w:pPr>
      <w:r>
        <w:rPr>
          <w:rFonts w:ascii="Times New Roman" w:hAnsi="Times New Roman" w:eastAsia="Times New Roman" w:cs="Times New Roman"/>
        </w:rPr>
        <w:t>“Nous nous tenons sur le seuil de grands et solennels événements. La terre entière doit être illuminée de la gloire du Seigneur, comme les eaux couvrent les canaux du grand abîme. Les prophéties s’accomplissent, et des temps orageux sont devant nous. D’anciennes controverses qui, apparemment, ont été réduites au silence pendant longtemps, seront ravivées, et de nouvelles controverses surgiront; le nouveau et l’ancien se mêleront, et cela aura lieu très bientôt. Les anges retiennent les quatre vents, afin qu’ils ne soufflent pas, jusqu’à ce que l’œuvre déterminée d’avertissement soit donnée au monde; mais la tempête s’amasse, les nuages se chargent, prêts à éclater sur le monde, et pour beaucoup elle viendra comme un voleur dans la nuit.</w:t>
      </w:r>
    </w:p>
    <w:p>
      <w:pPr>
        <w:pStyle w:val="ArticleScripture"/>
        <w:jc w:val="left"/>
      </w:pPr>
      <w:r>
        <w:rPr>
          <w:rFonts w:ascii="Times New Roman" w:hAnsi="Times New Roman" w:eastAsia="Times New Roman" w:cs="Times New Roman"/>
        </w:rPr>
        <w:t>« Beaucoup souriaient et refusaient de croire lorsque nous leur disions, il y a vingt et trente ans, que le dimanche serait imposé au monde entier, qu’une loi serait établie pour en contraindre l’observance et faire violence à la conscience. Nous voyons cela s’accomplir. Tout ce que Dieu a dit touchant l’avenir s’accomplira assurément; pas une seule chose ne manquera de tout ce qu’il a déclaré. Le protestantisme tend maintenant les mains par-dessus l’abîme pour serrer la main de la papauté, et une confédération se forme pour fouler aux pieds jusqu’à le faire disparaître le sabbat du quatrième commandement; et l’homme de péché, qui, à l’instigation de Satan, a institué le faux sabbat, cet enfant de la papauté, sera exalté pour prendre la place de Dieu. »</w:t>
      </w:r>
    </w:p>
    <w:p>
      <w:pPr>
        <w:pStyle w:val="ArticleScripture"/>
        <w:jc w:val="left"/>
      </w:pPr>
      <w:r>
        <w:rPr>
          <w:rFonts w:ascii="Times New Roman" w:hAnsi="Times New Roman" w:eastAsia="Times New Roman" w:cs="Times New Roman"/>
        </w:rPr>
        <w:t>“Tout le ciel m’est représenté comme observant le déroulement des événements. Une crise doit se manifester dans la grande et longue controverse concernant le gouvernement de Dieu sur la terre. Quelque chose de grand et de décisif doit avoir lieu, et cela très bientôt. S’il survenait quelque retard, le caractère de Dieu et son trône seraient compromis. L’arsenal du ciel est ouvert; tout l’univers de Dieu et ses ressources sont prêts. Un seul mot de la justice doit être prononcé, et il y aura sur la terre de terribles manifestations de la colère de Dieu. Il y aura des voix, des tonnerres, des éclairs, des tremblements de terre et une désolation universelle. Chaque mouvement dans l’univers du ciel a pour but de préparer le monde à la grande crise.”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សភាពតានតឹងកំពុងកាន់កាប់លើគ្រប់ធាតុនៃផែនដី</w:t>
      </w:r>
      <w:r>
        <w:rPr>
          <w:rFonts w:ascii="Times New Roman" w:hAnsi="Times New Roman" w:eastAsia="Times New Roman" w:cs="Times New Roman"/>
        </w:rPr>
        <w:t xml:space="preserve">; </w:t>
      </w:r>
      <w:r>
        <w:rPr>
          <w:rFonts w:ascii="Leelawadee UI" w:hAnsi="Leelawadee UI" w:eastAsia="Leelawadee UI" w:cs="Leelawadee UI"/>
        </w:rPr>
        <w:t>ហើយក្នុងនាមជាប្រជាជនមួយដែលបានទទួលពន្លឺដ៏ធំ</w:t>
      </w:r>
      <w:r>
        <w:rPr>
          <w:rFonts w:ascii="Times New Roman" w:hAnsi="Times New Roman" w:eastAsia="Times New Roman" w:cs="Times New Roman"/>
        </w:rPr>
        <w:t xml:space="preserve"> </w:t>
      </w:r>
      <w:r>
        <w:rPr>
          <w:rFonts w:ascii="Leelawadee UI" w:hAnsi="Leelawadee UI" w:eastAsia="Leelawadee UI" w:cs="Leelawadee UI"/>
        </w:rPr>
        <w:t>និងចំណេះដឹងដ៏អស្ចារ្យ</w:t>
      </w:r>
      <w:r>
        <w:rPr>
          <w:rFonts w:ascii="Times New Roman" w:hAnsi="Times New Roman" w:eastAsia="Times New Roman" w:cs="Times New Roman"/>
        </w:rPr>
        <w:t xml:space="preserve"> </w:t>
      </w:r>
      <w:r>
        <w:rPr>
          <w:rFonts w:ascii="Leelawadee UI" w:hAnsi="Leelawadee UI" w:eastAsia="Leelawadee UI" w:cs="Leelawadee UI"/>
        </w:rPr>
        <w:t>មនុស្សជាច្រើនក្នុងចំណោមពួកគេ</w:t>
      </w:r>
      <w:r>
        <w:rPr>
          <w:rFonts w:ascii="Times New Roman" w:hAnsi="Times New Roman" w:eastAsia="Times New Roman" w:cs="Times New Roman"/>
        </w:rPr>
        <w:t xml:space="preserve"> </w:t>
      </w:r>
      <w:r>
        <w:rPr>
          <w:rFonts w:ascii="Leelawadee UI" w:hAnsi="Leelawadee UI" w:eastAsia="Leelawadee UI" w:cs="Leelawadee UI"/>
        </w:rPr>
        <w:t>ត្រូវបានតំណាងដោយព្រហ្មចារីទាំងប្រាំដែលកំពុងដេកលក់</w:t>
      </w:r>
      <w:r>
        <w:rPr>
          <w:rFonts w:ascii="Times New Roman" w:hAnsi="Times New Roman" w:eastAsia="Times New Roman" w:cs="Times New Roman"/>
        </w:rPr>
        <w:t xml:space="preserve"> </w:t>
      </w:r>
      <w:r>
        <w:rPr>
          <w:rFonts w:ascii="Leelawadee UI" w:hAnsi="Leelawadee UI" w:eastAsia="Leelawadee UI" w:cs="Leelawadee UI"/>
        </w:rPr>
        <w:t>មានចង្កៀងរបស់ខ្លួន</w:t>
      </w:r>
      <w:r>
        <w:rPr>
          <w:rFonts w:ascii="Times New Roman" w:hAnsi="Times New Roman" w:eastAsia="Times New Roman" w:cs="Times New Roman"/>
        </w:rPr>
        <w:t xml:space="preserve"> </w:t>
      </w:r>
      <w:r>
        <w:rPr>
          <w:rFonts w:ascii="Leelawadee UI" w:hAnsi="Leelawadee UI" w:eastAsia="Leelawadee UI" w:cs="Leelawadee UI"/>
        </w:rPr>
        <w:t>ប៉ុន្តែមិនមានប្រេងនៅក្នុងភាជនៈរបស់ខ្លួនឡើយ</w:t>
      </w:r>
      <w:r>
        <w:rPr>
          <w:rFonts w:ascii="Times New Roman" w:hAnsi="Times New Roman" w:eastAsia="Times New Roman" w:cs="Times New Roman"/>
        </w:rPr>
        <w:t xml:space="preserve">; </w:t>
      </w:r>
      <w:r>
        <w:rPr>
          <w:rFonts w:ascii="Leelawadee UI" w:hAnsi="Leelawadee UI" w:eastAsia="Leelawadee UI" w:cs="Leelawadee UI"/>
        </w:rPr>
        <w:t>ត្រជាក់</w:t>
      </w:r>
      <w:r>
        <w:rPr>
          <w:rFonts w:ascii="Times New Roman" w:hAnsi="Times New Roman" w:eastAsia="Times New Roman" w:cs="Times New Roman"/>
        </w:rPr>
        <w:t xml:space="preserve"> </w:t>
      </w:r>
      <w:r>
        <w:rPr>
          <w:rFonts w:ascii="Leelawadee UI" w:hAnsi="Leelawadee UI" w:eastAsia="Leelawadee UI" w:cs="Leelawadee UI"/>
        </w:rPr>
        <w:t>គ្មានអារម្មណ៍ដឹងខុសត្រូវ</w:t>
      </w:r>
      <w:r>
        <w:rPr>
          <w:rFonts w:ascii="Times New Roman" w:hAnsi="Times New Roman" w:eastAsia="Times New Roman" w:cs="Times New Roman"/>
        </w:rPr>
        <w:t xml:space="preserve"> </w:t>
      </w:r>
      <w:r>
        <w:rPr>
          <w:rFonts w:ascii="Leelawadee UI" w:hAnsi="Leelawadee UI" w:eastAsia="Leelawadee UI" w:cs="Leelawadee UI"/>
        </w:rPr>
        <w:t>ហើយមានការគោរពព្រះដ៏ទន់ខ្សោយ</w:t>
      </w:r>
      <w:r>
        <w:rPr>
          <w:rFonts w:ascii="Times New Roman" w:hAnsi="Times New Roman" w:eastAsia="Times New Roman" w:cs="Times New Roman"/>
        </w:rPr>
        <w:t xml:space="preserve"> </w:t>
      </w:r>
      <w:r>
        <w:rPr>
          <w:rFonts w:ascii="Leelawadee UI" w:hAnsi="Leelawadee UI" w:eastAsia="Leelawadee UI" w:cs="Leelawadee UI"/>
        </w:rPr>
        <w:t>ដែលកំពុងរសាត់បាត់។</w:t>
      </w:r>
      <w:r>
        <w:rPr>
          <w:rFonts w:ascii="Times New Roman" w:hAnsi="Times New Roman" w:eastAsia="Times New Roman" w:cs="Times New Roman"/>
        </w:rPr>
        <w:t xml:space="preserve"> </w:t>
      </w:r>
      <w:r>
        <w:rPr>
          <w:rFonts w:ascii="Leelawadee UI" w:hAnsi="Leelawadee UI" w:eastAsia="Leelawadee UI" w:cs="Leelawadee UI"/>
        </w:rPr>
        <w:t>ខណៈដែលជីវិតថ្មីមួយកំពុងត្រូវបានផ្សព្វផ្សាយ</w:t>
      </w:r>
      <w:r>
        <w:rPr>
          <w:rFonts w:ascii="Times New Roman" w:hAnsi="Times New Roman" w:eastAsia="Times New Roman" w:cs="Times New Roman"/>
        </w:rPr>
        <w:t xml:space="preserve"> </w:t>
      </w:r>
      <w:r>
        <w:rPr>
          <w:rFonts w:ascii="Leelawadee UI" w:hAnsi="Leelawadee UI" w:eastAsia="Leelawadee UI" w:cs="Leelawadee UI"/>
        </w:rPr>
        <w:t>ហើយកំពុងផុសឡើងពីខាងក្រោម</w:t>
      </w:r>
      <w:r>
        <w:rPr>
          <w:rFonts w:ascii="Times New Roman" w:hAnsi="Times New Roman" w:eastAsia="Times New Roman" w:cs="Times New Roman"/>
        </w:rPr>
        <w:t xml:space="preserve"> </w:t>
      </w:r>
      <w:r>
        <w:rPr>
          <w:rFonts w:ascii="Leelawadee UI" w:hAnsi="Leelawadee UI" w:eastAsia="Leelawadee UI" w:cs="Leelawadee UI"/>
        </w:rPr>
        <w:t>និងកំពុងចាប់យកយ៉ាងមាំមួនលើគ្រប់ភ្នាក់ងាររបស់សាតាំង</w:t>
      </w:r>
      <w:r>
        <w:rPr>
          <w:rFonts w:ascii="Times New Roman" w:hAnsi="Times New Roman" w:eastAsia="Times New Roman" w:cs="Times New Roman"/>
        </w:rPr>
        <w:t xml:space="preserve"> </w:t>
      </w:r>
      <w:r>
        <w:rPr>
          <w:rFonts w:ascii="Leelawadee UI" w:hAnsi="Leelawadee UI" w:eastAsia="Leelawadee UI" w:cs="Leelawadee UI"/>
        </w:rPr>
        <w:t>ដើម្បីត្រៀមសម្រាប់ជម្លោះ</w:t>
      </w:r>
      <w:r>
        <w:rPr>
          <w:rFonts w:ascii="Times New Roman" w:hAnsi="Times New Roman" w:eastAsia="Times New Roman" w:cs="Times New Roman"/>
        </w:rPr>
        <w:t xml:space="preserve"> </w:t>
      </w:r>
      <w:r>
        <w:rPr>
          <w:rFonts w:ascii="Leelawadee UI" w:hAnsi="Leelawadee UI" w:eastAsia="Leelawadee UI" w:cs="Leelawadee UI"/>
        </w:rPr>
        <w:t>និងការតស៊ូដ៏ធំនៅចុងក្រោយ</w:t>
      </w:r>
      <w:r>
        <w:rPr>
          <w:rFonts w:ascii="Times New Roman" w:hAnsi="Times New Roman" w:eastAsia="Times New Roman" w:cs="Times New Roman"/>
        </w:rPr>
        <w:t xml:space="preserve"> </w:t>
      </w:r>
      <w:r>
        <w:rPr>
          <w:rFonts w:ascii="Leelawadee UI" w:hAnsi="Leelawadee UI" w:eastAsia="Leelawadee UI" w:cs="Leelawadee UI"/>
        </w:rPr>
        <w:t>ពន្លឺថ្មី</w:t>
      </w:r>
      <w:r>
        <w:rPr>
          <w:rFonts w:ascii="Times New Roman" w:hAnsi="Times New Roman" w:eastAsia="Times New Roman" w:cs="Times New Roman"/>
        </w:rPr>
        <w:t xml:space="preserve"> </w:t>
      </w:r>
      <w:r>
        <w:rPr>
          <w:rFonts w:ascii="Leelawadee UI" w:hAnsi="Leelawadee UI" w:eastAsia="Leelawadee UI" w:cs="Leelawadee UI"/>
        </w:rPr>
        <w:t>និងជីវិតថ្មី</w:t>
      </w:r>
      <w:r>
        <w:rPr>
          <w:rFonts w:ascii="Times New Roman" w:hAnsi="Times New Roman" w:eastAsia="Times New Roman" w:cs="Times New Roman"/>
        </w:rPr>
        <w:t xml:space="preserve"> </w:t>
      </w:r>
      <w:r>
        <w:rPr>
          <w:rFonts w:ascii="Leelawadee UI" w:hAnsi="Leelawadee UI" w:eastAsia="Leelawadee UI" w:cs="Leelawadee UI"/>
        </w:rPr>
        <w:t>និងអំណាចថ្មីមួយ</w:t>
      </w:r>
      <w:r>
        <w:rPr>
          <w:rFonts w:ascii="Times New Roman" w:hAnsi="Times New Roman" w:eastAsia="Times New Roman" w:cs="Times New Roman"/>
        </w:rPr>
        <w:t xml:space="preserve"> </w:t>
      </w:r>
      <w:r>
        <w:rPr>
          <w:rFonts w:ascii="Leelawadee UI" w:hAnsi="Leelawadee UI" w:eastAsia="Leelawadee UI" w:cs="Leelawadee UI"/>
        </w:rPr>
        <w:t>កំពុងចុះមកពីលើខ្ពស់</w:t>
      </w:r>
      <w:r>
        <w:rPr>
          <w:rFonts w:ascii="Times New Roman" w:hAnsi="Times New Roman" w:eastAsia="Times New Roman" w:cs="Times New Roman"/>
        </w:rPr>
        <w:t xml:space="preserve"> </w:t>
      </w:r>
      <w:r>
        <w:rPr>
          <w:rFonts w:ascii="Leelawadee UI" w:hAnsi="Leelawadee UI" w:eastAsia="Leelawadee UI" w:cs="Leelawadee UI"/>
        </w:rPr>
        <w:t>ហើយកំពុងកាន់កាប់លើប្រជាជនរបស់ព្រះដែលមិនស្លាប់ខាងវិញ្ញាណ</w:t>
      </w:r>
      <w:r>
        <w:rPr>
          <w:rFonts w:ascii="Times New Roman" w:hAnsi="Times New Roman" w:eastAsia="Times New Roman" w:cs="Times New Roman"/>
        </w:rPr>
        <w:t xml:space="preserve"> </w:t>
      </w:r>
      <w:r>
        <w:rPr>
          <w:rFonts w:ascii="Leelawadee UI" w:hAnsi="Leelawadee UI" w:eastAsia="Leelawadee UI" w:cs="Leelawadee UI"/>
        </w:rPr>
        <w:t>ដូចជាមនុស្សជាច្រើនឥឡូវនេះ</w:t>
      </w:r>
      <w:r>
        <w:rPr>
          <w:rFonts w:ascii="Times New Roman" w:hAnsi="Times New Roman" w:eastAsia="Times New Roman" w:cs="Times New Roman"/>
        </w:rPr>
        <w:t xml:space="preserve"> </w:t>
      </w:r>
      <w:r>
        <w:rPr>
          <w:rFonts w:ascii="Leelawadee UI" w:hAnsi="Leelawadee UI" w:eastAsia="Leelawadee UI" w:cs="Leelawadee UI"/>
        </w:rPr>
        <w:t>ដែលស្លាប់ក្នុងអំពើរំលង</w:t>
      </w:r>
      <w:r>
        <w:rPr>
          <w:rFonts w:ascii="Times New Roman" w:hAnsi="Times New Roman" w:eastAsia="Times New Roman" w:cs="Times New Roman"/>
        </w:rPr>
        <w:t xml:space="preserve"> </w:t>
      </w:r>
      <w:r>
        <w:rPr>
          <w:rFonts w:ascii="Leelawadee UI" w:hAnsi="Leelawadee UI" w:eastAsia="Leelawadee UI" w:cs="Leelawadee UI"/>
        </w:rPr>
        <w:t>និងអំពើបាប។</w:t>
      </w:r>
      <w:r>
        <w:rPr>
          <w:rFonts w:ascii="Times New Roman" w:hAnsi="Times New Roman" w:eastAsia="Times New Roman" w:cs="Times New Roman"/>
        </w:rPr>
        <w:t xml:space="preserve"> </w:t>
      </w:r>
      <w:r>
        <w:rPr>
          <w:rFonts w:ascii="Leelawadee UI" w:hAnsi="Leelawadee UI" w:eastAsia="Leelawadee UI" w:cs="Leelawadee UI"/>
        </w:rPr>
        <w:t>ប្រជាជនដែលឥឡូវនេះនឹងមើលឃើញអ្វីដែលឆាប់ៗនេះនឹងមកលើយើង</w:t>
      </w:r>
      <w:r>
        <w:rPr>
          <w:rFonts w:ascii="Times New Roman" w:hAnsi="Times New Roman" w:eastAsia="Times New Roman" w:cs="Times New Roman"/>
        </w:rPr>
        <w:t xml:space="preserve"> </w:t>
      </w:r>
      <w:r>
        <w:rPr>
          <w:rFonts w:ascii="Leelawadee UI" w:hAnsi="Leelawadee UI" w:eastAsia="Leelawadee UI" w:cs="Leelawadee UI"/>
        </w:rPr>
        <w:t>តាមរយៈអ្វីដែលកំពុងកើតមាននៅចំពោះមុខយើង</w:t>
      </w:r>
      <w:r>
        <w:rPr>
          <w:rFonts w:ascii="Times New Roman" w:hAnsi="Times New Roman" w:eastAsia="Times New Roman" w:cs="Times New Roman"/>
        </w:rPr>
        <w:t xml:space="preserve"> </w:t>
      </w:r>
      <w:r>
        <w:rPr>
          <w:rFonts w:ascii="Leelawadee UI" w:hAnsi="Leelawadee UI" w:eastAsia="Leelawadee UI" w:cs="Leelawadee UI"/>
        </w:rPr>
        <w:t>នឹងមិនទុកចិត្តលើការបង្កើតរបស់មនុស្សទៀតឡើយ</w:t>
      </w:r>
      <w:r>
        <w:rPr>
          <w:rFonts w:ascii="Times New Roman" w:hAnsi="Times New Roman" w:eastAsia="Times New Roman" w:cs="Times New Roman"/>
        </w:rPr>
        <w:t xml:space="preserve"> </w:t>
      </w:r>
      <w:r>
        <w:rPr>
          <w:rFonts w:ascii="Leelawadee UI" w:hAnsi="Leelawadee UI" w:eastAsia="Leelawadee UI" w:cs="Leelawadee UI"/>
        </w:rPr>
        <w:t>ហើយនឹងមានអារម្មណ៍ថា</w:t>
      </w:r>
      <w:r>
        <w:rPr>
          <w:rFonts w:ascii="Times New Roman" w:hAnsi="Times New Roman" w:eastAsia="Times New Roman" w:cs="Times New Roman"/>
        </w:rPr>
        <w:t xml:space="preserve"> </w:t>
      </w:r>
      <w:r>
        <w:rPr>
          <w:rFonts w:ascii="Leelawadee UI" w:hAnsi="Leelawadee UI" w:eastAsia="Leelawadee UI" w:cs="Leelawadee UI"/>
        </w:rPr>
        <w:t>ព្រះវិញ្ញាណបរិសុទ្ធត្រូវតែត្រូវបានទទួលស្គាល់</w:t>
      </w:r>
      <w:r>
        <w:rPr>
          <w:rFonts w:ascii="Times New Roman" w:hAnsi="Times New Roman" w:eastAsia="Times New Roman" w:cs="Times New Roman"/>
        </w:rPr>
        <w:t xml:space="preserve"> </w:t>
      </w:r>
      <w:r>
        <w:rPr>
          <w:rFonts w:ascii="Leelawadee UI" w:hAnsi="Leelawadee UI" w:eastAsia="Leelawadee UI" w:cs="Leelawadee UI"/>
        </w:rPr>
        <w:t>ត្រូវបានទទួល</w:t>
      </w:r>
      <w:r>
        <w:rPr>
          <w:rFonts w:ascii="Times New Roman" w:hAnsi="Times New Roman" w:eastAsia="Times New Roman" w:cs="Times New Roman"/>
        </w:rPr>
        <w:t xml:space="preserve"> </w:t>
      </w:r>
      <w:r>
        <w:rPr>
          <w:rFonts w:ascii="Leelawadee UI" w:hAnsi="Leelawadee UI" w:eastAsia="Leelawadee UI" w:cs="Leelawadee UI"/>
        </w:rPr>
        <w:t>និងត្រូវបានដាក់បង្ហាញនៅមុខប្រជាជន</w:t>
      </w:r>
      <w:r>
        <w:rPr>
          <w:rFonts w:ascii="Times New Roman" w:hAnsi="Times New Roman" w:eastAsia="Times New Roman" w:cs="Times New Roman"/>
        </w:rPr>
        <w:t xml:space="preserve"> </w:t>
      </w:r>
      <w:r>
        <w:rPr>
          <w:rFonts w:ascii="Leelawadee UI" w:hAnsi="Leelawadee UI" w:eastAsia="Leelawadee UI" w:cs="Leelawadee UI"/>
        </w:rPr>
        <w:t>ដើម្បីឲ្យពួកគេអាចតស៊ូសម្រាប់សិរីល្អរបស់ព្រះ</w:t>
      </w:r>
      <w:r>
        <w:rPr>
          <w:rFonts w:ascii="Times New Roman" w:hAnsi="Times New Roman" w:eastAsia="Times New Roman" w:cs="Times New Roman"/>
        </w:rPr>
        <w:t xml:space="preserve"> </w:t>
      </w:r>
      <w:r>
        <w:rPr>
          <w:rFonts w:ascii="Leelawadee UI" w:hAnsi="Leelawadee UI" w:eastAsia="Leelawadee UI" w:cs="Leelawadee UI"/>
        </w:rPr>
        <w:t>ហើយធ្វើការនៅគ្រប់ទីកន្លែង</w:t>
      </w:r>
      <w:r>
        <w:rPr>
          <w:rFonts w:ascii="Times New Roman" w:hAnsi="Times New Roman" w:eastAsia="Times New Roman" w:cs="Times New Roman"/>
        </w:rPr>
        <w:t xml:space="preserve"> </w:t>
      </w:r>
      <w:r>
        <w:rPr>
          <w:rFonts w:ascii="Leelawadee UI" w:hAnsi="Leelawadee UI" w:eastAsia="Leelawadee UI" w:cs="Leelawadee UI"/>
        </w:rPr>
        <w:t>តាមផ្លូវតូច</w:t>
      </w:r>
      <w:r>
        <w:rPr>
          <w:rFonts w:ascii="Times New Roman" w:hAnsi="Times New Roman" w:eastAsia="Times New Roman" w:cs="Times New Roman"/>
        </w:rPr>
        <w:t xml:space="preserve"> </w:t>
      </w:r>
      <w:r>
        <w:rPr>
          <w:rFonts w:ascii="Leelawadee UI" w:hAnsi="Leelawadee UI" w:eastAsia="Leelawadee UI" w:cs="Leelawadee UI"/>
        </w:rPr>
        <w:t>និងផ្លូវធំទាំងឡាយនៃជីវិត</w:t>
      </w:r>
      <w:r>
        <w:rPr>
          <w:rFonts w:ascii="Times New Roman" w:hAnsi="Times New Roman" w:eastAsia="Times New Roman" w:cs="Times New Roman"/>
        </w:rPr>
        <w:t xml:space="preserve"> </w:t>
      </w:r>
      <w:r>
        <w:rPr>
          <w:rFonts w:ascii="Leelawadee UI" w:hAnsi="Leelawadee UI" w:eastAsia="Leelawadee UI" w:cs="Leelawadee UI"/>
        </w:rPr>
        <w:t>ដើម្បីសង្គ្រោះព្រលឹងនៃមនុស្សដទៃរួមជាតិរបស់ពួកគេ។</w:t>
      </w:r>
      <w:r>
        <w:rPr>
          <w:rFonts w:ascii="Times New Roman" w:hAnsi="Times New Roman" w:eastAsia="Times New Roman" w:cs="Times New Roman"/>
        </w:rPr>
        <w:t xml:space="preserve"> </w:t>
      </w:r>
      <w:r>
        <w:rPr>
          <w:rFonts w:ascii="Leelawadee UI" w:hAnsi="Leelawadee UI" w:eastAsia="Leelawadee UI" w:cs="Leelawadee UI"/>
        </w:rPr>
        <w:t>ថ្មដាតែមួយគត់ដែលប្រាកដ</w:t>
      </w:r>
      <w:r>
        <w:rPr>
          <w:rFonts w:ascii="Times New Roman" w:hAnsi="Times New Roman" w:eastAsia="Times New Roman" w:cs="Times New Roman"/>
        </w:rPr>
        <w:t xml:space="preserve"> </w:t>
      </w:r>
      <w:r>
        <w:rPr>
          <w:rFonts w:ascii="Leelawadee UI" w:hAnsi="Leelawadee UI" w:eastAsia="Leelawadee UI" w:cs="Leelawadee UI"/>
        </w:rPr>
        <w:t>និងមាំមួន</w:t>
      </w:r>
      <w:r>
        <w:rPr>
          <w:rFonts w:ascii="Times New Roman" w:hAnsi="Times New Roman" w:eastAsia="Times New Roman" w:cs="Times New Roman"/>
        </w:rPr>
        <w:t xml:space="preserve"> </w:t>
      </w:r>
      <w:r>
        <w:rPr>
          <w:rFonts w:ascii="Leelawadee UI" w:hAnsi="Leelawadee UI" w:eastAsia="Leelawadee UI" w:cs="Leelawadee UI"/>
        </w:rPr>
        <w:t>គឺជាថ្មដានៃអស់កល្បជានិច្ច។</w:t>
      </w:r>
      <w:r>
        <w:rPr>
          <w:rFonts w:ascii="Times New Roman" w:hAnsi="Times New Roman" w:eastAsia="Times New Roman" w:cs="Times New Roman"/>
        </w:rPr>
        <w:t xml:space="preserve"> </w:t>
      </w:r>
      <w:r>
        <w:rPr>
          <w:rFonts w:ascii="Leelawadee UI" w:hAnsi="Leelawadee UI" w:eastAsia="Leelawadee UI" w:cs="Leelawadee UI"/>
        </w:rPr>
        <w:t>មានតែអ្នកទាំងនោះប៉ុណ្ណោះដែលសាងសង់លើថ្មដានេះ</w:t>
      </w:r>
      <w:r>
        <w:rPr>
          <w:rFonts w:ascii="Times New Roman" w:hAnsi="Times New Roman" w:eastAsia="Times New Roman" w:cs="Times New Roman"/>
        </w:rPr>
        <w:t xml:space="preserve"> </w:t>
      </w:r>
      <w:r>
        <w:rPr>
          <w:rFonts w:ascii="Leelawadee UI" w:hAnsi="Leelawadee UI" w:eastAsia="Leelawadee UI" w:cs="Leelawadee UI"/>
        </w:rPr>
        <w:t>ទើបមានសុវត្ថិភាព។</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„Diejenigen, die jetzt fleischlich gesinnt sind, werden, ungeachtet der Warnungen, die Gott in seinem Wort und durch die Zeugnisse seines Geistes gegeben hat, sich niemals mit der heiligen Familie der Erlösten vereinen. Sie sind sinnlich, in ihren Gedanken entartet und ein Greuel in den Augen Gottes. Sie sind niemals durch die Wahrheit geheiligt worden. Sie sind nicht Teilhaber der göttlichen Natur, haben niemals das eigene Ich und die Welt mit ihren Neigungen und Lüsten überwunden. Solche Charaktere finden sich überall in unseren Gemeinden, und infolgedessen sind die Gemeinden schwach und kränklich und dem Sterben nahe. Es darf jetzt kein gleichgültiges Zeugnis abgelegt werden, sondern ein entschiedenes, eindringliches Zeugnis, das jede Unreinheit zurechtweist und Jesus erhöht. Wir müssen als Volk in einer Haltung der Erwartung sein, wirken und warten und wachen und beten.“</w:t>
      </w:r>
    </w:p>
    <w:p>
      <w:pPr>
        <w:pStyle w:val="ArticleScripture"/>
        <w:jc w:val="left"/>
      </w:pPr>
      <w:r>
        <w:rPr>
          <w:rFonts w:ascii="Times New Roman" w:hAnsi="Times New Roman" w:eastAsia="Times New Roman" w:cs="Times New Roman"/>
        </w:rPr>
        <w:t>«Cette bienheureuse espérance de la seconde apparition du Christ doit être souvent présentée au peuple, avec ses solennelles réalités; attendre la proche apparition de notre Seigneur Jésus venant dans sa gloire conduira à considérer les choses terrestres comme vaines et comme un néant. Tout honneur ou toute distinction du monde est sans valeur, car le vrai croyant vit au-dessus du monde; ses pas s’avancent vers le ciel. Il est pèlerin et étranger. Sa citoyenneté est en haut. Il recueille dans son âme les rayons du soleil de la justice du Christ, afin d’être une lumière ardente et brillante dans les ténèbres morales qui ont enveloppé le monde. Quelle foi vigoureuse, quelle espérance vivante, quel amour fervent, quel zèle saint et consacré pour Dieu on voit en lui, et quelle nette distinction entre lui et le monde! “Veillez donc, et priez toujours, afin que vous soyez jugés dignes d’échapper à toutes ces choses qui arriveront, et de paraître debout devant le Fils de l’homme.” “Veillez donc, car vous ne savez pas à quelle heure votre Seigneur viendra.” “C’est pourquoi, vous aussi, tenez-vous prêts; car le Fils de l’homme viendra à l’heure où vous n’y penserez pas.” “Voici, je viens comme un voleur. Heureux celui qui veille, et qui garde ses vêtements.”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دانيال - العدد الثامن والعشرون</dc:title>
  <dc:subject>دیوارها</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