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Thelathini na Moja</w:t>
      </w:r>
    </w:p>
    <w:p>
      <w:pPr>
        <w:pStyle w:val="ArticleSubtitle"/>
        <w:jc w:val="left"/>
      </w:pPr>
      <w:r>
        <w:rPr>
          <w:rFonts w:ascii="Leelawadee UI" w:hAnsi="Leelawadee UI" w:eastAsia="Leelawadee UI" w:cs="Leelawadee UI"/>
        </w:rPr>
        <w:t>ការព្រមានដល់អាមេរិក៖</w:t>
      </w:r>
      <w:r>
        <w:rPr>
          <w:rFonts w:ascii="Arial" w:hAnsi="Arial" w:eastAsia="Arial" w:cs="Arial"/>
        </w:rPr>
        <w:t xml:space="preserve"> </w:t>
      </w:r>
      <w:r>
        <w:rPr>
          <w:rFonts w:ascii="Leelawadee UI" w:hAnsi="Leelawadee UI" w:eastAsia="Leelawadee UI" w:cs="Leelawadee UI"/>
        </w:rPr>
        <w:t>សារៈសំខាន់នៃការបកស្រាយរបស់ដានីយ៉ែលសម្រាប់សម័យបច្ចុប្បន្ន</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Tau kisina long banis, na as bilong Daniel long tok klia long en i go long Belsasar, i makim laspela kot tok bilong heven long tupela man bilong strong em ol horn, em horn bilong ol apostet Ripablikan na horn bilong ol apostet Protestan bilong Yunaeted Stets. Namba wan histri bilong tupela, em bilong ol tumbuna papa husat i statim Yunaeted Stets na bilong ol painia bilong Adventism, ol i bin raitim klia tru; tasol ol skul na ol tok lukaut i stap insait long en, ol i bin putim long sait long “foa jeneresen”. Belsasar i soim stret tru dispela tok i tru.</w:t>
      </w:r>
    </w:p>
    <w:p>
      <w:pPr>
        <w:pStyle w:val="ArticleBody"/>
        <w:jc w:val="left"/>
      </w:pPr>
      <w:r>
        <w:rPr>
          <w:rFonts w:ascii="Times New Roman" w:hAnsi="Times New Roman" w:eastAsia="Times New Roman" w:cs="Times New Roman"/>
        </w:rPr>
        <w:t>A si mkpa ịkọwapụta oge ziri ezi iji kpebie ihe ọgbọ pụtara, n’ihi na Okwu Chineke adịghị ada ada mgbe ọ bụla, ọ na-ekwukwa kpọmkwem na ọ bụ n’ọgbọ nke anọ ka Chineke na-emechi akwụkwọ ikpe n’ebe mba ndị nupụrụ isi megide uche Ya e kpughepụtara nọ.</w:t>
      </w:r>
    </w:p>
    <w:p>
      <w:pPr>
        <w:pStyle w:val="ArticleScripture"/>
        <w:jc w:val="left"/>
      </w:pPr>
      <w:r>
        <w:rPr>
          <w:rFonts w:ascii="Times New Roman" w:hAnsi="Times New Roman" w:eastAsia="Times New Roman" w:cs="Times New Roman"/>
        </w:rPr>
        <w:t>Et Dieu prononça toutes ces paroles, en disant : Je suis l’Éternel, ton Dieu, qui t’ai fait sortir du pays d’Égypte, de la maison de servitude. Tu n’auras point d’autres dieux devant ma face. Tu ne te feras point d’image taillée, ni aucune ressemblance de ce qui est dans les cieux en haut, de ce qui est sur la terre en bas, ni de ce qui est dans les eaux au-dessous de la terre. Tu ne te prosterneras point devant elles, et tu ne les serviras point ; car moi, l’Éternel, ton Dieu, je suis un Dieu jaloux, qui punis l’iniquité des pères sur les enfants jusqu’à la troisième et à la quatrième génération de ceux qui me haïssent, et qui fais miséricorde jusqu’en mille générations à ceux qui m’aiment et qui gardent mes commandements. Exode 20:1.</w:t>
      </w:r>
    </w:p>
    <w:p>
      <w:pPr>
        <w:pStyle w:val="ArticleBody"/>
        <w:jc w:val="left"/>
      </w:pPr>
      <w:r>
        <w:rPr>
          <w:rFonts w:ascii="Times New Roman" w:hAnsi="Times New Roman" w:eastAsia="Times New Roman" w:cs="Times New Roman"/>
        </w:rPr>
        <w:t>Nislin di fundit, e ndaa rikci a profetike “gjenerata e katërt” e Izraelit t’lasht, si Gjon Pagzori ashtu edhe Krishti e identifikun atë gjeneratë si një gjeneratë nepërkash.</w:t>
      </w:r>
    </w:p>
    <w:p>
      <w:pPr>
        <w:pStyle w:val="ArticleScripture"/>
        <w:jc w:val="left"/>
      </w:pPr>
      <w:r>
        <w:rPr>
          <w:rFonts w:ascii="Times New Roman" w:hAnsi="Times New Roman" w:eastAsia="Times New Roman" w:cs="Times New Roman"/>
        </w:rPr>
        <w:t>Tambalakla ya banyoka, mutashani ukwisa kuyowoya ifintu ifisuma, pantu imwe muli babi? Pantu akanwa kayowoya ukufuma ku fyengi ifyaisula mu mutima. Umuntu musuma afumya ifintu ifisuma mu cibiko cisuma ica mu mutima; kabili umuntu mubi afumya ifintu ifyabipa mu cibiko cibipa. Lelo nde mubula ukuti, pa cebo conse ica ubupuba ico abantu bakayowoya, bakapela ulubuto pali ico pa bushiku bwa bupingushi. Pantu ku fyebo fyobe ukalungamikwa, kabili ku fyebo fyobe ukalepaiwa. Mateo 12:34–37.</w:t>
      </w:r>
    </w:p>
    <w:p>
      <w:pPr>
        <w:pStyle w:val="ArticleBody"/>
        <w:jc w:val="left"/>
      </w:pPr>
      <w:r>
        <w:rPr>
          <w:rFonts w:ascii="Times New Roman" w:hAnsi="Times New Roman" w:eastAsia="Times New Roman" w:cs="Times New Roman"/>
        </w:rPr>
        <w:t>Wɔ asase so aboa no awo ntoatoaso a etwa to mu no, ɔkasa sɛ ɔwɔ (ɔtɛtɛboa). Efi 1863, de besi Kwasida mmara no so no, Republican abɛn no afi United States Amansan Mmara no ho akɔ akyirikyiri. Nhyira a Onyankopɔn de maa ɔman no dan n’akyɛde maa ɔmanfo ne wɔn akannifo koma fii wɔn asɛyɛde so sɛ wɔbɛbɔ nnyinasosɛm a ɛmaa ahonya ne yiyedi a na wɔaba abegye mu no ho ban, na wɔwerɛ fii adwene a ɛkyerɛɛ agyanom a wɔhyehyɛɛ ɔman no kwan no, bere a wɔyɛɛ krataa kronkron no a ɛmaa ahonya ne yiyedi no, na akyiri yi wɔmaa saa ahonya ne yiyedi no seduu wɔn. Wɔannye wɔn ani mfii krataa kronkron no atirimpɔw no so nko, na mmom wɔsan werɛ fii wɔn asɛyɛde sɛ wɔbɛkora nnyinasosɛm a ɛwɔ krataa no mu no so.</w:t>
      </w:r>
    </w:p>
    <w:p>
      <w:pPr>
        <w:pStyle w:val="ArticleBody"/>
        <w:jc w:val="left"/>
      </w:pPr>
      <w:r>
        <w:rPr>
          <w:rFonts w:ascii="Times New Roman" w:hAnsi="Times New Roman" w:eastAsia="Times New Roman" w:cs="Times New Roman"/>
        </w:rPr>
        <w:t>Od roku 1863 aż do czasu ustawy niedzielnej prawdziwy protestancki róg (adwentyzm) odwracał się od swoich fundamentalnych prawd, ustanowionych przez Boga za pośrednictwem służby Williama Millera. Błogosławieństwa, którymi Bóg obdarzył adwentyzm, odwróciły serca obywateli i przywódców od ich odpowiedzialności za strzeżenie zasad, które wydały duchowe bogactwo, jakim zaczęli się cieszyć, i zapomnieli oni o celu pionierów w wydaniu poselstwa przedstawionego na dwóch świętych tablicach, które miało ustanowić prorocze bogactwo, jakiego mieli strzec i które mieli głosić.</w:t>
      </w:r>
    </w:p>
    <w:p>
      <w:pPr>
        <w:pStyle w:val="ArticleBody"/>
        <w:jc w:val="left"/>
      </w:pPr>
      <w:r>
        <w:rPr>
          <w:rFonts w:ascii="Nirmala UI" w:hAnsi="Nirmala UI" w:eastAsia="Nirmala UI" w:cs="Nirmala UI"/>
        </w:rPr>
        <w:t>स्वामीने</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पर्वतावर</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इस्राएलाशी</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नियमांचा</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असलेल्या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पट्ट्या</w:t>
      </w:r>
      <w:r>
        <w:rPr>
          <w:rFonts w:ascii="Times New Roman" w:hAnsi="Times New Roman" w:eastAsia="Times New Roman" w:cs="Times New Roman"/>
        </w:rPr>
        <w:t xml:space="preserve"> </w:t>
      </w:r>
      <w:r>
        <w:rPr>
          <w:rFonts w:ascii="Nirmala UI" w:hAnsi="Nirmala UI" w:eastAsia="Nirmala UI" w:cs="Nirmala UI"/>
        </w:rPr>
        <w:t>दिल्या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लोकांबरोबरच्या</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करारसंबंधाचे</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ठरणार</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सणांची</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निर्देश</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पेंटेकोस्टच्या</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उचलून</w:t>
      </w:r>
      <w:r>
        <w:rPr>
          <w:rFonts w:ascii="Times New Roman" w:hAnsi="Times New Roman" w:eastAsia="Times New Roman" w:cs="Times New Roman"/>
        </w:rPr>
        <w:t xml:space="preserve"> </w:t>
      </w:r>
      <w:r>
        <w:rPr>
          <w:rFonts w:ascii="Nirmala UI" w:hAnsi="Nirmala UI" w:eastAsia="Nirmala UI" w:cs="Nirmala UI"/>
        </w:rPr>
        <w:t>दाखविल्या</w:t>
      </w:r>
      <w:r>
        <w:rPr>
          <w:rFonts w:ascii="Times New Roman" w:hAnsi="Times New Roman" w:eastAsia="Times New Roman" w:cs="Times New Roman"/>
        </w:rPr>
        <w:t xml:space="preserve"> </w:t>
      </w:r>
      <w:r>
        <w:rPr>
          <w:rFonts w:ascii="Nirmala UI" w:hAnsi="Nirmala UI" w:eastAsia="Nirmala UI" w:cs="Nirmala UI"/>
        </w:rPr>
        <w:t>जाणाऱ्या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भाकऱ्यांचे</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असावे</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भाकऱ्यांचे</w:t>
      </w:r>
      <w:r>
        <w:rPr>
          <w:rFonts w:ascii="Times New Roman" w:hAnsi="Times New Roman" w:eastAsia="Times New Roman" w:cs="Times New Roman"/>
        </w:rPr>
        <w:t xml:space="preserve"> </w:t>
      </w:r>
      <w:r>
        <w:rPr>
          <w:rFonts w:ascii="Nirmala UI" w:hAnsi="Nirmala UI" w:eastAsia="Nirmala UI" w:cs="Nirmala UI"/>
        </w:rPr>
        <w:t>डोलविण्याचे</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पवित्रस्थानातील</w:t>
      </w:r>
      <w:r>
        <w:rPr>
          <w:rFonts w:ascii="Times New Roman" w:hAnsi="Times New Roman" w:eastAsia="Times New Roman" w:cs="Times New Roman"/>
        </w:rPr>
        <w:t xml:space="preserve"> </w:t>
      </w:r>
      <w:r>
        <w:rPr>
          <w:rFonts w:ascii="Nirmala UI" w:hAnsi="Nirmala UI" w:eastAsia="Nirmala UI" w:cs="Nirmala UI"/>
        </w:rPr>
        <w:t>सेवेतले</w:t>
      </w:r>
      <w:r>
        <w:rPr>
          <w:rFonts w:ascii="Times New Roman" w:hAnsi="Times New Roman" w:eastAsia="Times New Roman" w:cs="Times New Roman"/>
        </w:rPr>
        <w:t xml:space="preserve"> </w:t>
      </w:r>
      <w:r>
        <w:rPr>
          <w:rFonts w:ascii="Nirmala UI" w:hAnsi="Nirmala UI" w:eastAsia="Nirmala UI" w:cs="Nirmala UI"/>
        </w:rPr>
        <w:t>एकमेव</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ज्याच्या</w:t>
      </w:r>
      <w:r>
        <w:rPr>
          <w:rFonts w:ascii="Times New Roman" w:hAnsi="Times New Roman" w:eastAsia="Times New Roman" w:cs="Times New Roman"/>
        </w:rPr>
        <w:t xml:space="preserve"> </w:t>
      </w:r>
      <w:r>
        <w:rPr>
          <w:rFonts w:ascii="Nirmala UI" w:hAnsi="Nirmala UI" w:eastAsia="Nirmala UI" w:cs="Nirmala UI"/>
        </w:rPr>
        <w:t>तयारीत</w:t>
      </w:r>
      <w:r>
        <w:rPr>
          <w:rFonts w:ascii="Times New Roman" w:hAnsi="Times New Roman" w:eastAsia="Times New Roman" w:cs="Times New Roman"/>
        </w:rPr>
        <w:t xml:space="preserve"> </w:t>
      </w:r>
      <w:r>
        <w:rPr>
          <w:rFonts w:ascii="Nirmala UI" w:hAnsi="Nirmala UI" w:eastAsia="Nirmala UI" w:cs="Nirmala UI"/>
        </w:rPr>
        <w:t>खमीर</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द्वेष</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ढोंगीपणाचे</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समाविष्ट</w:t>
      </w:r>
      <w:r>
        <w:rPr>
          <w:rFonts w:ascii="Times New Roman" w:hAnsi="Times New Roman" w:eastAsia="Times New Roman" w:cs="Times New Roman"/>
        </w:rPr>
        <w:t xml:space="preserve"> </w:t>
      </w:r>
      <w:r>
        <w:rPr>
          <w:rFonts w:ascii="Nirmala UI" w:hAnsi="Nirmala UI" w:eastAsia="Nirmala UI" w:cs="Nirmala UI"/>
        </w:rPr>
        <w:t>असणे</w:t>
      </w:r>
      <w:r>
        <w:rPr>
          <w:rFonts w:ascii="Times New Roman" w:hAnsi="Times New Roman" w:eastAsia="Times New Roman" w:cs="Times New Roman"/>
        </w:rPr>
        <w:t xml:space="preserve"> </w:t>
      </w:r>
      <w:r>
        <w:rPr>
          <w:rFonts w:ascii="Nirmala UI" w:hAnsi="Nirmala UI" w:eastAsia="Nirmala UI" w:cs="Nirmala UI"/>
        </w:rPr>
        <w:t>अपेक्षित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Votre sujet de gloire n’est pas bon. Ne savez-vous pas qu’un peu de levain fait lever toute la pâte ? Ôtez donc le vieux levain, afin que vous soyez une nouvelle pâte, comme vous êtes sans levain. Car Christ, notre Pâque, a été immolé pour nous. Célébrons donc la fête, non avec du vieux levain, ni avec le levain de malice et de méchanceté, mais avec les pains sans levain de la sincérité et de la vérité. 1 Corinthiens 5:6–8.</w:t>
      </w:r>
    </w:p>
    <w:p>
      <w:pPr>
        <w:pStyle w:val="ArticleScripture"/>
        <w:jc w:val="left"/>
      </w:pPr>
      <w:r>
        <w:rPr>
          <w:rFonts w:ascii="Times New Roman" w:hAnsi="Times New Roman" w:eastAsia="Times New Roman" w:cs="Times New Roman"/>
        </w:rPr>
        <w:t>Ngalesosikhathi, kwathi sekubuthene ixuku elikhulu elingenakubalwa labantu, baze banyathelana, waqala ukusho kubafundi bakhe kuqala kukho konke ukuthi: Xwayani imvubelo yabaFarisi, engukuzenzisa. Luka 12:1.</w:t>
      </w:r>
    </w:p>
    <w:p>
      <w:pPr>
        <w:pStyle w:val="ArticleBody"/>
        <w:jc w:val="left"/>
      </w:pPr>
      <w:r>
        <w:rPr>
          <w:rFonts w:ascii="Nirmala UI" w:hAnsi="Nirmala UI" w:eastAsia="Nirmala UI" w:cs="Nirmala UI"/>
        </w:rPr>
        <w:t>দোলা</w:t>
      </w:r>
      <w:r>
        <w:rPr>
          <w:rFonts w:ascii="Times New Roman" w:hAnsi="Times New Roman" w:eastAsia="Times New Roman" w:cs="Times New Roman"/>
        </w:rPr>
        <w:t>-</w:t>
      </w:r>
      <w:r>
        <w:rPr>
          <w:rFonts w:ascii="Nirmala UI" w:hAnsi="Nirmala UI" w:eastAsia="Nirmala UI" w:cs="Nirmala UI"/>
        </w:rPr>
        <w:t>অর্ঘ্যরূপে</w:t>
      </w:r>
      <w:r>
        <w:rPr>
          <w:rFonts w:ascii="Times New Roman" w:hAnsi="Times New Roman" w:eastAsia="Times New Roman" w:cs="Times New Roman"/>
        </w:rPr>
        <w:t xml:space="preserve"> </w:t>
      </w:r>
      <w:r>
        <w:rPr>
          <w:rFonts w:ascii="Nirmala UI" w:hAnsi="Nirmala UI" w:eastAsia="Nirmala UI" w:cs="Nirmala UI"/>
        </w:rPr>
        <w:t>উত্তোলিত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দোলিত</w:t>
      </w:r>
      <w:r>
        <w:rPr>
          <w:rFonts w:ascii="Times New Roman" w:hAnsi="Times New Roman" w:eastAsia="Times New Roman" w:cs="Times New Roman"/>
        </w:rPr>
        <w:t xml:space="preserve"> </w:t>
      </w:r>
      <w:r>
        <w:rPr>
          <w:rFonts w:ascii="Nirmala UI" w:hAnsi="Nirmala UI" w:eastAsia="Nirmala UI" w:cs="Nirmala UI"/>
        </w:rPr>
        <w:t>রুটি</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পতাকার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হলেও</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বিদ্বেষ</w:t>
      </w:r>
      <w:r>
        <w:rPr>
          <w:rFonts w:ascii="Times New Roman" w:hAnsi="Times New Roman" w:eastAsia="Times New Roman" w:cs="Times New Roman"/>
        </w:rPr>
        <w:t xml:space="preserve">, </w:t>
      </w:r>
      <w:r>
        <w:rPr>
          <w:rFonts w:ascii="Nirmala UI" w:hAnsi="Nirmala UI" w:eastAsia="Nirmala UI" w:cs="Nirmala UI"/>
        </w:rPr>
        <w:t>দুষ্টতা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কপটতার</w:t>
      </w:r>
      <w:r>
        <w:rPr>
          <w:rFonts w:ascii="Times New Roman" w:hAnsi="Times New Roman" w:eastAsia="Times New Roman" w:cs="Times New Roman"/>
        </w:rPr>
        <w:t xml:space="preserve"> </w:t>
      </w:r>
      <w:r>
        <w:rPr>
          <w:rFonts w:ascii="Nirmala UI" w:hAnsi="Nirmala UI" w:eastAsia="Nirmala UI" w:cs="Nirmala UI"/>
        </w:rPr>
        <w:t>খামির</w:t>
      </w:r>
      <w:r>
        <w:rPr>
          <w:rFonts w:ascii="Times New Roman" w:hAnsi="Times New Roman" w:eastAsia="Times New Roman" w:cs="Times New Roman"/>
        </w:rPr>
        <w:t xml:space="preserve"> </w:t>
      </w:r>
      <w:r>
        <w:rPr>
          <w:rFonts w:ascii="Nirmala UI" w:hAnsi="Nirmala UI" w:eastAsia="Nirmala UI" w:cs="Nirmala UI"/>
        </w:rPr>
        <w:t>দূর</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রুটির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খামির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মানুষেরই</w:t>
      </w:r>
      <w:r>
        <w:rPr>
          <w:rFonts w:ascii="Times New Roman" w:hAnsi="Times New Roman" w:eastAsia="Times New Roman" w:cs="Times New Roman"/>
        </w:rPr>
        <w:t xml:space="preserve"> (</w:t>
      </w:r>
      <w:r>
        <w:rPr>
          <w:rFonts w:ascii="Nirmala UI" w:hAnsi="Nirmala UI" w:eastAsia="Nirmala UI" w:cs="Nirmala UI"/>
        </w:rPr>
        <w:t>পাপীদেরই</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মালাখি</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উল্লিখিত</w:t>
      </w:r>
      <w:r>
        <w:rPr>
          <w:rFonts w:ascii="Times New Roman" w:hAnsi="Times New Roman" w:eastAsia="Times New Roman" w:cs="Times New Roman"/>
        </w:rPr>
        <w:t xml:space="preserve"> </w:t>
      </w:r>
      <w:r>
        <w:rPr>
          <w:rFonts w:ascii="Nirmala UI" w:hAnsi="Nirmala UI" w:eastAsia="Nirmala UI" w:cs="Nirmala UI"/>
        </w:rPr>
        <w:t>চুক্তির</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চুল্লির</w:t>
      </w:r>
      <w:r>
        <w:rPr>
          <w:rFonts w:ascii="Times New Roman" w:hAnsi="Times New Roman" w:eastAsia="Times New Roman" w:cs="Times New Roman"/>
        </w:rPr>
        <w:t xml:space="preserve"> </w:t>
      </w:r>
      <w:r>
        <w:rPr>
          <w:rFonts w:ascii="Nirmala UI" w:hAnsi="Nirmala UI" w:eastAsia="Nirmala UI" w:cs="Nirmala UI"/>
        </w:rPr>
        <w:t>অগ্নিতে</w:t>
      </w:r>
      <w:r>
        <w:rPr>
          <w:rFonts w:ascii="Times New Roman" w:hAnsi="Times New Roman" w:eastAsia="Times New Roman" w:cs="Times New Roman"/>
        </w:rPr>
        <w:t xml:space="preserve"> “</w:t>
      </w:r>
      <w:r>
        <w:rPr>
          <w:rFonts w:ascii="Nirmala UI" w:hAnsi="Nirmala UI" w:eastAsia="Nirmala UI" w:cs="Nirmala UI"/>
        </w:rPr>
        <w:t>পক্ব</w:t>
      </w:r>
      <w:r>
        <w:rPr>
          <w:rFonts w:ascii="Times New Roman" w:hAnsi="Times New Roman" w:eastAsia="Times New Roman" w:cs="Times New Roman"/>
        </w:rPr>
        <w:t xml:space="preserve">” </w:t>
      </w:r>
      <w:r>
        <w:rPr>
          <w:rFonts w:ascii="Nirmala UI" w:hAnsi="Nirmala UI" w:eastAsia="Nirmala UI" w:cs="Nirmala UI"/>
        </w:rPr>
        <w:t>হওয়ারূপে</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শোধন</w:t>
      </w:r>
      <w:r>
        <w:rPr>
          <w:rFonts w:ascii="Times New Roman" w:hAnsi="Times New Roman" w:eastAsia="Times New Roman" w:cs="Times New Roman"/>
        </w:rPr>
        <w:t>-</w:t>
      </w:r>
      <w:r>
        <w:rPr>
          <w:rFonts w:ascii="Nirmala UI" w:hAnsi="Nirmala UI" w:eastAsia="Nirmala UI" w:cs="Nirmala UI"/>
        </w:rPr>
        <w:t>প্রক্রিয়ার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পাপকে</w:t>
      </w:r>
      <w:r>
        <w:rPr>
          <w:rFonts w:ascii="Times New Roman" w:hAnsi="Times New Roman" w:eastAsia="Times New Roman" w:cs="Times New Roman"/>
        </w:rPr>
        <w:t xml:space="preserve"> </w:t>
      </w:r>
      <w:r>
        <w:rPr>
          <w:rFonts w:ascii="Nirmala UI" w:hAnsi="Nirmala UI" w:eastAsia="Nirmala UI" w:cs="Nirmala UI"/>
        </w:rPr>
        <w:t>জয়</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রুটিগুলি</w:t>
      </w:r>
      <w:r>
        <w:rPr>
          <w:rFonts w:ascii="Times New Roman" w:hAnsi="Times New Roman" w:eastAsia="Times New Roman" w:cs="Times New Roman"/>
        </w:rPr>
        <w:t xml:space="preserve"> “</w:t>
      </w:r>
      <w:r>
        <w:rPr>
          <w:rFonts w:ascii="Nirmala UI" w:hAnsi="Nirmala UI" w:eastAsia="Nirmala UI" w:cs="Nirmala UI"/>
        </w:rPr>
        <w:t>স্বর্গীয়</w:t>
      </w:r>
      <w:r>
        <w:rPr>
          <w:rFonts w:ascii="Times New Roman" w:hAnsi="Times New Roman" w:eastAsia="Times New Roman" w:cs="Times New Roman"/>
        </w:rPr>
        <w:t xml:space="preserve"> </w:t>
      </w:r>
      <w:r>
        <w:rPr>
          <w:rFonts w:ascii="Nirmala UI" w:hAnsi="Nirmala UI" w:eastAsia="Nirmala UI" w:cs="Nirmala UI"/>
        </w:rPr>
        <w:t>রুটি</w:t>
      </w:r>
      <w:r>
        <w:rPr>
          <w:rFonts w:ascii="Times New Roman" w:hAnsi="Times New Roman" w:eastAsia="Times New Roman" w:cs="Times New Roman"/>
        </w:rPr>
        <w:t>”-</w:t>
      </w:r>
      <w:r>
        <w:rPr>
          <w:rFonts w:ascii="Nirmala UI" w:hAnsi="Nirmala UI" w:eastAsia="Nirmala UI" w:cs="Nirmala UI"/>
        </w:rPr>
        <w:t>রও</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অর্পণের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সেগুলিকে</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w:t>
      </w:r>
      <w:r>
        <w:rPr>
          <w:rFonts w:ascii="Nirmala UI" w:hAnsi="Nirmala UI" w:eastAsia="Nirmala UI" w:cs="Nirmala UI"/>
        </w:rPr>
        <w:t>অর্ঘ্যরূপে</w:t>
      </w:r>
      <w:r>
        <w:rPr>
          <w:rFonts w:ascii="Times New Roman" w:hAnsi="Times New Roman" w:eastAsia="Times New Roman" w:cs="Times New Roman"/>
        </w:rPr>
        <w:t xml:space="preserve"> </w:t>
      </w:r>
      <w:r>
        <w:rPr>
          <w:rFonts w:ascii="Nirmala UI" w:hAnsi="Nirmala UI" w:eastAsia="Nirmala UI" w:cs="Nirmala UI"/>
        </w:rPr>
        <w:t>স্বর্গের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উত্তোলিত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হইত।</w:t>
      </w:r>
    </w:p>
    <w:p>
      <w:pPr>
        <w:pStyle w:val="ArticleBody"/>
        <w:jc w:val="left"/>
      </w:pPr>
      <w:r>
        <w:rPr>
          <w:rFonts w:ascii="Times New Roman" w:hAnsi="Times New Roman" w:eastAsia="Times New Roman" w:cs="Times New Roman"/>
        </w:rPr>
        <w:t>À la Pentecôte, lorsque s’accomplit la typologie des deux pains qui, au fil des années, avaient été offerts lors de la fête de la Pentecôte, les disciples du Christ commencèrent l’œuvre consistant à appeler un autre groupe (le second pain) à sortir du monde des Gentils. Il y aurait alors deux pains, tous deux purifiés du péché (levain).</w:t>
      </w:r>
    </w:p>
    <w:p>
      <w:pPr>
        <w:pStyle w:val="ArticleBody"/>
        <w:jc w:val="left"/>
      </w:pPr>
      <w:r>
        <w:rPr>
          <w:rFonts w:ascii="Times New Roman" w:hAnsi="Times New Roman" w:eastAsia="Times New Roman" w:cs="Times New Roman"/>
        </w:rPr>
        <w:t>Iitheyibhile ezimbini zeMithetho Elishumi zaba ngumqondiso wobudlelane bomnqophiso kaSirayeli wamandulo, yaye izonka ezimbini zokunyuswa zimumela ubudlelane bomnqophiso nebandla lamaKristu okuqala. Ekuqaleni kwembali yerhamncwa lomhlaba, iitheyibhile ezimbini ezingcwele zikaHabakuki zanikelwa njengomqondiso wobudlelane bomnqophiso bukaSirayeli wanamhlanje, uphondo lokwenyaniso lobuProtestanti, kanye njengoko uMgaqo-siseko ongcwele wanikelwa kuphondo lweRiphabhlikhi. INkosi ngoku ibiza ikhulu elinamashumi amane anesine amawaka ukuba lime njengomkhosi onamandla, yaye xa lenjenjalo, liya kuphakanyiswa libe ngumnikelo wokunyuswa (iflegi) njengoko liphoswa ezikweni elitshiswe kasixhenxe ngakumbi.</w:t>
      </w:r>
    </w:p>
    <w:p>
      <w:pPr>
        <w:pStyle w:val="ArticleBody"/>
        <w:jc w:val="left"/>
      </w:pPr>
      <w:r>
        <w:rPr>
          <w:rFonts w:ascii="Times New Roman" w:hAnsi="Times New Roman" w:eastAsia="Times New Roman" w:cs="Times New Roman"/>
        </w:rPr>
        <w:t>Ff nnọchianya ahụ na-anọchi anya iwu nke Iwu Iri ahụ, ọ na-anọchikwa anya ndị na-eje ije n’ọkụ ite-ọkụ ahụ ebe Achịcha dị ndụ nke Eluigwe nọ n’akụkụ ha, nakwa ndị na-akwado ozizi ndị bụ isi e ji mee ihe nnọchianya n’elu mbadamba nsọ abụọ nke Habakkuk. A na-anọchitekwa akara ndị ahụ niile n’ime ndị àmà abụọ nke Mkpughe isi nke iri na otu.</w:t>
      </w:r>
    </w:p>
    <w:p>
      <w:pPr>
        <w:pStyle w:val="ArticleBody"/>
        <w:jc w:val="left"/>
      </w:pPr>
      <w:r>
        <w:rPr>
          <w:rFonts w:ascii="Times New Roman" w:hAnsi="Times New Roman" w:eastAsia="Times New Roman" w:cs="Times New Roman"/>
        </w:rPr>
        <w:t>Le jugement de Belshatsar représente le témoignage porté contre les deux cornes de la bête de la terre. Au temps de ce jugement, il y avait une femme (une Église) qui comprenait que le seul homme dans le royaume capable de reconnaître et d’interpréter l’écriture était Daniel.</w:t>
      </w:r>
    </w:p>
    <w:p>
      <w:pPr>
        <w:pStyle w:val="ArticleScripture"/>
        <w:jc w:val="left"/>
      </w:pPr>
      <w:r>
        <w:rPr>
          <w:rFonts w:ascii="Times New Roman" w:hAnsi="Times New Roman" w:eastAsia="Times New Roman" w:cs="Times New Roman"/>
        </w:rPr>
        <w:t>وكذلك قد سمعتُ عنك أنك تستطيع أن تأتي بالتفاسير وتحلّ المعضلات؛ فالآن إن استطعتَ أن تقرأ الكتابة وتُعرّفني بتفسيرها، تُلبَس الأرجوان، وتُجعل قلادة من ذهب في عنقك، وتكون المتسلّط الثالث في المملكة. حينئذٍ أجاب دانيال وقال قدّام الملك: لتكن عطاياك لنفسك، وهبْ مكافآتك لغيري؛ غير أني سأقرأ الكتابة للملك وأُعرّفه بتفسيرها.</w:t>
      </w:r>
    </w:p>
    <w:p>
      <w:pPr>
        <w:pStyle w:val="ArticleScripture"/>
        <w:jc w:val="left"/>
      </w:pPr>
      <w:r>
        <w:rPr>
          <w:rFonts w:ascii="Times New Roman" w:hAnsi="Times New Roman" w:eastAsia="Times New Roman" w:cs="Times New Roman"/>
        </w:rPr>
        <w:t>Ey ey kongeko, Nzambe Oyo-Aleki-Likolo apesaki Nebukadanesare, tata na yo, bokonzi, monene, nkembo, mpe lokumu. Mpe mpo na monene oyo apesaki ye, bato nyonso, bikólo nyonso, mpe minɔkɔ nyonso, bazalaki kolenga mpe kobanga liboso na ye: moto oyo alingaki, abomaki ye; mpe moto oyo alingaki, abikisaki ye; mpe moto oyo alingaki, atombolaki ye; mpe moto oyo alingaki, akitisaki ye. Kasi tango motema na ye etombwamaki, mpe makanisi na ye ekómaki makasi na lolendo, alongolamaki na kiti na ye ya bokonzi, mpe balongolaki nkembo na ye epai na ye. Mpe abenganamaki longwa na bana ya bato; mpe motema na ye ekómisamaki lokola ya banyama, mpe esika na ye ya kofanda ezalaki elongo na ba-âne ya zamba: bazalaki koleisa ye matiti lokola bangɔmbɛ, mpe nzoto na ye ezalaki kozwa mayi ya mamwɛ ya likoló; kino ayebaki ete Nzambe Oyo-Aleki-Likolo azali koyangela na bokonzi ya bato, mpe ete atyaka likoló na yango moto nyonso oyo alingi.</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বেলশৎসর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জেনেও</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নম্র</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স্বর্গের</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নিজেকে</w:t>
      </w:r>
      <w:r>
        <w:rPr>
          <w:rFonts w:ascii="Times New Roman" w:hAnsi="Times New Roman" w:eastAsia="Times New Roman" w:cs="Times New Roman"/>
        </w:rPr>
        <w:t xml:space="preserve"> </w:t>
      </w:r>
      <w:r>
        <w:rPr>
          <w:rFonts w:ascii="Nirmala UI" w:hAnsi="Nirmala UI" w:eastAsia="Nirmala UI" w:cs="Nirmala UI"/>
        </w:rPr>
        <w:t>উচ্চে</w:t>
      </w:r>
      <w:r>
        <w:rPr>
          <w:rFonts w:ascii="Times New Roman" w:hAnsi="Times New Roman" w:eastAsia="Times New Roman" w:cs="Times New Roman"/>
        </w:rPr>
        <w:t xml:space="preserve"> </w:t>
      </w:r>
      <w:r>
        <w:rPr>
          <w:rFonts w:ascii="Nirmala UI" w:hAnsi="Nirmala UI" w:eastAsia="Nirmala UI" w:cs="Nirmala UI"/>
        </w:rPr>
        <w:t>তুলেছ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গৃহের</w:t>
      </w:r>
      <w:r>
        <w:rPr>
          <w:rFonts w:ascii="Times New Roman" w:hAnsi="Times New Roman" w:eastAsia="Times New Roman" w:cs="Times New Roman"/>
        </w:rPr>
        <w:t xml:space="preserve"> </w:t>
      </w:r>
      <w:r>
        <w:rPr>
          <w:rFonts w:ascii="Nirmala UI" w:hAnsi="Nirmala UI" w:eastAsia="Nirmala UI" w:cs="Nirmala UI"/>
        </w:rPr>
        <w:t>পাত্রসমূহ</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প্রধানগণ</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স্ত্রীগণ</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উপপত্নীগণ</w:t>
      </w:r>
      <w:r>
        <w:rPr>
          <w:rFonts w:ascii="Times New Roman" w:hAnsi="Times New Roman" w:eastAsia="Times New Roman" w:cs="Times New Roman"/>
        </w:rPr>
        <w:t xml:space="preserve"> </w:t>
      </w:r>
      <w:r>
        <w:rPr>
          <w:rFonts w:ascii="Nirmala UI" w:hAnsi="Nirmala UI" w:eastAsia="Nirmala UI" w:cs="Nirmala UI"/>
        </w:rPr>
        <w:t>তাতে</w:t>
      </w:r>
      <w:r>
        <w:rPr>
          <w:rFonts w:ascii="Times New Roman" w:hAnsi="Times New Roman" w:eastAsia="Times New Roman" w:cs="Times New Roman"/>
        </w:rPr>
        <w:t xml:space="preserve"> </w:t>
      </w:r>
      <w:r>
        <w:rPr>
          <w:rFonts w:ascii="Nirmala UI" w:hAnsi="Nirmala UI" w:eastAsia="Nirmala UI" w:cs="Nirmala UI"/>
        </w:rPr>
        <w:t>দ্রাক্ষারস</w:t>
      </w:r>
      <w:r>
        <w:rPr>
          <w:rFonts w:ascii="Times New Roman" w:hAnsi="Times New Roman" w:eastAsia="Times New Roman" w:cs="Times New Roman"/>
        </w:rPr>
        <w:t xml:space="preserve"> </w:t>
      </w:r>
      <w:r>
        <w:rPr>
          <w:rFonts w:ascii="Nirmala UI" w:hAnsi="Nirmala UI" w:eastAsia="Nirmala UI" w:cs="Nirmala UI"/>
        </w:rPr>
        <w:t>পান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রৌপ্য</w:t>
      </w:r>
      <w:r>
        <w:rPr>
          <w:rFonts w:ascii="Times New Roman" w:hAnsi="Times New Roman" w:eastAsia="Times New Roman" w:cs="Times New Roman"/>
        </w:rPr>
        <w:t xml:space="preserve">, </w:t>
      </w:r>
      <w:r>
        <w:rPr>
          <w:rFonts w:ascii="Nirmala UI" w:hAnsi="Nirmala UI" w:eastAsia="Nirmala UI" w:cs="Nirmala UI"/>
        </w:rPr>
        <w:t>সোনা</w:t>
      </w:r>
      <w:r>
        <w:rPr>
          <w:rFonts w:ascii="Times New Roman" w:hAnsi="Times New Roman" w:eastAsia="Times New Roman" w:cs="Times New Roman"/>
        </w:rPr>
        <w:t xml:space="preserve">, </w:t>
      </w:r>
      <w:r>
        <w:rPr>
          <w:rFonts w:ascii="Nirmala UI" w:hAnsi="Nirmala UI" w:eastAsia="Nirmala UI" w:cs="Nirmala UI"/>
        </w:rPr>
        <w:t>পিতল</w:t>
      </w:r>
      <w:r>
        <w:rPr>
          <w:rFonts w:ascii="Times New Roman" w:hAnsi="Times New Roman" w:eastAsia="Times New Roman" w:cs="Times New Roman"/>
        </w:rPr>
        <w:t xml:space="preserve">, </w:t>
      </w:r>
      <w:r>
        <w:rPr>
          <w:rFonts w:ascii="Nirmala UI" w:hAnsi="Nirmala UI" w:eastAsia="Nirmala UI" w:cs="Nirmala UI"/>
        </w:rPr>
        <w:t>লোহা</w:t>
      </w:r>
      <w:r>
        <w:rPr>
          <w:rFonts w:ascii="Times New Roman" w:hAnsi="Times New Roman" w:eastAsia="Times New Roman" w:cs="Times New Roman"/>
        </w:rPr>
        <w:t xml:space="preserve">, </w:t>
      </w:r>
      <w:r>
        <w:rPr>
          <w:rFonts w:ascii="Nirmala UI" w:hAnsi="Nirmala UI" w:eastAsia="Nirmala UI" w:cs="Nirmala UI"/>
        </w:rPr>
        <w:t>কাঠ</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পাথরের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দেবতাদের</w:t>
      </w:r>
      <w:r>
        <w:rPr>
          <w:rFonts w:ascii="Times New Roman" w:hAnsi="Times New Roman" w:eastAsia="Times New Roman" w:cs="Times New Roman"/>
        </w:rPr>
        <w:t xml:space="preserve"> </w:t>
      </w:r>
      <w:r>
        <w:rPr>
          <w:rFonts w:ascii="Nirmala UI" w:hAnsi="Nirmala UI" w:eastAsia="Nirmala UI" w:cs="Nirmala UI"/>
        </w:rPr>
        <w:t>প্রশংসা</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জানেও</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প্রাণশ্বাস</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অধীনে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মহিমান্বিত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তখনই</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হাতের</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প্রেরিত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লেখাটি</w:t>
      </w:r>
      <w:r>
        <w:rPr>
          <w:rFonts w:ascii="Times New Roman" w:hAnsi="Times New Roman" w:eastAsia="Times New Roman" w:cs="Times New Roman"/>
        </w:rPr>
        <w:t xml:space="preserve"> </w:t>
      </w:r>
      <w:r>
        <w:rPr>
          <w:rFonts w:ascii="Nirmala UI" w:hAnsi="Nirmala UI" w:eastAsia="Nirmala UI" w:cs="Nirmala UI"/>
        </w:rPr>
        <w:t>লেখা</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লেখা</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লেখা</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তেকেল</w:t>
      </w:r>
      <w:r>
        <w:rPr>
          <w:rFonts w:ascii="Times New Roman" w:hAnsi="Times New Roman" w:eastAsia="Times New Roman" w:cs="Times New Roman"/>
        </w:rPr>
        <w:t xml:space="preserve">, </w:t>
      </w:r>
      <w:r>
        <w:rPr>
          <w:rFonts w:ascii="Nirmala UI" w:hAnsi="Nirmala UI" w:eastAsia="Nirmala UI" w:cs="Nirmala UI"/>
        </w:rPr>
        <w:t>উপারসীন।</w:t>
      </w:r>
      <w:r>
        <w:rPr>
          <w:rFonts w:ascii="Times New Roman" w:hAnsi="Times New Roman" w:eastAsia="Times New Roman" w:cs="Times New Roman"/>
        </w:rPr>
        <w:t xml:space="preserve"> </w:t>
      </w:r>
      <w:r>
        <w:rPr>
          <w:rFonts w:ascii="Nirmala UI" w:hAnsi="Nirmala UI" w:eastAsia="Nirmala UI" w:cs="Nirmala UI"/>
        </w:rPr>
        <w:t>বিষয়টির</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গণনা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ঘটিয়েছেন।</w:t>
      </w:r>
      <w:r>
        <w:rPr>
          <w:rFonts w:ascii="Times New Roman" w:hAnsi="Times New Roman" w:eastAsia="Times New Roman" w:cs="Times New Roman"/>
        </w:rPr>
        <w:t xml:space="preserve"> </w:t>
      </w:r>
      <w:r>
        <w:rPr>
          <w:rFonts w:ascii="Nirmala UI" w:hAnsi="Nirmala UI" w:eastAsia="Nirmala UI" w:cs="Nirmala UI"/>
        </w:rPr>
        <w:t>তেকেল</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দাঁড়িপাল্লায়</w:t>
      </w:r>
      <w:r>
        <w:rPr>
          <w:rFonts w:ascii="Times New Roman" w:hAnsi="Times New Roman" w:eastAsia="Times New Roman" w:cs="Times New Roman"/>
        </w:rPr>
        <w:t xml:space="preserve"> </w:t>
      </w:r>
      <w:r>
        <w:rPr>
          <w:rFonts w:ascii="Nirmala UI" w:hAnsi="Nirmala UI" w:eastAsia="Nirmala UI" w:cs="Nirmala UI"/>
        </w:rPr>
        <w:t>ওজন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অপূর্ণ</w:t>
      </w:r>
      <w:r>
        <w:rPr>
          <w:rFonts w:ascii="Times New Roman" w:hAnsi="Times New Roman" w:eastAsia="Times New Roman" w:cs="Times New Roman"/>
        </w:rPr>
        <w:t xml:space="preserve"> </w:t>
      </w:r>
      <w:r>
        <w:rPr>
          <w:rFonts w:ascii="Nirmala UI" w:hAnsi="Nirmala UI" w:eastAsia="Nirmala UI" w:cs="Nirmala UI"/>
        </w:rPr>
        <w:t>পাওয়া</w:t>
      </w:r>
      <w:r>
        <w:rPr>
          <w:rFonts w:ascii="Times New Roman" w:hAnsi="Times New Roman" w:eastAsia="Times New Roman" w:cs="Times New Roman"/>
        </w:rPr>
        <w:t xml:space="preserve"> </w:t>
      </w:r>
      <w:r>
        <w:rPr>
          <w:rFonts w:ascii="Nirmala UI" w:hAnsi="Nirmala UI" w:eastAsia="Nirmala UI" w:cs="Nirmala UI"/>
        </w:rPr>
        <w:t>গেছে।</w:t>
      </w:r>
      <w:r>
        <w:rPr>
          <w:rFonts w:ascii="Times New Roman" w:hAnsi="Times New Roman" w:eastAsia="Times New Roman" w:cs="Times New Roman"/>
        </w:rPr>
        <w:t xml:space="preserve"> </w:t>
      </w:r>
      <w:r>
        <w:rPr>
          <w:rFonts w:ascii="Nirmala UI" w:hAnsi="Nirmala UI" w:eastAsia="Nirmala UI" w:cs="Nirmala UI"/>
        </w:rPr>
        <w:t>পেরেস</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বিভক্ত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মাদীয়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পারসীয়দের</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w:t>
      </w:r>
    </w:p>
    <w:p>
      <w:pPr>
        <w:pStyle w:val="ArticleScripture"/>
        <w:jc w:val="left"/>
      </w:pPr>
      <w:r>
        <w:rPr>
          <w:rFonts w:ascii="Times New Roman" w:hAnsi="Times New Roman" w:eastAsia="Times New Roman" w:cs="Times New Roman"/>
        </w:rPr>
        <w:t>Na Belshaza akaamuru, naye wakamvika Danieli nguo za zambarau, wakamvika mkufu wa dhahabu shingoni mwake, na kutangazwa habari zake kwamba atakuwa mtawala wa tatu katika ufalme. Usiku huo Belshaza, mfalme wa Wakaldayo, akauawa. Naye Dario, Mmedi, akautwaa ufalme, akiwa amepata umri wa yapata miaka sitini na miwili. Danieli 5:16–31.</w:t>
      </w:r>
    </w:p>
    <w:p>
      <w:pPr>
        <w:pStyle w:val="ArticleBody"/>
        <w:jc w:val="left"/>
      </w:pPr>
      <w:r>
        <w:rPr>
          <w:rFonts w:ascii="Times New Roman" w:hAnsi="Times New Roman" w:eastAsia="Times New Roman" w:cs="Times New Roman"/>
        </w:rPr>
        <w:t>Sa pagpatuman han balaud han Domingo ha Estados Unidos, mapupuno na an kopa han karat-an ngan an kopa han panahon han pagsulay, para ha nasud ngan para han apostatang Republikano nga sungay ngan han apostatang Protestante nga sungay; kay an Dios magbubuhat na nga iya “gin-ihap” (an ikaunom) nga “ginhadian, ngan gintapos na ini.” An duha nga sungay, ngan an nasud, mahihimo na nga “gintimbang ha timbangan” (han paghukom nga nagaganap ha santuaryo) “ngan nakita nga kulang.” An Estados Unidos uston mahihimo nga “binahin,” samtang magsusunod an girra sibil ngan an despotismo, ngan katapos ihahatag ini ngadto han ikapito ngan ikawalo nga mga ginhadian han tagna han Biblia.</w:t>
      </w:r>
    </w:p>
    <w:p>
      <w:pPr>
        <w:pStyle w:val="ArticleScripture"/>
        <w:jc w:val="left"/>
      </w:pPr>
      <w:r>
        <w:rPr>
          <w:rFonts w:ascii="Nirmala UI" w:hAnsi="Nirmala UI" w:eastAsia="Nirmala UI" w:cs="Nirmala UI"/>
        </w:rPr>
        <w:t>அமோரியரைப்பற்றி</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கூறியது</w:t>
      </w:r>
      <w:r>
        <w:rPr>
          <w:rFonts w:ascii="Times New Roman" w:hAnsi="Times New Roman" w:eastAsia="Times New Roman" w:cs="Times New Roman"/>
        </w:rPr>
        <w:t>: “</w:t>
      </w:r>
      <w:r>
        <w:rPr>
          <w:rFonts w:ascii="Nirmala UI" w:hAnsi="Nirmala UI" w:eastAsia="Nirmala UI" w:cs="Nirmala UI"/>
        </w:rPr>
        <w:t>நான்காம்</w:t>
      </w:r>
      <w:r>
        <w:rPr>
          <w:rFonts w:ascii="Times New Roman" w:hAnsi="Times New Roman" w:eastAsia="Times New Roman" w:cs="Times New Roman"/>
        </w:rPr>
        <w:t xml:space="preserve"> </w:t>
      </w:r>
      <w:r>
        <w:rPr>
          <w:rFonts w:ascii="Nirmala UI" w:hAnsi="Nirmala UI" w:eastAsia="Nirmala UI" w:cs="Nirmala UI"/>
        </w:rPr>
        <w:t>தலைமுறையில்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இங்கே</w:t>
      </w:r>
      <w:r>
        <w:rPr>
          <w:rFonts w:ascii="Times New Roman" w:hAnsi="Times New Roman" w:eastAsia="Times New Roman" w:cs="Times New Roman"/>
        </w:rPr>
        <w:t xml:space="preserve"> </w:t>
      </w:r>
      <w:r>
        <w:rPr>
          <w:rFonts w:ascii="Nirmala UI" w:hAnsi="Nirmala UI" w:eastAsia="Nirmala UI" w:cs="Nirmala UI"/>
        </w:rPr>
        <w:t>வருவார்கள்</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அமோரியரின்</w:t>
      </w:r>
      <w:r>
        <w:rPr>
          <w:rFonts w:ascii="Times New Roman" w:hAnsi="Times New Roman" w:eastAsia="Times New Roman" w:cs="Times New Roman"/>
        </w:rPr>
        <w:t xml:space="preserve"> </w:t>
      </w:r>
      <w:r>
        <w:rPr>
          <w:rFonts w:ascii="Nirmala UI" w:hAnsi="Nirmala UI" w:eastAsia="Nirmala UI" w:cs="Nirmala UI"/>
        </w:rPr>
        <w:t>அக்கிரமம்</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நிறைவடைந்ததில்லை</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ஜனங்கள்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விக்கிரகாராதனையினாலும்</w:t>
      </w:r>
      <w:r>
        <w:rPr>
          <w:rFonts w:ascii="Times New Roman" w:hAnsi="Times New Roman" w:eastAsia="Times New Roman" w:cs="Times New Roman"/>
        </w:rPr>
        <w:t xml:space="preserve"> </w:t>
      </w:r>
      <w:r>
        <w:rPr>
          <w:rFonts w:ascii="Nirmala UI" w:hAnsi="Nirmala UI" w:eastAsia="Nirmala UI" w:cs="Nirmala UI"/>
        </w:rPr>
        <w:t>கெடுபிடிகளினாலும்</w:t>
      </w:r>
      <w:r>
        <w:rPr>
          <w:rFonts w:ascii="Times New Roman" w:hAnsi="Times New Roman" w:eastAsia="Times New Roman" w:cs="Times New Roman"/>
        </w:rPr>
        <w:t xml:space="preserve"> </w:t>
      </w:r>
      <w:r>
        <w:rPr>
          <w:rFonts w:ascii="Nirmala UI" w:hAnsi="Nirmala UI" w:eastAsia="Nirmala UI" w:cs="Nirmala UI"/>
        </w:rPr>
        <w:t>வெளிப்படையாகப்</w:t>
      </w:r>
      <w:r>
        <w:rPr>
          <w:rFonts w:ascii="Times New Roman" w:hAnsi="Times New Roman" w:eastAsia="Times New Roman" w:cs="Times New Roman"/>
        </w:rPr>
        <w:t xml:space="preserve"> </w:t>
      </w:r>
      <w:r>
        <w:rPr>
          <w:rFonts w:ascii="Nirmala UI" w:hAnsi="Nirmala UI" w:eastAsia="Nirmala UI" w:cs="Nirmala UI"/>
        </w:rPr>
        <w:t>பிரசித்திபெற்றிருந்தபோதிலும்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அக்கிரமத்தின்</w:t>
      </w:r>
      <w:r>
        <w:rPr>
          <w:rFonts w:ascii="Times New Roman" w:hAnsi="Times New Roman" w:eastAsia="Times New Roman" w:cs="Times New Roman"/>
        </w:rPr>
        <w:t xml:space="preserve"> </w:t>
      </w:r>
      <w:r>
        <w:rPr>
          <w:rFonts w:ascii="Nirmala UI" w:hAnsi="Nirmala UI" w:eastAsia="Nirmala UI" w:cs="Nirmala UI"/>
        </w:rPr>
        <w:t>கிண்ணத்தை</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நிரப்பி</w:t>
      </w:r>
      <w:r>
        <w:rPr>
          <w:rFonts w:ascii="Times New Roman" w:hAnsi="Times New Roman" w:eastAsia="Times New Roman" w:cs="Times New Roman"/>
        </w:rPr>
        <w:t xml:space="preserve"> </w:t>
      </w:r>
      <w:r>
        <w:rPr>
          <w:rFonts w:ascii="Nirmala UI" w:hAnsi="Nirmala UI" w:eastAsia="Nirmala UI" w:cs="Nirmala UI"/>
        </w:rPr>
        <w:t>முடிக்கவில்லை</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முற்றிலும்</w:t>
      </w:r>
      <w:r>
        <w:rPr>
          <w:rFonts w:ascii="Times New Roman" w:hAnsi="Times New Roman" w:eastAsia="Times New Roman" w:cs="Times New Roman"/>
        </w:rPr>
        <w:t xml:space="preserve"> </w:t>
      </w:r>
      <w:r>
        <w:rPr>
          <w:rFonts w:ascii="Nirmala UI" w:hAnsi="Nirmala UI" w:eastAsia="Nirmala UI" w:cs="Nirmala UI"/>
        </w:rPr>
        <w:t>அழிக்கும்படி</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கட்டளையிடவில்லை</w:t>
      </w:r>
      <w:r>
        <w:rPr>
          <w:rFonts w:ascii="Times New Roman" w:hAnsi="Times New Roman" w:eastAsia="Times New Roman" w:cs="Times New Roman"/>
        </w:rPr>
        <w:t xml:space="preserve">. </w:t>
      </w:r>
      <w:r>
        <w:rPr>
          <w:rFonts w:ascii="Nirmala UI" w:hAnsi="Nirmala UI" w:eastAsia="Nirmala UI" w:cs="Nirmala UI"/>
        </w:rPr>
        <w:t>தெய்வீக</w:t>
      </w:r>
      <w:r>
        <w:rPr>
          <w:rFonts w:ascii="Times New Roman" w:hAnsi="Times New Roman" w:eastAsia="Times New Roman" w:cs="Times New Roman"/>
        </w:rPr>
        <w:t xml:space="preserve"> </w:t>
      </w:r>
      <w:r>
        <w:rPr>
          <w:rFonts w:ascii="Nirmala UI" w:hAnsi="Nirmala UI" w:eastAsia="Nirmala UI" w:cs="Nirmala UI"/>
        </w:rPr>
        <w:t>வல்லமை</w:t>
      </w:r>
      <w:r>
        <w:rPr>
          <w:rFonts w:ascii="Times New Roman" w:hAnsi="Times New Roman" w:eastAsia="Times New Roman" w:cs="Times New Roman"/>
        </w:rPr>
        <w:t xml:space="preserve"> </w:t>
      </w:r>
      <w:r>
        <w:rPr>
          <w:rFonts w:ascii="Nirmala UI" w:hAnsi="Nirmala UI" w:eastAsia="Nirmala UI" w:cs="Nirmala UI"/>
        </w:rPr>
        <w:t>குறிப்பிடத்தக்க</w:t>
      </w:r>
      <w:r>
        <w:rPr>
          <w:rFonts w:ascii="Times New Roman" w:hAnsi="Times New Roman" w:eastAsia="Times New Roman" w:cs="Times New Roman"/>
        </w:rPr>
        <w:t xml:space="preserve"> </w:t>
      </w:r>
      <w:r>
        <w:rPr>
          <w:rFonts w:ascii="Nirmala UI" w:hAnsi="Nirmala UI" w:eastAsia="Nirmala UI" w:cs="Nirmala UI"/>
        </w:rPr>
        <w:t>விதத்தில்</w:t>
      </w:r>
      <w:r>
        <w:rPr>
          <w:rFonts w:ascii="Times New Roman" w:hAnsi="Times New Roman" w:eastAsia="Times New Roman" w:cs="Times New Roman"/>
        </w:rPr>
        <w:t xml:space="preserve"> </w:t>
      </w:r>
      <w:r>
        <w:rPr>
          <w:rFonts w:ascii="Nirmala UI" w:hAnsi="Nirmala UI" w:eastAsia="Nirmala UI" w:cs="Nirmala UI"/>
        </w:rPr>
        <w:t>வெளிப்படுத்தப்படுவதை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மக்கள்</w:t>
      </w:r>
      <w:r>
        <w:rPr>
          <w:rFonts w:ascii="Times New Roman" w:hAnsi="Times New Roman" w:eastAsia="Times New Roman" w:cs="Times New Roman"/>
        </w:rPr>
        <w:t xml:space="preserve"> </w:t>
      </w:r>
      <w:r>
        <w:rPr>
          <w:rFonts w:ascii="Nirmala UI" w:hAnsi="Nirmala UI" w:eastAsia="Nirmala UI" w:cs="Nirmala UI"/>
        </w:rPr>
        <w:t>காணவேண்டியது</w:t>
      </w:r>
      <w:r>
        <w:rPr>
          <w:rFonts w:ascii="Times New Roman" w:hAnsi="Times New Roman" w:eastAsia="Times New Roman" w:cs="Times New Roman"/>
        </w:rPr>
        <w:t xml:space="preserve">; </w:t>
      </w:r>
      <w:r>
        <w:rPr>
          <w:rFonts w:ascii="Nirmala UI" w:hAnsi="Nirmala UI" w:eastAsia="Nirmala UI" w:cs="Nirmala UI"/>
        </w:rPr>
        <w:t>அதனால்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எந்தவித</w:t>
      </w:r>
      <w:r>
        <w:rPr>
          <w:rFonts w:ascii="Times New Roman" w:hAnsi="Times New Roman" w:eastAsia="Times New Roman" w:cs="Times New Roman"/>
        </w:rPr>
        <w:t xml:space="preserve"> </w:t>
      </w:r>
      <w:r>
        <w:rPr>
          <w:rFonts w:ascii="Nirmala UI" w:hAnsi="Nirmala UI" w:eastAsia="Nirmala UI" w:cs="Nirmala UI"/>
        </w:rPr>
        <w:t>சாக்கும்</w:t>
      </w:r>
      <w:r>
        <w:rPr>
          <w:rFonts w:ascii="Times New Roman" w:hAnsi="Times New Roman" w:eastAsia="Times New Roman" w:cs="Times New Roman"/>
        </w:rPr>
        <w:t xml:space="preserve"> </w:t>
      </w:r>
      <w:r>
        <w:rPr>
          <w:rFonts w:ascii="Nirmala UI" w:hAnsi="Nirmala UI" w:eastAsia="Nirmala UI" w:cs="Nirmala UI"/>
        </w:rPr>
        <w:t>இல்லாதவர்களாயிருப்பார்கள்</w:t>
      </w:r>
      <w:r>
        <w:rPr>
          <w:rFonts w:ascii="Times New Roman" w:hAnsi="Times New Roman" w:eastAsia="Times New Roman" w:cs="Times New Roman"/>
        </w:rPr>
        <w:t xml:space="preserve">. </w:t>
      </w:r>
      <w:r>
        <w:rPr>
          <w:rFonts w:ascii="Nirmala UI" w:hAnsi="Nirmala UI" w:eastAsia="Nirmala UI" w:cs="Nirmala UI"/>
        </w:rPr>
        <w:t>இரக்கமுள்ள</w:t>
      </w:r>
      <w:r>
        <w:rPr>
          <w:rFonts w:ascii="Times New Roman" w:hAnsi="Times New Roman" w:eastAsia="Times New Roman" w:cs="Times New Roman"/>
        </w:rPr>
        <w:t xml:space="preserve"> </w:t>
      </w:r>
      <w:r>
        <w:rPr>
          <w:rFonts w:ascii="Nirmala UI" w:hAnsi="Nirmala UI" w:eastAsia="Nirmala UI" w:cs="Nirmala UI"/>
        </w:rPr>
        <w:t>ஸிருஷ்டிகர்த்தா</w:t>
      </w:r>
      <w:r>
        <w:rPr>
          <w:rFonts w:ascii="Times New Roman" w:hAnsi="Times New Roman" w:eastAsia="Times New Roman" w:cs="Times New Roman"/>
        </w:rPr>
        <w:t xml:space="preserve">, </w:t>
      </w:r>
      <w:r>
        <w:rPr>
          <w:rFonts w:ascii="Nirmala UI" w:hAnsi="Nirmala UI" w:eastAsia="Nirmala UI" w:cs="Nirmala UI"/>
        </w:rPr>
        <w:t>நான்காம்</w:t>
      </w:r>
      <w:r>
        <w:rPr>
          <w:rFonts w:ascii="Times New Roman" w:hAnsi="Times New Roman" w:eastAsia="Times New Roman" w:cs="Times New Roman"/>
        </w:rPr>
        <w:t xml:space="preserve"> </w:t>
      </w:r>
      <w:r>
        <w:rPr>
          <w:rFonts w:ascii="Nirmala UI" w:hAnsi="Nirmala UI" w:eastAsia="Nirmala UI" w:cs="Nirmala UI"/>
        </w:rPr>
        <w:t>தலைமுறைவரை</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அக்கிரமத்தைச்</w:t>
      </w:r>
      <w:r>
        <w:rPr>
          <w:rFonts w:ascii="Times New Roman" w:hAnsi="Times New Roman" w:eastAsia="Times New Roman" w:cs="Times New Roman"/>
        </w:rPr>
        <w:t xml:space="preserve"> </w:t>
      </w:r>
      <w:r>
        <w:rPr>
          <w:rFonts w:ascii="Nirmala UI" w:hAnsi="Nirmala UI" w:eastAsia="Nirmala UI" w:cs="Nirmala UI"/>
        </w:rPr>
        <w:t>சகித்துக்கொள்ள</w:t>
      </w:r>
      <w:r>
        <w:rPr>
          <w:rFonts w:ascii="Times New Roman" w:hAnsi="Times New Roman" w:eastAsia="Times New Roman" w:cs="Times New Roman"/>
        </w:rPr>
        <w:t xml:space="preserve"> </w:t>
      </w:r>
      <w:r>
        <w:rPr>
          <w:rFonts w:ascii="Nirmala UI" w:hAnsi="Nirmala UI" w:eastAsia="Nirmala UI" w:cs="Nirmala UI"/>
        </w:rPr>
        <w:t>மனமாயிருந்தார்</w:t>
      </w:r>
      <w:r>
        <w:rPr>
          <w:rFonts w:ascii="Times New Roman" w:hAnsi="Times New Roman" w:eastAsia="Times New Roman" w:cs="Times New Roman"/>
        </w:rPr>
        <w:t xml:space="preserve">. </w:t>
      </w:r>
      <w:r>
        <w:rPr>
          <w:rFonts w:ascii="Nirmala UI" w:hAnsi="Nirmala UI" w:eastAsia="Nirmala UI" w:cs="Nirmala UI"/>
        </w:rPr>
        <w:t>பின்னரும்</w:t>
      </w:r>
      <w:r>
        <w:rPr>
          <w:rFonts w:ascii="Times New Roman" w:hAnsi="Times New Roman" w:eastAsia="Times New Roman" w:cs="Times New Roman"/>
        </w:rPr>
        <w:t xml:space="preserve"> </w:t>
      </w:r>
      <w:r>
        <w:rPr>
          <w:rFonts w:ascii="Nirmala UI" w:hAnsi="Nirmala UI" w:eastAsia="Nirmala UI" w:cs="Nirmala UI"/>
        </w:rPr>
        <w:t>நன்மைக்கான</w:t>
      </w:r>
      <w:r>
        <w:rPr>
          <w:rFonts w:ascii="Times New Roman" w:hAnsi="Times New Roman" w:eastAsia="Times New Roman" w:cs="Times New Roman"/>
        </w:rPr>
        <w:t xml:space="preserve"> </w:t>
      </w:r>
      <w:r>
        <w:rPr>
          <w:rFonts w:ascii="Nirmala UI" w:hAnsi="Nirmala UI" w:eastAsia="Nirmala UI" w:cs="Nirmala UI"/>
        </w:rPr>
        <w:t>எந்த</w:t>
      </w:r>
      <w:r>
        <w:rPr>
          <w:rFonts w:ascii="Times New Roman" w:hAnsi="Times New Roman" w:eastAsia="Times New Roman" w:cs="Times New Roman"/>
        </w:rPr>
        <w:t xml:space="preserve"> </w:t>
      </w:r>
      <w:r>
        <w:rPr>
          <w:rFonts w:ascii="Nirmala UI" w:hAnsi="Nirmala UI" w:eastAsia="Nirmala UI" w:cs="Nirmala UI"/>
        </w:rPr>
        <w:t>மாற்றமும்</w:t>
      </w:r>
      <w:r>
        <w:rPr>
          <w:rFonts w:ascii="Times New Roman" w:hAnsi="Times New Roman" w:eastAsia="Times New Roman" w:cs="Times New Roman"/>
        </w:rPr>
        <w:t xml:space="preserve"> </w:t>
      </w:r>
      <w:r>
        <w:rPr>
          <w:rFonts w:ascii="Nirmala UI" w:hAnsi="Nirmala UI" w:eastAsia="Nirmala UI" w:cs="Nirmala UI"/>
        </w:rPr>
        <w:t>காணப்படாவிட்டால்</w:t>
      </w:r>
      <w:r>
        <w:rPr>
          <w:rFonts w:ascii="Times New Roman" w:hAnsi="Times New Roman" w:eastAsia="Times New Roman" w:cs="Times New Roman"/>
        </w:rPr>
        <w:t xml:space="preserve">, </w:t>
      </w:r>
      <w:r>
        <w:rPr>
          <w:rFonts w:ascii="Nirmala UI" w:hAnsi="Nirmala UI" w:eastAsia="Nirmala UI" w:cs="Nirmala UI"/>
        </w:rPr>
        <w:t>அவர்கள்மேல்</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நியாயத்தீர்ப்புகள்</w:t>
      </w:r>
      <w:r>
        <w:rPr>
          <w:rFonts w:ascii="Times New Roman" w:hAnsi="Times New Roman" w:eastAsia="Times New Roman" w:cs="Times New Roman"/>
        </w:rPr>
        <w:t xml:space="preserve"> </w:t>
      </w:r>
      <w:r>
        <w:rPr>
          <w:rFonts w:ascii="Nirmala UI" w:hAnsi="Nirmala UI" w:eastAsia="Nirmala UI" w:cs="Nirmala UI"/>
        </w:rPr>
        <w:t>விழவேண்டியிருந்தது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Avec une exactitude infaillible, l’Infini tient encore compte de toutes les nations. Tandis que sa miséricorde est offerte par des appels à la repentance, ce compte demeurera ouvert ; mais lorsque les chiffres atteindront un certain montant que Dieu a fixé, le ministère de sa colère commencera. Le compte sera clos. La patience divine cessera. Il n’y aura plus de supplication de miséricorde en leur faveur. »</w:t>
      </w:r>
    </w:p>
    <w:p>
      <w:pPr>
        <w:pStyle w:val="ArticleScripture"/>
        <w:jc w:val="left"/>
      </w:pPr>
      <w:r>
        <w:rPr>
          <w:rFonts w:ascii="Times New Roman" w:hAnsi="Times New Roman" w:eastAsia="Times New Roman" w:cs="Times New Roman"/>
        </w:rPr>
        <w:t>«Пророк, прозирая сквозь века, видел это время, представленное его взору. Народы этого века были получателями беспримерных милостей. Им были дарованы избраннейшие из небесных благословений, но против них записаны возросшие гордость, корыстолюбие, идолопоклонство, презрение к Богу и низкая неблагодарность. Они быстро завершают свой счёт с Богом. »</w:t>
      </w:r>
    </w:p>
    <w:p>
      <w:pPr>
        <w:pStyle w:val="ArticleScripture"/>
        <w:jc w:val="left"/>
      </w:pPr>
      <w:r>
        <w:rPr>
          <w:rFonts w:ascii="Times New Roman" w:hAnsi="Times New Roman" w:eastAsia="Times New Roman" w:cs="Times New Roman"/>
        </w:rPr>
        <w:t>«Але те, що примушує мене тремтіти, — це той факт, що ті, хто мав найбільше світла й привілеїв, стали оскверненими панівним беззаконням. Під впливом неправедних, які їх оточують, багато хто, навіть із тих, що сповідують істину, охололи й піддалися могутній течії зла. Загальна зневага, яку виявляють до справжнього благочестя та святості, приводить тих, хто не перебуває в тісному єднанні з Богом, до втрати шани до Його Закону. Якби вони йшли за світлом і корилися істині від серця, то цей святий Закон здавався б їм іще дорожчим саме тоді, коли ним так нехтують і відкидають його. Чим очевиднішою стає неповага до Божого Закону, тим виразнішою стає межа розмежування між тими, хто його дотримується, і світом. Любов до божественних приписів зростає в одного класу настільки, наскільки в іншого класу зростає зневага до них. »</w:t>
      </w:r>
    </w:p>
    <w:p>
      <w:pPr>
        <w:pStyle w:val="ArticleScripture"/>
        <w:jc w:val="left"/>
      </w:pPr>
      <w:r>
        <w:rPr>
          <w:rFonts w:ascii="Times New Roman" w:hAnsi="Times New Roman" w:eastAsia="Times New Roman" w:cs="Times New Roman"/>
        </w:rPr>
        <w:t>“</w:t>
      </w:r>
      <w:r>
        <w:rPr>
          <w:rFonts w:ascii="Nirmala UI" w:hAnsi="Nirmala UI" w:eastAsia="Nirmala UI" w:cs="Nirmala UI"/>
        </w:rPr>
        <w:t>क्राइसिस</w:t>
      </w:r>
      <w:r>
        <w:rPr>
          <w:rFonts w:ascii="Times New Roman" w:hAnsi="Times New Roman" w:eastAsia="Times New Roman" w:cs="Times New Roman"/>
        </w:rPr>
        <w:t xml:space="preserve"> </w:t>
      </w:r>
      <w:r>
        <w:rPr>
          <w:rFonts w:ascii="Nirmala UI" w:hAnsi="Nirmala UI" w:eastAsia="Nirmala UI" w:cs="Nirmala UI"/>
        </w:rPr>
        <w:t>चट्दो</w:t>
      </w:r>
      <w:r>
        <w:rPr>
          <w:rFonts w:ascii="Times New Roman" w:hAnsi="Times New Roman" w:eastAsia="Times New Roman" w:cs="Times New Roman"/>
        </w:rPr>
        <w:t xml:space="preserve"> </w:t>
      </w:r>
      <w:r>
        <w:rPr>
          <w:rFonts w:ascii="Nirmala UI" w:hAnsi="Nirmala UI" w:eastAsia="Nirmala UI" w:cs="Nirmala UI"/>
        </w:rPr>
        <w:t>ओंदा</w:t>
      </w:r>
      <w:r>
        <w:rPr>
          <w:rFonts w:ascii="Times New Roman" w:hAnsi="Times New Roman" w:eastAsia="Times New Roman" w:cs="Times New Roman"/>
        </w:rPr>
        <w:t xml:space="preserve"> </w:t>
      </w:r>
      <w:r>
        <w:rPr>
          <w:rFonts w:ascii="Nirmala UI" w:hAnsi="Nirmala UI" w:eastAsia="Nirmala UI" w:cs="Nirmala UI"/>
        </w:rPr>
        <w:t>नेड़े</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तेजी</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फुल्दे</w:t>
      </w:r>
      <w:r>
        <w:rPr>
          <w:rFonts w:ascii="Times New Roman" w:hAnsi="Times New Roman" w:eastAsia="Times New Roman" w:cs="Times New Roman"/>
        </w:rPr>
        <w:t xml:space="preserve"> </w:t>
      </w:r>
      <w:r>
        <w:rPr>
          <w:rFonts w:ascii="Nirmala UI" w:hAnsi="Nirmala UI" w:eastAsia="Nirmala UI" w:cs="Nirmala UI"/>
        </w:rPr>
        <w:t>आंकड़े</w:t>
      </w:r>
      <w:r>
        <w:rPr>
          <w:rFonts w:ascii="Times New Roman" w:hAnsi="Times New Roman" w:eastAsia="Times New Roman" w:cs="Times New Roman"/>
        </w:rPr>
        <w:t xml:space="preserve"> </w:t>
      </w:r>
      <w:r>
        <w:rPr>
          <w:rFonts w:ascii="Nirmala UI" w:hAnsi="Nirmala UI" w:eastAsia="Nirmala UI" w:cs="Nirmala UI"/>
        </w:rPr>
        <w:t>दस्सदे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मुलाकाती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बख्त</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आई</w:t>
      </w:r>
      <w:r>
        <w:rPr>
          <w:rFonts w:ascii="Times New Roman" w:hAnsi="Times New Roman" w:eastAsia="Times New Roman" w:cs="Times New Roman"/>
        </w:rPr>
        <w:t xml:space="preserve"> </w:t>
      </w:r>
      <w:r>
        <w:rPr>
          <w:rFonts w:ascii="Nirmala UI" w:hAnsi="Nirmala UI" w:eastAsia="Nirmala UI" w:cs="Nirmala UI"/>
        </w:rPr>
        <w:t>गेआ</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भलेई</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सजा</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हिचकिचांदा</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सजा</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छेती।</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उजाले</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चलदे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नेड़े</w:t>
      </w:r>
      <w:r>
        <w:rPr>
          <w:rFonts w:ascii="Times New Roman" w:hAnsi="Times New Roman" w:eastAsia="Times New Roman" w:cs="Times New Roman"/>
        </w:rPr>
        <w:t xml:space="preserve"> </w:t>
      </w:r>
      <w:r>
        <w:rPr>
          <w:rFonts w:ascii="Nirmala UI" w:hAnsi="Nirmala UI" w:eastAsia="Nirmala UI" w:cs="Nirmala UI"/>
        </w:rPr>
        <w:t>आंदे</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निशान</w:t>
      </w:r>
      <w:r>
        <w:rPr>
          <w:rFonts w:ascii="Times New Roman" w:hAnsi="Times New Roman" w:eastAsia="Times New Roman" w:cs="Times New Roman"/>
        </w:rPr>
        <w:t xml:space="preserve"> </w:t>
      </w:r>
      <w:r>
        <w:rPr>
          <w:rFonts w:ascii="Nirmala UI" w:hAnsi="Nirmala UI" w:eastAsia="Nirmala UI" w:cs="Nirmala UI"/>
        </w:rPr>
        <w:t>वेखनगे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खामोशी</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बेपरवाही</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उडीक</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रहणा</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भरोसे</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ढाढस</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देणा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मुलाकाती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परमेशर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बचाई</w:t>
      </w:r>
      <w:r>
        <w:rPr>
          <w:rFonts w:ascii="Times New Roman" w:hAnsi="Times New Roman" w:eastAsia="Times New Roman" w:cs="Times New Roman"/>
        </w:rPr>
        <w:t xml:space="preserve"> </w:t>
      </w:r>
      <w:r>
        <w:rPr>
          <w:rFonts w:ascii="Nirmala UI" w:hAnsi="Nirmala UI" w:eastAsia="Nirmala UI" w:cs="Nirmala UI"/>
        </w:rPr>
        <w:t>रखेगा।</w:t>
      </w:r>
      <w:r>
        <w:rPr>
          <w:rFonts w:ascii="Times New Roman" w:hAnsi="Times New Roman" w:eastAsia="Times New Roman" w:cs="Times New Roman"/>
        </w:rPr>
        <w:t xml:space="preserve"> </w:t>
      </w:r>
      <w:r>
        <w:rPr>
          <w:rFonts w:ascii="Nirmala UI" w:hAnsi="Nirmala UI" w:eastAsia="Nirmala UI" w:cs="Nirmala UI"/>
        </w:rPr>
        <w:t>इसदे</w:t>
      </w:r>
      <w:r>
        <w:rPr>
          <w:rFonts w:ascii="Times New Roman" w:hAnsi="Times New Roman" w:eastAsia="Times New Roman" w:cs="Times New Roman"/>
        </w:rPr>
        <w:t xml:space="preserve"> </w:t>
      </w:r>
      <w:r>
        <w:rPr>
          <w:rFonts w:ascii="Nirmala UI" w:hAnsi="Nirmala UI" w:eastAsia="Nirmala UI" w:cs="Nirmala UI"/>
        </w:rPr>
        <w:t>बिलकुल</w:t>
      </w:r>
      <w:r>
        <w:rPr>
          <w:rFonts w:ascii="Times New Roman" w:hAnsi="Times New Roman" w:eastAsia="Times New Roman" w:cs="Times New Roman"/>
        </w:rPr>
        <w:t xml:space="preserve"> </w:t>
      </w:r>
      <w:r>
        <w:rPr>
          <w:rFonts w:ascii="Nirmala UI" w:hAnsi="Nirmala UI" w:eastAsia="Nirmala UI" w:cs="Nirmala UI"/>
        </w:rPr>
        <w:t>उलट।</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समझणा</w:t>
      </w:r>
      <w:r>
        <w:rPr>
          <w:rFonts w:ascii="Times New Roman" w:hAnsi="Times New Roman" w:eastAsia="Times New Roman" w:cs="Times New Roman"/>
        </w:rPr>
        <w:t xml:space="preserve"> </w:t>
      </w:r>
      <w:r>
        <w:rPr>
          <w:rFonts w:ascii="Nirmala UI" w:hAnsi="Nirmala UI" w:eastAsia="Nirmala UI" w:cs="Nirmala UI"/>
        </w:rPr>
        <w:t>चाहिदा</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बचाण</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मेहनत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फर्ज</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मदद</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मजबूत</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परमेशर</w:t>
      </w:r>
      <w:r>
        <w:rPr>
          <w:rFonts w:ascii="Times New Roman" w:hAnsi="Times New Roman" w:eastAsia="Times New Roman" w:cs="Times New Roman"/>
        </w:rPr>
        <w:t xml:space="preserve"> </w:t>
      </w:r>
      <w:r>
        <w:rPr>
          <w:rFonts w:ascii="Nirmala UI" w:hAnsi="Nirmala UI" w:eastAsia="Nirmala UI" w:cs="Nirmala UI"/>
        </w:rPr>
        <w:t>वल्ल</w:t>
      </w:r>
      <w:r>
        <w:rPr>
          <w:rFonts w:ascii="Times New Roman" w:hAnsi="Times New Roman" w:eastAsia="Times New Roman" w:cs="Times New Roman"/>
        </w:rPr>
        <w:t xml:space="preserve"> </w:t>
      </w:r>
      <w:r>
        <w:rPr>
          <w:rFonts w:ascii="Nirmala UI" w:hAnsi="Nirmala UI" w:eastAsia="Nirmala UI" w:cs="Nirmala UI"/>
        </w:rPr>
        <w:t>तकदे</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मनुख</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असरदार</w:t>
      </w:r>
      <w:r>
        <w:rPr>
          <w:rFonts w:ascii="Times New Roman" w:hAnsi="Times New Roman" w:eastAsia="Times New Roman" w:cs="Times New Roman"/>
        </w:rPr>
        <w:t xml:space="preserve">, </w:t>
      </w:r>
      <w:r>
        <w:rPr>
          <w:rFonts w:ascii="Nirmala UI" w:hAnsi="Nirmala UI" w:eastAsia="Nirmala UI" w:cs="Nirmala UI"/>
        </w:rPr>
        <w:t>तप्त</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करदी</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 levain de la piété n’a pas entièrement perdu sa puissance. Au temps où le danger et l’abaissement de l’Église seront à leur comble, le petit groupe de ceux qui se tiennent dans la lumière soupirera et gémira à cause des abominations qui se commettent dans le pays. Mais c’est plus particulièrement en faveur de l’Église que leurs prières monteront, parce que ses membres agissent à la manière du monde.</w:t>
      </w:r>
    </w:p>
    <w:p>
      <w:pPr>
        <w:pStyle w:val="ArticleScripture"/>
        <w:jc w:val="left"/>
      </w:pPr>
      <w:r>
        <w:rPr>
          <w:rFonts w:ascii="Times New Roman" w:hAnsi="Times New Roman" w:eastAsia="Times New Roman" w:cs="Times New Roman"/>
        </w:rPr>
        <w:t>“Maombi ya bidii ya waaminifu hawa wachache hayatakuwa bure. Wakati Bwana atakapotokea kama mkombozi wa kisasi, atakuja pia kama mlinzi wa wote wale ambao wameihifadhi imani katika usafi wake na kujilinda wasitiwe doa na ulimwengu. Ni wakati huu ambapo Mungu ameahidi kuwapatia haki wateule Wake wamwombao mchana na usiku, ijapokuwa amewavumilia kwa muda mrefu.</w:t>
      </w:r>
    </w:p>
    <w:p>
      <w:pPr>
        <w:pStyle w:val="ArticleScripture"/>
        <w:jc w:val="left"/>
      </w:pPr>
      <w:r>
        <w:rPr>
          <w:rFonts w:ascii="Times New Roman" w:hAnsi="Times New Roman" w:eastAsia="Times New Roman" w:cs="Times New Roman"/>
        </w:rPr>
        <w:t>Amri ni huu: “Pita katikati ya mji, katikati ya Yerusalemu, ukatie alama juu ya vipaji vya nyuso vya watu wanaougua na kulia kwa sababu ya machukizo yote yanayofanyika katikati yake.” Hawa wanaougua na kulia walikuwa wakitangaza maneno ya uzima; walikuwa wamekemea, kushauri, na kusihi. Baadhi ya wale waliokuwa wakimdharau Mungu walitubu na kunyenyekeza mioyo yao mbele Zake. Lakini utukufu wa Bwana ulikuwa umeondoka katika Israeli; ingawa wengi bado waliendelea na maumbo ya dini, nguvu na uwepo Wake vilikosekana.” Testimonies, juzuu ya 5, 208–210.</w:t>
      </w:r>
    </w:p>
    <w:p>
      <w:pPr>
        <w:pStyle w:val="ArticleBody"/>
        <w:jc w:val="left"/>
      </w:pPr>
      <w:r>
        <w:rPr>
          <w:rFonts w:ascii="Times New Roman" w:hAnsi="Times New Roman" w:eastAsia="Times New Roman" w:cs="Times New Roman"/>
        </w:rPr>
        <w:t>Wɔn a Daniel gyina hɔ ma wɔn bere a ogyinaa Belshazzar anim no, wɔn a wonim “Future for America” no, ɛno akyi no wobegye Daniel “atade kɔkɔɔ,” “sika kɔkɔɔ kɔnmuade,” na wɔbɛpae mu aka sɛ wɔn ne “ahemman no mu sodifoɔ a ɔto so abiɛsa.” Kɔkɔɔ yɛ mmakanfo no agyiraehyɛde ne wɔn kɔla, wɔn a wonya Agya no agyapade no fã abien, wɔn a wɔyɛ apem ɔha aduanan anan no.</w:t>
      </w:r>
    </w:p>
    <w:p>
      <w:pPr>
        <w:pStyle w:val="ArticleScripture"/>
        <w:jc w:val="left"/>
      </w:pPr>
      <w:r>
        <w:rPr>
          <w:rFonts w:ascii="Times New Roman" w:hAnsi="Times New Roman" w:eastAsia="Times New Roman" w:cs="Times New Roman"/>
        </w:rPr>
        <w:t>هؤلاء هم الذين لم يتنجّسوا مع النساء، لأنهم أبكار. هؤلاء هم الذين يتبعون الخروف حيثما ذهب. هؤلاء اشتروا من بين الناس باكورةً لله وللخروف. رؤيا 14:4.</w:t>
      </w:r>
    </w:p>
    <w:p>
      <w:pPr>
        <w:pStyle w:val="ArticleBody"/>
        <w:jc w:val="left"/>
      </w:pPr>
      <w:r>
        <w:rPr>
          <w:rFonts w:ascii="Times New Roman" w:hAnsi="Times New Roman" w:eastAsia="Times New Roman" w:cs="Times New Roman"/>
        </w:rPr>
        <w:t>E rua aua taro e hāpaitia ra ei tapa‘o, o te matahiapo ïa (te mau hotu matamua), tei tu‘u-hia te hoê fī nēnē‘a i nia i tō rātou rima.</w:t>
      </w:r>
    </w:p>
    <w:p>
      <w:pPr>
        <w:pStyle w:val="ArticleScripture"/>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प्रसव</w:t>
      </w:r>
      <w:r>
        <w:rPr>
          <w:rFonts w:ascii="Times New Roman" w:hAnsi="Times New Roman" w:eastAsia="Times New Roman" w:cs="Times New Roman"/>
        </w:rPr>
        <w:t>-</w:t>
      </w:r>
      <w:r>
        <w:rPr>
          <w:rFonts w:ascii="Nirmala UI" w:hAnsi="Nirmala UI" w:eastAsia="Nirmala UI" w:cs="Nirmala UI"/>
        </w:rPr>
        <w:t>वेदना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पकड़कर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धागा</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खींच</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टूट</w:t>
      </w:r>
      <w:r>
        <w:rPr>
          <w:rFonts w:ascii="Times New Roman" w:hAnsi="Times New Roman" w:eastAsia="Times New Roman" w:cs="Times New Roman"/>
        </w:rPr>
        <w:t xml:space="preserve"> </w:t>
      </w:r>
      <w:r>
        <w:rPr>
          <w:rFonts w:ascii="Nirmala UI" w:hAnsi="Nirmala UI" w:eastAsia="Nirmala UI" w:cs="Nirmala UI"/>
        </w:rPr>
        <w:t>पड़ना</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धागा</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जारह</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38:28–30.</w:t>
      </w:r>
    </w:p>
    <w:p>
      <w:pPr>
        <w:pStyle w:val="ArticleBody"/>
        <w:jc w:val="left"/>
      </w:pPr>
      <w:r>
        <w:rPr>
          <w:rFonts w:ascii="Leelawadee UI" w:hAnsi="Leelawadee UI" w:eastAsia="Leelawadee UI" w:cs="Leelawadee UI"/>
        </w:rPr>
        <w:t>ការលើកឡើងជាលើកដំបូងអំពី</w:t>
      </w:r>
      <w:r>
        <w:rPr>
          <w:rFonts w:ascii="Times New Roman" w:hAnsi="Times New Roman" w:eastAsia="Times New Roman" w:cs="Times New Roman"/>
        </w:rPr>
        <w:t xml:space="preserve"> «</w:t>
      </w:r>
      <w:r>
        <w:rPr>
          <w:rFonts w:ascii="Leelawadee UI" w:hAnsi="Leelawadee UI" w:eastAsia="Leelawadee UI" w:cs="Leelawadee UI"/>
        </w:rPr>
        <w:t>ពណ៌ក្រហមស្រអាប់</w:t>
      </w:r>
      <w:r>
        <w:rPr>
          <w:rFonts w:ascii="Times New Roman" w:hAnsi="Times New Roman" w:eastAsia="Times New Roman" w:cs="Times New Roman"/>
        </w:rPr>
        <w:t xml:space="preserve">» </w:t>
      </w:r>
      <w:r>
        <w:rPr>
          <w:rFonts w:ascii="Leelawadee UI" w:hAnsi="Leelawadee UI" w:eastAsia="Leelawadee UI" w:cs="Leelawadee UI"/>
        </w:rPr>
        <w:t>នៅក្នុងព្រះគម្ពីរ</w:t>
      </w:r>
      <w:r>
        <w:rPr>
          <w:rFonts w:ascii="Times New Roman" w:hAnsi="Times New Roman" w:eastAsia="Times New Roman" w:cs="Times New Roman"/>
        </w:rPr>
        <w:t xml:space="preserve"> </w:t>
      </w:r>
      <w:r>
        <w:rPr>
          <w:rFonts w:ascii="Leelawadee UI" w:hAnsi="Leelawadee UI" w:eastAsia="Leelawadee UI" w:cs="Leelawadee UI"/>
        </w:rPr>
        <w:t>គឺនៅពេល</w:t>
      </w:r>
      <w:r>
        <w:rPr>
          <w:rFonts w:ascii="Times New Roman" w:hAnsi="Times New Roman" w:eastAsia="Times New Roman" w:cs="Times New Roman"/>
        </w:rPr>
        <w:t xml:space="preserve"> «</w:t>
      </w:r>
      <w:r>
        <w:rPr>
          <w:rFonts w:ascii="Leelawadee UI" w:hAnsi="Leelawadee UI" w:eastAsia="Leelawadee UI" w:cs="Leelawadee UI"/>
        </w:rPr>
        <w:t>សេរ៉ា</w:t>
      </w:r>
      <w:r>
        <w:rPr>
          <w:rFonts w:ascii="Times New Roman" w:hAnsi="Times New Roman" w:eastAsia="Times New Roman" w:cs="Times New Roman"/>
        </w:rPr>
        <w:t xml:space="preserve">» </w:t>
      </w:r>
      <w:r>
        <w:rPr>
          <w:rFonts w:ascii="Leelawadee UI" w:hAnsi="Leelawadee UI" w:eastAsia="Leelawadee UI" w:cs="Leelawadee UI"/>
        </w:rPr>
        <w:t>ដែលជាកូនច្បង</w:t>
      </w:r>
      <w:r>
        <w:rPr>
          <w:rFonts w:ascii="Times New Roman" w:hAnsi="Times New Roman" w:eastAsia="Times New Roman" w:cs="Times New Roman"/>
        </w:rPr>
        <w:t xml:space="preserve"> </w:t>
      </w:r>
      <w:r>
        <w:rPr>
          <w:rFonts w:ascii="Leelawadee UI" w:hAnsi="Leelawadee UI" w:eastAsia="Leelawadee UI" w:cs="Leelawadee UI"/>
        </w:rPr>
        <w:t>ហើយឈ្មោះរបស់គាត់មានន័យថា</w:t>
      </w:r>
      <w:r>
        <w:rPr>
          <w:rFonts w:ascii="Times New Roman" w:hAnsi="Times New Roman" w:eastAsia="Times New Roman" w:cs="Times New Roman"/>
        </w:rPr>
        <w:t xml:space="preserve"> «</w:t>
      </w:r>
      <w:r>
        <w:rPr>
          <w:rFonts w:ascii="Leelawadee UI" w:hAnsi="Leelawadee UI" w:eastAsia="Leelawadee UI" w:cs="Leelawadee UI"/>
        </w:rPr>
        <w:t>ពន្លឺដែលកំពុងរះឡើង</w:t>
      </w:r>
      <w:r>
        <w:rPr>
          <w:rFonts w:ascii="Times New Roman" w:hAnsi="Times New Roman" w:eastAsia="Times New Roman" w:cs="Times New Roman"/>
        </w:rPr>
        <w:t xml:space="preserve">» </w:t>
      </w:r>
      <w:r>
        <w:rPr>
          <w:rFonts w:ascii="Leelawadee UI" w:hAnsi="Leelawadee UI" w:eastAsia="Leelawadee UI" w:cs="Leelawadee UI"/>
        </w:rPr>
        <w:t>បានចេញមកមុន</w:t>
      </w:r>
      <w:r>
        <w:rPr>
          <w:rFonts w:ascii="Times New Roman" w:hAnsi="Times New Roman" w:eastAsia="Times New Roman" w:cs="Times New Roman"/>
        </w:rPr>
        <w:t xml:space="preserve"> </w:t>
      </w:r>
      <w:r>
        <w:rPr>
          <w:rFonts w:ascii="Leelawadee UI" w:hAnsi="Leelawadee UI" w:eastAsia="Leelawadee UI" w:cs="Leelawadee UI"/>
        </w:rPr>
        <w:t>ក្នុងចំណោមកូនភ្លោះដែលយូដាបានបង្កើត។</w:t>
      </w:r>
      <w:r>
        <w:rPr>
          <w:rFonts w:ascii="Times New Roman" w:hAnsi="Times New Roman" w:eastAsia="Times New Roman" w:cs="Times New Roman"/>
        </w:rPr>
        <w:t xml:space="preserve"> </w:t>
      </w:r>
      <w:r>
        <w:rPr>
          <w:rFonts w:ascii="Leelawadee UI" w:hAnsi="Leelawadee UI" w:eastAsia="Leelawadee UI" w:cs="Leelawadee UI"/>
        </w:rPr>
        <w:t>មាតា</w:t>
      </w:r>
      <w:r>
        <w:rPr>
          <w:rFonts w:ascii="Times New Roman" w:hAnsi="Times New Roman" w:eastAsia="Times New Roman" w:cs="Times New Roman"/>
        </w:rPr>
        <w:t xml:space="preserve"> </w:t>
      </w:r>
      <w:r>
        <w:rPr>
          <w:rFonts w:ascii="Leelawadee UI" w:hAnsi="Leelawadee UI" w:eastAsia="Leelawadee UI" w:cs="Leelawadee UI"/>
        </w:rPr>
        <w:t>គឺតាម៉ារ</w:t>
      </w:r>
      <w:r>
        <w:rPr>
          <w:rFonts w:ascii="Times New Roman" w:hAnsi="Times New Roman" w:eastAsia="Times New Roman" w:cs="Times New Roman"/>
        </w:rPr>
        <w:t xml:space="preserve"> (</w:t>
      </w:r>
      <w:r>
        <w:rPr>
          <w:rFonts w:ascii="Leelawadee UI" w:hAnsi="Leelawadee UI" w:eastAsia="Leelawadee UI" w:cs="Leelawadee UI"/>
        </w:rPr>
        <w:t>ដែលបានប្រព្រឹត្តដូចជាស្ត្រីពេស្យា</w:t>
      </w:r>
      <w:r>
        <w:rPr>
          <w:rFonts w:ascii="Times New Roman" w:hAnsi="Times New Roman" w:eastAsia="Times New Roman" w:cs="Times New Roman"/>
        </w:rPr>
        <w:t xml:space="preserve">) </w:t>
      </w:r>
      <w:r>
        <w:rPr>
          <w:rFonts w:ascii="Leelawadee UI" w:hAnsi="Leelawadee UI" w:eastAsia="Leelawadee UI" w:cs="Leelawadee UI"/>
        </w:rPr>
        <w:t>ជាភរិយារបស់កូនប្រុសអាក្រក់របស់យូដាដែលបានស្លាប់ទៅហើយ។</w:t>
      </w:r>
      <w:r>
        <w:rPr>
          <w:rFonts w:ascii="Times New Roman" w:hAnsi="Times New Roman" w:eastAsia="Times New Roman" w:cs="Times New Roman"/>
        </w:rPr>
        <w:t xml:space="preserve"> </w:t>
      </w:r>
      <w:r>
        <w:rPr>
          <w:rFonts w:ascii="Leelawadee UI" w:hAnsi="Leelawadee UI" w:eastAsia="Leelawadee UI" w:cs="Leelawadee UI"/>
        </w:rPr>
        <w:t>សេរ៉ា</w:t>
      </w:r>
      <w:r>
        <w:rPr>
          <w:rFonts w:ascii="Times New Roman" w:hAnsi="Times New Roman" w:eastAsia="Times New Roman" w:cs="Times New Roman"/>
        </w:rPr>
        <w:t xml:space="preserve"> «</w:t>
      </w:r>
      <w:r>
        <w:rPr>
          <w:rFonts w:ascii="Leelawadee UI" w:hAnsi="Leelawadee UI" w:eastAsia="Leelawadee UI" w:cs="Leelawadee UI"/>
        </w:rPr>
        <w:t>ពន្លឺដែលកំពុងរះឡើង</w:t>
      </w:r>
      <w:r>
        <w:rPr>
          <w:rFonts w:ascii="Times New Roman" w:hAnsi="Times New Roman" w:eastAsia="Times New Roman" w:cs="Times New Roman"/>
        </w:rPr>
        <w:t xml:space="preserve">» </w:t>
      </w:r>
      <w:r>
        <w:rPr>
          <w:rFonts w:ascii="Leelawadee UI" w:hAnsi="Leelawadee UI" w:eastAsia="Leelawadee UI" w:cs="Leelawadee UI"/>
        </w:rPr>
        <w:t>បានមកពីកុលសម្ព័ន្ធយូដា</w:t>
      </w:r>
      <w:r>
        <w:rPr>
          <w:rFonts w:ascii="Times New Roman" w:hAnsi="Times New Roman" w:eastAsia="Times New Roman" w:cs="Times New Roman"/>
        </w:rPr>
        <w:t xml:space="preserve"> </w:t>
      </w:r>
      <w:r>
        <w:rPr>
          <w:rFonts w:ascii="Leelawadee UI" w:hAnsi="Leelawadee UI" w:eastAsia="Leelawadee UI" w:cs="Leelawadee UI"/>
        </w:rPr>
        <w:t>ហើយមានខ្សែពណ៌ក្រហមស្រអាប់ចងនៅលើដៃរបស់គាត់។</w:t>
      </w:r>
      <w:r>
        <w:rPr>
          <w:rFonts w:ascii="Times New Roman" w:hAnsi="Times New Roman" w:eastAsia="Times New Roman" w:cs="Times New Roman"/>
        </w:rPr>
        <w:t xml:space="preserve"> «</w:t>
      </w:r>
      <w:r>
        <w:rPr>
          <w:rFonts w:ascii="Leelawadee UI" w:hAnsi="Leelawadee UI" w:eastAsia="Leelawadee UI" w:cs="Leelawadee UI"/>
        </w:rPr>
        <w:t>ផារ៉េស</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បំបែកចេញ</w:t>
      </w:r>
      <w:r>
        <w:rPr>
          <w:rFonts w:ascii="Times New Roman" w:hAnsi="Times New Roman" w:eastAsia="Times New Roman" w:cs="Times New Roman"/>
        </w:rPr>
        <w:t xml:space="preserve"> </w:t>
      </w:r>
      <w:r>
        <w:rPr>
          <w:rFonts w:ascii="Leelawadee UI" w:hAnsi="Leelawadee UI" w:eastAsia="Leelawadee UI" w:cs="Leelawadee UI"/>
        </w:rPr>
        <w:t>ហើយគាត់តំណាងឲ្យអ្នកទាំងឡាយដែលបំបែកខ្លួនចេញពីអំណាចប៉ាបា</w:t>
      </w:r>
      <w:r>
        <w:rPr>
          <w:rFonts w:ascii="Times New Roman" w:hAnsi="Times New Roman" w:eastAsia="Times New Roman" w:cs="Times New Roman"/>
        </w:rPr>
        <w:t xml:space="preserve"> </w:t>
      </w:r>
      <w:r>
        <w:rPr>
          <w:rFonts w:ascii="Leelawadee UI" w:hAnsi="Leelawadee UI" w:eastAsia="Leelawadee UI" w:cs="Leelawadee UI"/>
        </w:rPr>
        <w:t>ហើយចេញពីបាប៊ីឡូន</w:t>
      </w:r>
      <w:r>
        <w:rPr>
          <w:rFonts w:ascii="Times New Roman" w:hAnsi="Times New Roman" w:eastAsia="Times New Roman" w:cs="Times New Roman"/>
        </w:rPr>
        <w:t xml:space="preserve"> </w:t>
      </w:r>
      <w:r>
        <w:rPr>
          <w:rFonts w:ascii="Leelawadee UI" w:hAnsi="Leelawadee UI" w:eastAsia="Leelawadee UI" w:cs="Leelawadee UI"/>
        </w:rPr>
        <w:t>ក្នុងអំឡុងវិបត្តិនៃច្បាប់ថ្ងៃអាទិត្យ។</w:t>
      </w:r>
    </w:p>
    <w:p>
      <w:pPr>
        <w:pStyle w:val="ArticleBody"/>
        <w:jc w:val="left"/>
      </w:pPr>
      <w:r>
        <w:rPr>
          <w:rFonts w:ascii="Times New Roman" w:hAnsi="Times New Roman" w:eastAsia="Times New Roman" w:cs="Times New Roman"/>
        </w:rPr>
        <w:t>“Ligne écarlate” était aussi le signe qui protégea la prostituée de Jéricho, lorsque la ville de Jéricho fut détruite.</w:t>
      </w:r>
    </w:p>
    <w:p>
      <w:pPr>
        <w:pStyle w:val="ArticleScripture"/>
        <w:jc w:val="left"/>
      </w:pPr>
      <w:r>
        <w:rPr>
          <w:rFonts w:ascii="Times New Roman" w:hAnsi="Times New Roman" w:eastAsia="Times New Roman" w:cs="Times New Roman"/>
        </w:rPr>
        <w:t>Voir, quand nous entrerons dans le pays, tu attacheras ce cordon de fil écarlate à la fenêtre par laquelle tu nous as fait descendre; et tu feras venir auprès de toi, dans ta maison, ton père, ta mère, tes frères et toute la maison de ton père. Et il arrivera que quiconque sortira des portes de ta maison pour aller dans la rue, son sang retombera sur sa tête, et nous en serons innocents; mais quiconque sera avec toi dans la maison, son sang retombera sur notre tête, si quelque main se porte sur lui. Et si tu divulges cette affaire qui est la nôtre, nous serons quittes du serment que tu nous as fait prêter. Et elle dit: Selon vos paroles, qu’il en soit ainsi. Puis elle les fit partir, et ils s’en allèrent; et elle attacha le cordon écarlate à la fenêtre. Josué 2:18–21.</w:t>
      </w:r>
    </w:p>
    <w:p>
      <w:pPr>
        <w:pStyle w:val="ArticleBody"/>
        <w:jc w:val="left"/>
      </w:pPr>
      <w:r>
        <w:rPr>
          <w:rFonts w:ascii="Times New Roman" w:hAnsi="Times New Roman" w:eastAsia="Times New Roman" w:cs="Times New Roman"/>
        </w:rPr>
        <w:t>Danieli giydirilen al qırmızı libas, onun o zaman yukarı kaldırılan iki sallamalık çörekten ilki olan yüz kırk dört bini temsil ettiğini gösterir. Çörekler olarak onlar, çarmıha gerilişe gidişi sırasında umumi salonda kendisine al qırmızı bir kaftan verilen Gökten gelen Ekmeği temsil ederler. İsa’ya al qırmızı bir kaftanın verildiği umumi salonu simgeleyen Belşassar’ın ziyafet salonunda, bu kaftan “Amerika İçin Gelecek”te hemen önümüzde bulunan krizi anlayanlara verilir.</w:t>
      </w:r>
    </w:p>
    <w:p>
      <w:pPr>
        <w:pStyle w:val="ArticleScripture"/>
        <w:jc w:val="left"/>
      </w:pPr>
      <w:r>
        <w:rPr>
          <w:rFonts w:ascii="Times New Roman" w:hAnsi="Times New Roman" w:eastAsia="Times New Roman" w:cs="Times New Roman"/>
        </w:rPr>
        <w:t>Puis les soldats du gouverneur emmenèrent Jésus dans le prétoire, et ils rassemblèrent auprès de lui toute la cohorte. Ils le dépouillèrent et le revêtirent d’un manteau écarlate. Matthieu 27:27, 28.</w:t>
      </w:r>
    </w:p>
    <w:p>
      <w:pPr>
        <w:pStyle w:val="ArticleBody"/>
        <w:jc w:val="left"/>
      </w:pPr>
      <w:r>
        <w:rPr>
          <w:rFonts w:ascii="Times New Roman" w:hAnsi="Times New Roman" w:eastAsia="Times New Roman" w:cs="Times New Roman"/>
        </w:rPr>
        <w:t>Vazi aliyopewa wale wanaowakilishwa na Danieli ni vazi la Kristo la haki, ambalo ni jeupe.</w:t>
      </w:r>
    </w:p>
    <w:p>
      <w:pPr>
        <w:pStyle w:val="ArticleScripture"/>
        <w:jc w:val="left"/>
      </w:pPr>
      <w:r>
        <w:rPr>
          <w:rFonts w:ascii="Times New Roman" w:hAnsi="Times New Roman" w:eastAsia="Times New Roman" w:cs="Times New Roman"/>
        </w:rPr>
        <w:t>Réjouissons-nous et soyons dans l’allégresse, et rendons-lui gloire; car les noces de l’Agneau sont venues, et son épouse s’est préparée. Et il lui a été donné de se revêtir d’un fin lin, éclatant et pur; car le fin lin, ce sont les œuvres justes des saints. Apocalypse 19:7, 8.</w:t>
      </w:r>
    </w:p>
    <w:p>
      <w:pPr>
        <w:pStyle w:val="ArticleBody"/>
        <w:jc w:val="left"/>
      </w:pPr>
      <w:r>
        <w:rPr>
          <w:rFonts w:ascii="Times New Roman" w:hAnsi="Times New Roman" w:eastAsia="Times New Roman" w:cs="Times New Roman"/>
        </w:rPr>
        <w:t>La robe donnée à ceux qui sont représentés comme Daniel est à la fois écarlate et blanche, car leurs robes ont été lavées avec le savon du foulon, par le foulon de Malachie, chapitre trois, lorsqu’il purifie les fils de Lévi.</w:t>
      </w:r>
    </w:p>
    <w:p>
      <w:pPr>
        <w:pStyle w:val="ArticleScripture"/>
        <w:jc w:val="left"/>
      </w:pPr>
      <w:r>
        <w:rPr>
          <w:rFonts w:ascii="Times New Roman" w:hAnsi="Times New Roman" w:eastAsia="Times New Roman" w:cs="Times New Roman"/>
        </w:rPr>
        <w:t>Ke koan a zin ni lâi huna hi tu nge châwng thei ang? A lo lang huna hi tu nge ding nghet thei ang? A chhan chu, amah chu sawrkar siamṭhatna meial anga ni a, puanzâr sawina soap anga ni bawk. Tin, amah chu tangka siamṭhatna leh thianghlimtirtu anga ṭhu ang a; Levi fapate chu a thianghlimtir ang a, rangkachak leh tangka angin a tithianghlim ang; chutichuan anni chu Lalpa hnenah felnaah thawhlâwm an hlan theih nân. Malaki 3:2, 3.</w:t>
      </w:r>
    </w:p>
    <w:p>
      <w:pPr>
        <w:pStyle w:val="ArticleBody"/>
        <w:jc w:val="left"/>
      </w:pPr>
      <w:r>
        <w:rPr>
          <w:rFonts w:ascii="Times New Roman" w:hAnsi="Times New Roman" w:eastAsia="Times New Roman" w:cs="Times New Roman"/>
        </w:rPr>
        <w:t>Le vêtement est blanc, mais seulement parce qu’il a été lavé dans le sang écarlate de l’Agneau.</w:t>
      </w:r>
    </w:p>
    <w:p>
      <w:pPr>
        <w:pStyle w:val="ArticleScripture"/>
        <w:jc w:val="left"/>
      </w:pPr>
      <w:r>
        <w:rPr>
          <w:rFonts w:ascii="Times New Roman" w:hAnsi="Times New Roman" w:eastAsia="Times New Roman" w:cs="Times New Roman"/>
        </w:rPr>
        <w:t>Aɛ Yesu Kristo so, ɔno ne dansefo nokwafo no, na ɔno ne nea odi kan fii awufo mu sɔre bae, na ɔno ne asase so ahemfo no sodifo. Ɔno a ɔdɔɔ yɛn, na ɔde n’ankasa mogya hohoroo yɛn fii yɛn bɔne mu no, na wayɛ yɛn ahemfo ne asɔfo ama Onyankopɔn ne n’Agya; ɔno na anuonyam ne tumi wɔ no daa daa. Amen. Adiyisɛm 1:5, 6.</w:t>
      </w:r>
    </w:p>
    <w:p>
      <w:pPr>
        <w:pStyle w:val="ArticleBody"/>
        <w:jc w:val="left"/>
      </w:pPr>
      <w:r>
        <w:rPr>
          <w:rFonts w:ascii="Times New Roman" w:hAnsi="Times New Roman" w:eastAsia="Times New Roman" w:cs="Times New Roman"/>
        </w:rPr>
        <w:t>La première mention d’une chaîne d’or apparaît lorsque Joseph est établi à la tête de l’Égypte.</w:t>
      </w:r>
    </w:p>
    <w:p>
      <w:pPr>
        <w:pStyle w:val="ArticleScripture"/>
        <w:jc w:val="left"/>
      </w:pPr>
      <w:r>
        <w:rPr>
          <w:rFonts w:ascii="Times New Roman" w:hAnsi="Times New Roman" w:eastAsia="Times New Roman" w:cs="Times New Roman"/>
        </w:rPr>
        <w:t>Na Farao akamwambia Yosefu, Tazama, nimekuweka juu ya nchi yote ya Misri. Farao akavua pete yake mkononi mwake, akaivaa mkononi mwa Yosefu, akamvika mavazi ya kitani nzuri, na kumtia mkufu wa dhahabu shingoni mwake; akampandisha katika gari la pili alilokuwa nalo; nao wakapaza sauti mbele yake, Pigeni magoti; naye akamweka kuwa mtawala juu ya nchi yote ya Misri. Farao akavua pete yake mkononi mwake, akaivaa mkononi mwa Yosefu, akamvika mavazi ya kitani nzuri, na kumtia mkufu wa dhahabu shingoni mwake. Mwanzo 41:41–43.</w:t>
      </w:r>
    </w:p>
    <w:p>
      <w:pPr>
        <w:pStyle w:val="ArticleBody"/>
        <w:jc w:val="left"/>
      </w:pPr>
      <w:r>
        <w:rPr>
          <w:rFonts w:ascii="Times New Roman" w:hAnsi="Times New Roman" w:eastAsia="Times New Roman" w:cs="Times New Roman"/>
        </w:rPr>
        <w:t>Bikalani oyo Farao aponaki Yozefe mpo azala mokonzi likoló ya Ejipito ezalaki ete Yozefe akokaki kolimbola ndɔtɔ ya Farao ya “mbala nsambo,” na boyokani na mopɛpɛ ya kobebisa ya “mopɛpɛ ya ɛsti.”</w:t>
      </w:r>
    </w:p>
    <w:p>
      <w:pPr>
        <w:pStyle w:val="ArticleScripture"/>
        <w:jc w:val="left"/>
      </w:pPr>
      <w:r>
        <w:rPr>
          <w:rFonts w:ascii="Times New Roman" w:hAnsi="Times New Roman" w:eastAsia="Times New Roman" w:cs="Times New Roman"/>
        </w:rPr>
        <w:t>Na Faro sɛe Yusuf ho asɛm no, ɔkae se, Wɔ me dae mu no, hwɛ, na migyina asubɔnten no ano: na hwɛ, anantwi akron a wɔn honam ayɛ srɔnn, na wɔn ho yɛ fɛ, fi asubɔnten no mu bae; na wodidii wɔ sare bi mu: na hwɛ, anantwi akron foforo fii wɔn akyi bae, a wɔyɛ mmerɛw na wɔn ho nyɛ fɛ koraa na wɔn honam asen, a menhunuu wɔn bɔne saa da wɔ Misraim asase nyinaa so: na anantwi a wɔasen na wɔn ho nyɛ fɛ no wee anantwi akron a edi kan no a wɔadɔ srɔnn no: na bere a wɔawe wɔn no, na wontumi nhu sɛ wɔawe wɔn; na na wɔn ho da so ara nyɛ fɛ, sɛnea na ɛte mfiase no. Enti manyanee. Na mehuu wɔ me dae mu bio, na hwɛ, atoko mmɛtɛw akron puee dua baako mu, a ayɛ ma na eye: na hwɛ, atoko mmɛtɛw akron, a awow, asen, na apuei mframa a efi apuei fam abɔ no, puee wɔn akyi: na mmɛtɛw a asen no wee mmɛtɛw akron pa no: na mekaa eyi kyerɛɛ nkonyaayi no; nanso na obiara nni hɔ a obetumi akyerɛ me ase. Na Yusuf ka kyerɛɛ Faro se, Faro dae no yɛ baako: Onyankopɔn ada nea ɔrebɛyɛ no adi akyerɛ Faro. Genesis 41:17–25.</w:t>
      </w:r>
    </w:p>
    <w:p>
      <w:pPr>
        <w:pStyle w:val="ArticleBody"/>
        <w:jc w:val="left"/>
      </w:pPr>
      <w:r>
        <w:rPr>
          <w:rFonts w:ascii="Times New Roman" w:hAnsi="Times New Roman" w:eastAsia="Times New Roman" w:cs="Times New Roman"/>
        </w:rPr>
        <w:t>ژوزف خواب فرعون را بر پایهٔ اصلِ «خط بر خط» تعبیر کرد، زیرا نخست به فرعون آگاهانید که آن دو خواب یکی هستند. سپس واژهٔ «هفت» را که با «گاوها» و «خوشه‌ها» مرتبط بود، به‌عنوان نمادها تعبیر نمود. واژهٔ «هفت» در این عبارت همان واژه‌ای است که در لاویان بیست‌وشش به «هفت زمان» ترجمه شده است. ژوزف «هفت» را به‌عنوان نمادِ هفت سال، یا دو هزار و پانصد و بیست روز، تعبیر کرد. ژوزف و دانیال هر دو در حالِ تعبیرِ نمادی از «هفت زمان»ِ لاویان بیست‌وشش بودند.</w:t>
      </w:r>
    </w:p>
    <w:p>
      <w:pPr>
        <w:pStyle w:val="ArticleBody"/>
        <w:jc w:val="left"/>
      </w:pPr>
      <w:r>
        <w:rPr>
          <w:rFonts w:ascii="Times New Roman" w:hAnsi="Times New Roman" w:eastAsia="Times New Roman" w:cs="Times New Roman"/>
        </w:rPr>
        <w:t>Farao unelmassa nälänhädän aiheuttivat tähkäpäät, jotka olivat “itätuulen polttamia”. Rivi rivin päälle, kuten Joosef sitä suoraan käyttää, “itätuuli” osoittaa, että islam tuottaa sen nälänhädän ja taloudellisen romahduksen ajanjakson, joka alkaa silloin, kun Joosefille ja Danielille annetaan kultainen kaulaketju, mikä kuvaa lipun korottamista maailmalle (Joosefin Egyptille) sekä Jumalan toisen lauman kutsumista ulos (Danielin) Babylonista.</w:t>
      </w:r>
    </w:p>
    <w:p>
      <w:pPr>
        <w:pStyle w:val="ArticleBody"/>
        <w:jc w:val="left"/>
      </w:pPr>
      <w:r>
        <w:rPr>
          <w:rFonts w:ascii="Times New Roman" w:hAnsi="Times New Roman" w:eastAsia="Times New Roman" w:cs="Times New Roman"/>
        </w:rPr>
        <w:t>Les deux cornes des États-Unis sont représentées par toutes les puissances de la prophétie biblique qui sont figurées comme deux nations. Cela comprendrait la France, qui se compose prophétiquement de Sodome et de l’Égypte, ainsi que d’Israël, qui était constitué des royaumes du Nord et du Sud, et aussi de l’Empire médo-perse. Les deux cornes de la Médie-Perse, au chapitre huit de Daniel, indiquent que l’une des cornes du royaume s’élève en dernier.</w:t>
      </w:r>
    </w:p>
    <w:p>
      <w:pPr>
        <w:pStyle w:val="ArticleScripture"/>
        <w:jc w:val="left"/>
      </w:pPr>
      <w:r>
        <w:rPr>
          <w:rFonts w:ascii="Times New Roman" w:hAnsi="Times New Roman" w:eastAsia="Times New Roman" w:cs="Times New Roman"/>
        </w:rPr>
        <w:t>Puis je levai les yeux, et je regardai; et voici, il se tenait devant le fleuve un bélier qui avait deux cornes: et les deux cornes étaient hautes; mais l’une était plus haute que l’autre, et la plus haute s’éleva la dernière. Daniel 8:3.</w:t>
      </w:r>
    </w:p>
    <w:p>
      <w:pPr>
        <w:pStyle w:val="ArticleBody"/>
        <w:jc w:val="left"/>
      </w:pPr>
      <w:r>
        <w:rPr>
          <w:rFonts w:ascii="Times New Roman" w:hAnsi="Times New Roman" w:eastAsia="Times New Roman" w:cs="Times New Roman"/>
        </w:rPr>
        <w:t>Les deux cornes de la Médo-Perse représentent les deux cornes de la bête de la terre; par conséquent, l’une des cornes de la bête de la terre doit être plus élevée et s’élever la dernière. Au temps de la fin, en 1798, le règne de la bête de la terre commença, et la corne du protestantisme fut conduite au mont Carmel par Élie le prophète, représenté par William Miller. Il devait y avoir un affrontement manifestant une distinction entre le vrai prophète et le faux prophète, lequel devait s’accomplir lors de l’épreuve du mont Carmel, qui eut lieu du 11 août 1840 au 22 octobre 1844.</w:t>
      </w:r>
    </w:p>
    <w:p>
      <w:pPr>
        <w:pStyle w:val="ArticleBody"/>
        <w:jc w:val="left"/>
      </w:pP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ईश्वरीय</w:t>
      </w:r>
      <w:r>
        <w:rPr>
          <w:rFonts w:ascii="Times New Roman" w:hAnsi="Times New Roman" w:eastAsia="Times New Roman" w:cs="Times New Roman"/>
        </w:rPr>
        <w:t xml:space="preserve"> </w:t>
      </w:r>
      <w:r>
        <w:rPr>
          <w:rFonts w:ascii="Nirmala UI" w:hAnsi="Nirmala UI" w:eastAsia="Nirmala UI" w:cs="Nirmala UI"/>
        </w:rPr>
        <w:t>प्रबन्ध</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संप्रदाय</w:t>
      </w:r>
      <w:r>
        <w:rPr>
          <w:rFonts w:ascii="Times New Roman" w:hAnsi="Times New Roman" w:eastAsia="Times New Roman" w:cs="Times New Roman"/>
        </w:rPr>
        <w:t xml:space="preserve"> </w:t>
      </w:r>
      <w:r>
        <w:rPr>
          <w:rFonts w:ascii="Nirmala UI" w:hAnsi="Nirmala UI" w:eastAsia="Nirmala UI" w:cs="Nirmala UI"/>
        </w:rPr>
        <w:t>लौटकर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सहभागिता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समयावधि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गृहयुद्ध</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रिपब्लिकनवाद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तीव्र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संघर्षावस्था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À partir de 1863, symbole de division, car cette année-là se situait au cœur même de la guerre civile entre le Nord et le Sud, il se produisit deux factions politiques de la corne républicaine et deux factions de la corne protestante, constituées des partis démocrate et républicain, ainsi que de protestants apostats observateurs du dimanche et observateurs du sabbat. La division en deux de l’une et l’autre corne fut typifiée, aux jours du Christ, par les Sadducéens et les Pharisiens. Une classe rejetait ouvertement les principes fondateurs, et l’autre professait soutenir les principes fondateurs, mais les remplaçait finalement par des traditions et des coutumes humaines.</w:t>
      </w:r>
    </w:p>
    <w:p>
      <w:pPr>
        <w:pStyle w:val="ArticleBody"/>
        <w:jc w:val="left"/>
      </w:pPr>
      <w:r>
        <w:rPr>
          <w:rFonts w:ascii="Times New Roman" w:hAnsi="Times New Roman" w:eastAsia="Times New Roman" w:cs="Times New Roman"/>
        </w:rPr>
        <w:t>Le 11 septembre 2001, la période d’épreuve de l’image de la bête fut inaugurée prophétiquement, et elle atteint son point culminant à la loi du dimanche, ou au festin d’ivresse de Belshazzar. La loi du dimanche est la marque qui atteste que l’union de l’Église et de l’État est pleinement développée. À ce moment-là, les deux cornes du républicanisme apostat et du protestantisme apostat deviennent une seule corne apostate, et c’est alors que Daniel est fait la troisième corne, ou le troisième dirigeant, ou la véritable corne protestante qui s’élève en dernier et qui est plus haute, car c’est alors qu’il est élevé comme une bannière.</w:t>
      </w:r>
    </w:p>
    <w:p>
      <w:pPr>
        <w:pStyle w:val="ArticleBody"/>
        <w:jc w:val="left"/>
      </w:pPr>
      <w:r>
        <w:rPr>
          <w:rFonts w:ascii="Times New Roman" w:hAnsi="Times New Roman" w:eastAsia="Times New Roman" w:cs="Times New Roman"/>
        </w:rPr>
        <w:t>Joseph et Daniel constituent la même ligne de prophétie; car, ligne sur ligne, tous les prophètes identifient les derniers jours. Tous deux reconnurent les « sept temps » lorsqu’ils les virent. Le « vent d’est » de l’islam s’introduit sous la muraille, tandis qu’ils donnent à Belshatsar et à Pharaon leur interprétation de ce qu’est le « Future for America ». Ils sont revêtus de la « robe écarlate » de la justice du Christ, laquelle est la « robe blanche » ainsi rendue telle par le sang du Christ. Ils sont élevés comme une bannière et représentés comme une couronne, ou une chaîne d’or, en devenant le troisième souverain qui monte plus haut et qui monte en dernier.</w:t>
      </w:r>
    </w:p>
    <w:p>
      <w:pPr>
        <w:pStyle w:val="ArticleBody"/>
        <w:jc w:val="left"/>
      </w:pPr>
      <w:r>
        <w:rPr>
          <w:rFonts w:ascii="Times New Roman" w:hAnsi="Times New Roman" w:eastAsia="Times New Roman" w:cs="Times New Roman"/>
        </w:rPr>
        <w:t>Nous poursuivrons avec le chapitre six de Daniel dans le prochain article.</w:t>
      </w:r>
    </w:p>
    <w:p>
      <w:pPr>
        <w:pStyle w:val="ArticleScripture"/>
        <w:jc w:val="left"/>
      </w:pPr>
      <w:r>
        <w:rPr>
          <w:rFonts w:ascii="Times New Roman" w:hAnsi="Times New Roman" w:eastAsia="Times New Roman" w:cs="Times New Roman"/>
        </w:rPr>
        <w:t>“В ту последнюю ночь безумного нечестия Валтасар и его вельможи довершили меру своей вины и вины Халдейского царства. Более рука Божия, удерживавшая зло, не могла отвращать надвигавшееся бедствие. Через многообразные проявления Своего провидения Бог стремился научить их благоговению пред Своим законом. «Врачевали мы Вавилон, но не исцелился», — объявил Он о тех, чей суд теперь достигал до небес (Иеремии 51:9). По причине странного развращения человеческого сердца Бог, наконец, нашёл необходимым произнести непреложный приговор. Валтасару надлежало пасть, а его царству — перейти в иные руки.” Пророки и цари,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Thelathini na Moja</dc:title>
  <dc:subject>ការព្រមានដល់អាមេរិក៖ សារៈសំខាន់នៃការបកស្រាយរបស់ដានីយ៉ែលសម្រាប់សម័យបច្ចុប្បន្ន</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