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Bhuku ya Daniele - Nomboro Makumi Matatu na Mbiri</w:t>
      </w:r>
    </w:p>
    <w:p>
      <w:pPr>
        <w:pStyle w:val="ArticleSubtitle"/>
        <w:jc w:val="left"/>
      </w:pPr>
      <w:r>
        <w:rPr>
          <w:rFonts w:ascii="Segoe UI" w:hAnsi="Segoe UI" w:eastAsia="Segoe UI" w:cs="Segoe UI"/>
        </w:rPr>
        <w:t>من</w:t>
      </w:r>
      <w:r>
        <w:rPr>
          <w:rFonts w:ascii="Arial" w:hAnsi="Arial" w:eastAsia="Arial" w:cs="Arial"/>
        </w:rPr>
        <w:t xml:space="preserve"> </w:t>
      </w:r>
      <w:r>
        <w:rPr>
          <w:rFonts w:ascii="Segoe UI" w:hAnsi="Segoe UI" w:eastAsia="Segoe UI" w:cs="Segoe UI"/>
        </w:rPr>
        <w:t>الأسود</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الخداع</w:t>
      </w:r>
      <w:r>
        <w:rPr>
          <w:rFonts w:ascii="Arial" w:hAnsi="Arial" w:eastAsia="Arial" w:cs="Arial"/>
        </w:rPr>
        <w:t xml:space="preserve">: </w:t>
      </w:r>
      <w:r>
        <w:rPr>
          <w:rFonts w:ascii="Segoe UI" w:hAnsi="Segoe UI" w:eastAsia="Segoe UI" w:cs="Segoe UI"/>
        </w:rPr>
        <w:t>دراسة</w:t>
      </w:r>
      <w:r>
        <w:rPr>
          <w:rFonts w:ascii="Arial" w:hAnsi="Arial" w:eastAsia="Arial" w:cs="Arial"/>
        </w:rPr>
        <w:t xml:space="preserve"> </w:t>
      </w:r>
      <w:r>
        <w:rPr>
          <w:rFonts w:ascii="Segoe UI" w:hAnsi="Segoe UI" w:eastAsia="Segoe UI" w:cs="Segoe UI"/>
        </w:rPr>
        <w:t>متعمقة</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6 </w:t>
      </w:r>
      <w:r>
        <w:rPr>
          <w:rFonts w:ascii="Segoe UI" w:hAnsi="Segoe UI" w:eastAsia="Segoe UI" w:cs="Segoe UI"/>
        </w:rPr>
        <w:t>ونبوة</w:t>
      </w:r>
      <w:r>
        <w:rPr>
          <w:rFonts w:ascii="Arial" w:hAnsi="Arial" w:eastAsia="Arial" w:cs="Arial"/>
        </w:rPr>
        <w:t xml:space="preserve"> </w:t>
      </w:r>
      <w:r>
        <w:rPr>
          <w:rFonts w:ascii="Segoe UI" w:hAnsi="Segoe UI" w:eastAsia="Segoe UI" w:cs="Segoe UI"/>
        </w:rPr>
        <w:t>زمن</w:t>
      </w:r>
      <w:r>
        <w:rPr>
          <w:rFonts w:ascii="Arial" w:hAnsi="Arial" w:eastAsia="Arial" w:cs="Arial"/>
        </w:rPr>
        <w:t xml:space="preserve"> </w:t>
      </w:r>
      <w:r>
        <w:rPr>
          <w:rFonts w:ascii="Segoe UI" w:hAnsi="Segoe UI" w:eastAsia="Segoe UI" w:cs="Segoe UI"/>
        </w:rPr>
        <w:t>النهاية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Daniɛl taagbu 6, yɛ laɣim ka waheebu laɣin ni Daniɛl taagbu bihiɣu 1 ka 6, ka nyɛla m-pahi yɛlɛri ka Sunday law crisis maali. Taagbu 3 ni, Nebukadnezzar salima tomdi, ni biɛhigu ka a yiɣinsɛri tana, yɛla ensign din ka yuli ka tooni, ka duniya pahi ŋuni ka laa.</w:t>
      </w:r>
    </w:p>
    <w:p>
      <w:pPr>
        <w:pStyle w:val="ArticleScripture"/>
        <w:jc w:val="left"/>
      </w:pPr>
      <w:r>
        <w:rPr>
          <w:rFonts w:ascii="Times New Roman" w:hAnsi="Times New Roman" w:eastAsia="Times New Roman" w:cs="Times New Roman"/>
        </w:rPr>
        <w:t>Потоа царот Навуходоносор испрати да се соберат кнезовите, управителите, војводите, судиите, благајниците, советниците, началниците и сите старешини на покраините, за да дојдат на осветувањето на идолот што го беше поставил царот Навуходоносор. Даниел 3:2.</w:t>
      </w:r>
    </w:p>
    <w:p>
      <w:pPr>
        <w:pStyle w:val="ArticleBody"/>
        <w:jc w:val="left"/>
      </w:pPr>
      <w:r>
        <w:rPr>
          <w:rFonts w:ascii="Times New Roman" w:hAnsi="Times New Roman" w:eastAsia="Times New Roman" w:cs="Times New Roman"/>
        </w:rPr>
        <w:t>En el capítulo tres, los tres dignos rehusaron postrarse, y su acción trajo sobre ellos la persecución del horno; mientras que Daniel, en el capítulo seis, se postra tres veces al día, y su acción trajo sobre él la persecución del foso de los leones. Línea sobre línea, ellos representan la persecución de la ley dominical como una decisión de adoración que, en ambos casos, ya ha sido determinada por los fieles. Aquellos representados por la combinación de tres y uno que simboliza a los ciento cuarenta y cuatro mil, se han afirmado en la verdad antes de que llegue el zarandeo de la persecución.</w:t>
      </w:r>
    </w:p>
    <w:p>
      <w:pPr>
        <w:pStyle w:val="ArticleScripture"/>
        <w:jc w:val="left"/>
      </w:pPr>
      <w:r>
        <w:rPr>
          <w:rFonts w:ascii="Times New Roman" w:hAnsi="Times New Roman" w:eastAsia="Times New Roman" w:cs="Times New Roman"/>
        </w:rPr>
        <w:t>“Ingelis ütles: „Salgake iseend; te peate kiiresti edasi astuma.” Mõnel meist on olnud aega tõde vastu võtta ja samm-sammult edasi minna, ning iga samm, mille oleme astunud, on andnud meile jõudu astuda järgmine. Kuid nüüd on aeg peaaegu lõppenud, ja selle, mida meie oleme õppinud aastate jooksul, peavad nemad õppima mõne kuuga. Neil tuleb ka palju unustada ja palju uuesti õppida. Need, kes ei taha vastu võtta metsalise märki ega tema kuju siis, kui käsk välja antakse, peavad juba nüüd olema otsustavad, öeldes: Ei, me ei tunnusta metsalise seadlust.” Early Writings, 68.</w:t>
      </w:r>
    </w:p>
    <w:p>
      <w:pPr>
        <w:pStyle w:val="ArticleBody"/>
        <w:jc w:val="left"/>
      </w:pPr>
      <w:r>
        <w:rPr>
          <w:rFonts w:ascii="Times New Roman" w:hAnsi="Times New Roman" w:eastAsia="Times New Roman" w:cs="Times New Roman"/>
        </w:rPr>
        <w:t>I chapitre cinq, li lei dominical adressa li fin de li bestia del terra, e li judica portat per li inimicos queles venit trans li mure.</w:t>
      </w:r>
    </w:p>
    <w:p>
      <w:pPr>
        <w:pStyle w:val="ArticleScripture"/>
        <w:jc w:val="left"/>
      </w:pPr>
      <w:r>
        <w:rPr>
          <w:rFonts w:ascii="Times New Roman" w:hAnsi="Times New Roman" w:eastAsia="Times New Roman" w:cs="Times New Roman"/>
        </w:rPr>
        <w:t>Im selben Augenblick wurde Belsazar, der König der Chaldäer, getötet. Und Darius, der Meder, empfing das Königreich, als er etwa zweiundsechzig Jahre alt war. Daniel 5,30.31.</w:t>
      </w:r>
    </w:p>
    <w:p>
      <w:pPr>
        <w:pStyle w:val="ArticleBody"/>
        <w:jc w:val="left"/>
      </w:pPr>
      <w:r>
        <w:rPr>
          <w:rFonts w:ascii="Times New Roman" w:hAnsi="Times New Roman" w:eastAsia="Times New Roman" w:cs="Times New Roman"/>
        </w:rPr>
        <w:t>У шостому розділі ототожнюється запечатання Божого народу, представлене тим, що царську печатку було покладено на лев’ячу яму.</w:t>
      </w:r>
    </w:p>
    <w:p>
      <w:pPr>
        <w:pStyle w:val="ArticleScripture"/>
        <w:jc w:val="left"/>
      </w:pPr>
      <w:r>
        <w:rPr>
          <w:rFonts w:ascii="Times New Roman" w:hAnsi="Times New Roman" w:eastAsia="Times New Roman" w:cs="Times New Roman"/>
        </w:rPr>
        <w:t>Ve oneve rhy chreg, ha dodhes war geneu an ogof; hag an brenin a selas ev gans y seeladow owne, ha gans seeladow y arglwydhyon; rag na vynnas an mennas bos chanjys a-dro dhe Daniel. Daniel 6:17.</w:t>
      </w:r>
    </w:p>
    <w:p>
      <w:pPr>
        <w:pStyle w:val="ArticleBody"/>
        <w:jc w:val="left"/>
      </w:pPr>
      <w:r>
        <w:rPr>
          <w:rFonts w:ascii="Times New Roman" w:hAnsi="Times New Roman" w:eastAsia="Times New Roman" w:cs="Times New Roman"/>
        </w:rPr>
        <w:t>De tre linjene bidrar alle til kjennetegnene ved det banneret som løftes opp i en sky, i den time da det store jordskjelvet finner sted i Åpenbaringen kapittel elleve.</w:t>
      </w:r>
    </w:p>
    <w:p>
      <w:pPr>
        <w:pStyle w:val="ArticleScripture"/>
        <w:jc w:val="left"/>
      </w:pPr>
      <w:r>
        <w:rPr>
          <w:rFonts w:ascii="Times New Roman" w:hAnsi="Times New Roman" w:eastAsia="Times New Roman" w:cs="Times New Roman"/>
        </w:rPr>
        <w:t>Et ils entendirent une grande voix venant du ciel, qui leur disait : Montez ici. Et ils montèrent au ciel dans une nuée ; et leurs ennemis les regardèrent. À cette même heure, il y eut un grand tremblement de terre, et le dixième de la ville tomba ; et sept mille hommes furent tués dans le tremblement de terre ; et les autres furent saisis de frayeur, et donnèrent gloire au Dieu du ciel. Apocalypse 11:12, 13.</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हाकिमों</w:t>
      </w:r>
      <w:r>
        <w:rPr>
          <w:rFonts w:ascii="Times New Roman" w:hAnsi="Times New Roman" w:eastAsia="Times New Roman" w:cs="Times New Roman"/>
        </w:rPr>
        <w:t xml:space="preserve">, </w:t>
      </w:r>
      <w:r>
        <w:rPr>
          <w:rFonts w:ascii="Nirmala UI" w:hAnsi="Nirmala UI" w:eastAsia="Nirmala UI" w:cs="Nirmala UI"/>
        </w:rPr>
        <w:t>सरदारों</w:t>
      </w:r>
      <w:r>
        <w:rPr>
          <w:rFonts w:ascii="Times New Roman" w:hAnsi="Times New Roman" w:eastAsia="Times New Roman" w:cs="Times New Roman"/>
        </w:rPr>
        <w:t xml:space="preserve">, </w:t>
      </w:r>
      <w:r>
        <w:rPr>
          <w:rFonts w:ascii="Nirmala UI" w:hAnsi="Nirmala UI" w:eastAsia="Nirmala UI" w:cs="Nirmala UI"/>
        </w:rPr>
        <w:t>मन्त्रियों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सेनापतियों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मरवा</w:t>
      </w:r>
      <w:r>
        <w:rPr>
          <w:rFonts w:ascii="Times New Roman" w:hAnsi="Times New Roman" w:eastAsia="Times New Roman" w:cs="Times New Roman"/>
        </w:rPr>
        <w:t xml:space="preserve"> </w:t>
      </w:r>
      <w:r>
        <w:rPr>
          <w:rFonts w:ascii="Nirmala UI" w:hAnsi="Nirmala UI" w:eastAsia="Nirmala UI" w:cs="Nirmala UI"/>
        </w:rPr>
        <w:t>डालने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उकसाया।</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अनभिज्ञ</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दारियावेश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प्राथमिकता</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MS Gothic" w:hAnsi="MS Gothic" w:eastAsia="MS Gothic" w:cs="MS Gothic"/>
        </w:rPr>
        <w:t>ダニエルは</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総監</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すぐれて</w:t>
      </w:r>
      <w:r>
        <w:rPr>
          <w:rFonts w:ascii="Microsoft YaHei" w:hAnsi="Microsoft YaHei" w:eastAsia="Microsoft YaHei" w:cs="Microsoft YaHei"/>
        </w:rPr>
        <w:t>」</w:t>
      </w:r>
      <w:r>
        <w:rPr>
          <w:rFonts w:ascii="MS Gothic" w:hAnsi="MS Gothic" w:eastAsia="MS Gothic" w:cs="MS Gothic"/>
        </w:rPr>
        <w:t>おり</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三人</w:t>
      </w:r>
      <w:r>
        <w:rPr>
          <w:rFonts w:ascii="MS Gothic" w:hAnsi="MS Gothic" w:eastAsia="MS Gothic" w:cs="MS Gothic"/>
        </w:rPr>
        <w:t>の</w:t>
      </w:r>
      <w:r>
        <w:rPr>
          <w:rFonts w:ascii="Microsoft YaHei" w:hAnsi="Microsoft YaHei" w:eastAsia="Microsoft YaHei" w:cs="Microsoft YaHei"/>
        </w:rPr>
        <w:t>総監</w:t>
      </w:r>
      <w:r>
        <w:rPr>
          <w:rFonts w:ascii="MS Gothic" w:hAnsi="MS Gothic" w:eastAsia="MS Gothic" w:cs="MS Gothic"/>
        </w:rPr>
        <w:t>は</w:t>
      </w:r>
      <w:r>
        <w:rPr>
          <w:rFonts w:ascii="Microsoft YaHei" w:hAnsi="Microsoft YaHei" w:eastAsia="Microsoft YaHei" w:cs="Microsoft YaHei"/>
        </w:rPr>
        <w:t>百二十人</w:t>
      </w:r>
      <w:r>
        <w:rPr>
          <w:rFonts w:ascii="MS Gothic" w:hAnsi="MS Gothic" w:eastAsia="MS Gothic" w:cs="MS Gothic"/>
        </w:rPr>
        <w:t>の</w:t>
      </w:r>
      <w:r>
        <w:rPr>
          <w:rFonts w:ascii="Microsoft YaHei" w:hAnsi="Microsoft YaHei" w:eastAsia="Microsoft YaHei" w:cs="Microsoft YaHei"/>
        </w:rPr>
        <w:t>太守</w:t>
      </w:r>
      <w:r>
        <w:rPr>
          <w:rFonts w:ascii="MS Gothic" w:hAnsi="MS Gothic" w:eastAsia="MS Gothic" w:cs="MS Gothic"/>
        </w:rPr>
        <w:t>たちの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かれていた</w:t>
      </w:r>
      <w:r>
        <w:rPr>
          <w:rFonts w:ascii="Times New Roman" w:hAnsi="Times New Roman" w:eastAsia="Times New Roman" w:cs="Times New Roman"/>
        </w:rPr>
        <w:t>.</w:t>
      </w:r>
      <w:r>
        <w:rPr>
          <w:rFonts w:ascii="MS Gothic" w:hAnsi="MS Gothic" w:eastAsia="MS Gothic" w:cs="MS Gothic"/>
        </w:rPr>
        <w:t>ダニエルは</w:t>
      </w:r>
      <w:r>
        <w:rPr>
          <w:rFonts w:ascii="Microsoft YaHei" w:hAnsi="Microsoft YaHei" w:eastAsia="Microsoft YaHei" w:cs="Microsoft YaHei"/>
        </w:rPr>
        <w:t>主</w:t>
      </w:r>
      <w:r>
        <w:rPr>
          <w:rFonts w:ascii="MS Gothic" w:hAnsi="MS Gothic" w:eastAsia="MS Gothic" w:cs="MS Gothic"/>
        </w:rPr>
        <w:t>として</w:t>
      </w:r>
      <w:r>
        <w:rPr>
          <w:rFonts w:ascii="Microsoft YaHei" w:hAnsi="Microsoft YaHei" w:eastAsia="Microsoft YaHei" w:cs="Microsoft YaHei"/>
        </w:rPr>
        <w:t>総監</w:t>
      </w:r>
      <w:r>
        <w:rPr>
          <w:rFonts w:ascii="MS Gothic" w:hAnsi="MS Gothic" w:eastAsia="MS Gothic" w:cs="MS Gothic"/>
        </w:rPr>
        <w:t>たちおよび</w:t>
      </w:r>
      <w:r>
        <w:rPr>
          <w:rFonts w:ascii="Microsoft YaHei" w:hAnsi="Microsoft YaHei" w:eastAsia="Microsoft YaHei" w:cs="Microsoft YaHei"/>
        </w:rPr>
        <w:t>太守</w:t>
      </w:r>
      <w:r>
        <w:rPr>
          <w:rFonts w:ascii="MS Gothic" w:hAnsi="MS Gothic" w:eastAsia="MS Gothic" w:cs="MS Gothic"/>
        </w:rPr>
        <w:t>たちと</w:t>
      </w:r>
      <w:r>
        <w:rPr>
          <w:rFonts w:ascii="Microsoft YaHei" w:hAnsi="Microsoft YaHei" w:eastAsia="Microsoft YaHei" w:cs="Microsoft YaHei"/>
        </w:rPr>
        <w:t>対比</w:t>
      </w:r>
      <w:r>
        <w:rPr>
          <w:rFonts w:ascii="MS Gothic" w:hAnsi="MS Gothic" w:eastAsia="MS Gothic" w:cs="MS Gothic"/>
        </w:rPr>
        <w:t>されており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、五（五人</w:t>
      </w:r>
      <w:r>
        <w:rPr>
          <w:rFonts w:ascii="MS Gothic" w:hAnsi="MS Gothic" w:eastAsia="MS Gothic" w:cs="MS Gothic"/>
        </w:rPr>
        <w:t>のおろかな</w:t>
      </w:r>
      <w:r>
        <w:rPr>
          <w:rFonts w:ascii="Microsoft YaHei" w:hAnsi="Microsoft YaHei" w:eastAsia="Microsoft YaHei" w:cs="Microsoft YaHei"/>
        </w:rPr>
        <w:t>処女）</w:t>
      </w:r>
      <w:r>
        <w:rPr>
          <w:rFonts w:ascii="MS Gothic" w:hAnsi="MS Gothic" w:eastAsia="MS Gothic" w:cs="MS Gothic"/>
        </w:rPr>
        <w:t>によって</w:t>
      </w:r>
      <w:r>
        <w:rPr>
          <w:rFonts w:ascii="Microsoft YaHei" w:hAnsi="Microsoft YaHei" w:eastAsia="Microsoft YaHei" w:cs="Microsoft YaHei"/>
        </w:rPr>
        <w:t>表象</w:t>
      </w:r>
      <w:r>
        <w:rPr>
          <w:rFonts w:ascii="MS Gothic" w:hAnsi="MS Gothic" w:eastAsia="MS Gothic" w:cs="MS Gothic"/>
        </w:rPr>
        <w:t>される</w:t>
      </w:r>
      <w:r>
        <w:rPr>
          <w:rFonts w:ascii="Microsoft YaHei" w:hAnsi="Microsoft YaHei" w:eastAsia="Microsoft YaHei" w:cs="Microsoft YaHei"/>
        </w:rPr>
        <w:t>欺</w:t>
      </w:r>
      <w:r>
        <w:rPr>
          <w:rFonts w:ascii="MS Gothic" w:hAnsi="MS Gothic" w:eastAsia="MS Gothic" w:cs="MS Gothic"/>
        </w:rPr>
        <w:t>きの</w:t>
      </w:r>
      <w:r>
        <w:rPr>
          <w:rFonts w:ascii="Microsoft YaHei" w:hAnsi="Microsoft YaHei" w:eastAsia="Microsoft YaHei" w:cs="Microsoft YaHei"/>
        </w:rPr>
        <w:t>同盟</w:t>
      </w:r>
      <w:r>
        <w:rPr>
          <w:rFonts w:ascii="MS Gothic" w:hAnsi="MS Gothic" w:eastAsia="MS Gothic" w:cs="MS Gothic"/>
        </w:rPr>
        <w:t>を</w:t>
      </w:r>
      <w:r>
        <w:rPr>
          <w:rFonts w:ascii="Microsoft YaHei" w:hAnsi="Microsoft YaHei" w:eastAsia="Microsoft YaHei" w:cs="Microsoft YaHei"/>
        </w:rPr>
        <w:t>成</w:t>
      </w:r>
      <w:r>
        <w:rPr>
          <w:rFonts w:ascii="MS Gothic" w:hAnsi="MS Gothic" w:eastAsia="MS Gothic" w:cs="MS Gothic"/>
        </w:rPr>
        <w:t>すその</w:t>
      </w:r>
      <w:r>
        <w:rPr>
          <w:rFonts w:ascii="Microsoft YaHei" w:hAnsi="Microsoft YaHei" w:eastAsia="Microsoft YaHei" w:cs="Microsoft YaHei"/>
        </w:rPr>
        <w:t>二人以上</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いっそう</w:t>
      </w:r>
      <w:r>
        <w:rPr>
          <w:rFonts w:ascii="Microsoft YaHei" w:hAnsi="Microsoft YaHei" w:eastAsia="Microsoft YaHei" w:cs="Microsoft YaHei"/>
        </w:rPr>
        <w:t>寵遇</w:t>
      </w:r>
      <w:r>
        <w:rPr>
          <w:rFonts w:ascii="MS Gothic" w:hAnsi="MS Gothic" w:eastAsia="MS Gothic" w:cs="MS Gothic"/>
        </w:rPr>
        <w:t>されている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Dario sukis naitalaga sa kaharian ang isang daan at dalawampung prinsipe, na mangangasiwa sa buong kaharian; at sa ibabaw nila ay tatlong pangulo, na doo’y si Daniel ang una: upang ang mga prinsipe ay magsulit sa kanila, at ang hari ay hindi mapinsala. Nang magkagayo’y itinangi itong si Daniel nang higit kaysa sa mga pangulo at mga prinsipe, sapagkat isang marangal na espiritu ang nasa kaniya; at inisip ng hari na ilagay siya sa ibabaw ng buong kaharian. Nang magkagayo’y humanap ang mga pangulo at mga prinsipe ng maipararatang laban kay Daniel tungkol sa kaharian; ngunit wala silang masumpungang maipararatang ni pagkukulang man; sapagkat siya’y tapat, ni nasumpungan man sa kaniya ang anumang kamalian o pagkukulang. Nang magkagayo’y sinabi ng mga lalaking ito, Hindi tayo makasusumpong ng anumang maipararatang laban sa Daniel na ito, maliban na masumpungan natin iyon laban sa kaniya tungkol sa kautusan ng kaniyang Dios. Daniel 6:1–5.</w:t>
      </w:r>
    </w:p>
    <w:p>
      <w:pPr>
        <w:pStyle w:val="ArticleBody"/>
        <w:jc w:val="left"/>
      </w:pPr>
      <w:r>
        <w:rPr>
          <w:rFonts w:ascii="Times New Roman" w:hAnsi="Times New Roman" w:eastAsia="Times New Roman" w:cs="Times New Roman"/>
        </w:rPr>
        <w:t>داریوش برای نشان دادن فریبی به‌کار گرفته می‌شود که در پایان جهان بر ضدّ پادشاه انجام می‌گیرد؛ پادشاهی که نمودار ده پادشاه است (سازمان ملل متحد). این فریب به آن نفرتی یاری می‌رساند که ده پادشاه (سازمان ملل متحد) بر ضدّ فاحشه (پاپیّت) آشکار می‌سازند، و این امر سبب می‌شود که «او را ویران و عریان سازند» و «گوشتش را بخورند و او را به آتش بسوزانند.»</w:t>
      </w:r>
    </w:p>
    <w:p>
      <w:pPr>
        <w:pStyle w:val="ArticleScripture"/>
        <w:jc w:val="left"/>
      </w:pPr>
      <w:r>
        <w:rPr>
          <w:rFonts w:ascii="Times New Roman" w:hAnsi="Times New Roman" w:eastAsia="Times New Roman" w:cs="Times New Roman"/>
        </w:rPr>
        <w:t>Et les dix cornes que tu as vues sur la bête, celles-là haïront la prostituée, la rendront déserte et nue, mangeront sa chair, et la consumeront par le feu. Car Dieu a mis dans leurs cœurs d’accomplir son dessein, d’être d’un même avis, et de donner leur royauté à la bête, jusqu’à ce que les paroles de Dieu soient accomplies. Et la femme que tu as vue, c’est la grande ville qui règne sur les rois de la terre. Apocalypse 17:16–18.</w:t>
      </w:r>
    </w:p>
    <w:p>
      <w:pPr>
        <w:pStyle w:val="ArticleBody"/>
        <w:jc w:val="left"/>
      </w:pPr>
      <w:r>
        <w:rPr>
          <w:rFonts w:ascii="MV Boli" w:hAnsi="MV Boli" w:eastAsia="MV Boli" w:cs="MV Boli"/>
        </w:rPr>
        <w:t>ޔުނައިޓެޑް</w:t>
      </w:r>
      <w:r>
        <w:rPr>
          <w:rFonts w:ascii="Times New Roman" w:hAnsi="Times New Roman" w:eastAsia="Times New Roman" w:cs="Times New Roman"/>
        </w:rPr>
        <w:t xml:space="preserve"> </w:t>
      </w:r>
      <w:r>
        <w:rPr>
          <w:rFonts w:ascii="MV Boli" w:hAnsi="MV Boli" w:eastAsia="MV Boli" w:cs="MV Boli"/>
        </w:rPr>
        <w:t>ނޭޝަންސް</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މަންދޫބުކަން</w:t>
      </w:r>
      <w:r>
        <w:rPr>
          <w:rFonts w:ascii="Times New Roman" w:hAnsi="Times New Roman" w:eastAsia="Times New Roman" w:cs="Times New Roman"/>
        </w:rPr>
        <w:t xml:space="preserve">)، </w:t>
      </w:r>
      <w:r>
        <w:rPr>
          <w:rFonts w:ascii="MV Boli" w:hAnsi="MV Boli" w:eastAsia="MV Boli" w:cs="MV Boli"/>
        </w:rPr>
        <w:t>ޕޭޕަސީ</w:t>
      </w:r>
      <w:r>
        <w:rPr>
          <w:rFonts w:ascii="Times New Roman" w:hAnsi="Times New Roman" w:eastAsia="Times New Roman" w:cs="Times New Roman"/>
        </w:rPr>
        <w:t xml:space="preserve"> </w:t>
      </w:r>
      <w:r>
        <w:rPr>
          <w:rFonts w:ascii="MV Boli" w:hAnsi="MV Boli" w:eastAsia="MV Boli" w:cs="MV Boli"/>
        </w:rPr>
        <w:t>ނައްތާލައިފާނެ</w:t>
      </w:r>
      <w:r>
        <w:rPr>
          <w:rFonts w:ascii="Times New Roman" w:hAnsi="Times New Roman" w:eastAsia="Times New Roman" w:cs="Times New Roman"/>
        </w:rPr>
        <w:t xml:space="preserve">، </w:t>
      </w:r>
      <w:r>
        <w:rPr>
          <w:rFonts w:ascii="MV Boli" w:hAnsi="MV Boli" w:eastAsia="MV Boli" w:cs="MV Boli"/>
        </w:rPr>
        <w:t>އެކަމަކު</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މަންދޫބުކަން</w:t>
      </w:r>
      <w:r>
        <w:rPr>
          <w:rFonts w:ascii="Times New Roman" w:hAnsi="Times New Roman" w:eastAsia="Times New Roman" w:cs="Times New Roman"/>
        </w:rPr>
        <w:t xml:space="preserve"> </w:t>
      </w:r>
      <w:r>
        <w:rPr>
          <w:rFonts w:ascii="MV Boli" w:hAnsi="MV Boli" w:eastAsia="MV Boli" w:cs="MV Boli"/>
        </w:rPr>
        <w:t>ދީފައިވާނީ</w:t>
      </w:r>
      <w:r>
        <w:rPr>
          <w:rFonts w:ascii="Times New Roman" w:hAnsi="Times New Roman" w:eastAsia="Times New Roman" w:cs="Times New Roman"/>
        </w:rPr>
        <w:t xml:space="preserve"> </w:t>
      </w:r>
      <w:r>
        <w:rPr>
          <w:rFonts w:ascii="MV Boli" w:hAnsi="MV Boli" w:eastAsia="MV Boli" w:cs="MV Boli"/>
        </w:rPr>
        <w:t>އެހާ</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މުއްދަތެއްގައި</w:t>
      </w:r>
      <w:r>
        <w:rPr>
          <w:rFonts w:ascii="Times New Roman" w:hAnsi="Times New Roman" w:eastAsia="Times New Roman" w:cs="Times New Roman"/>
        </w:rPr>
        <w:t xml:space="preserve"> </w:t>
      </w:r>
      <w:r>
        <w:rPr>
          <w:rFonts w:ascii="MV Boli" w:hAnsi="MV Boli" w:eastAsia="MV Boli" w:cs="MV Boli"/>
        </w:rPr>
        <w:t>ކަމުން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ހިނގާނީ</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ވަގުތެއް</w:t>
      </w:r>
      <w:r>
        <w:rPr>
          <w:rFonts w:ascii="Times New Roman" w:hAnsi="Times New Roman" w:eastAsia="Times New Roman" w:cs="Times New Roman"/>
        </w:rPr>
        <w:t xml:space="preserve">” </w:t>
      </w:r>
      <w:r>
        <w:rPr>
          <w:rFonts w:ascii="MV Boli" w:hAnsi="MV Boli" w:eastAsia="MV Boli" w:cs="MV Boli"/>
        </w:rPr>
        <w:t>ފަށައިގެންނެވެ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il y a sept rois : cinq sont tombés, l’un est, et l’autre n’est pas encore venu ; et quand il sera venu, il doit demeurer peu de temps. Apocalypse 17:10.</w:t>
      </w:r>
    </w:p>
    <w:p>
      <w:pPr>
        <w:pStyle w:val="ArticleBody"/>
        <w:jc w:val="left"/>
      </w:pPr>
      <w:r>
        <w:rPr>
          <w:rFonts w:ascii="Times New Roman" w:hAnsi="Times New Roman" w:eastAsia="Times New Roman" w:cs="Times New Roman"/>
        </w:rPr>
        <w:t>Au temps de la loi dominicale, le sixième royaume de la prophétie biblique, la bête de la terre d’Apocalypse 13 (les États-Unis), vient d’achever son règne des soixante-dix années symboliques, au cours desquelles le cinquième royaume de la prophétie biblique, la bête de la mer d’Apocalypse 13 (la papauté), a été oublié pendant ces soixante-dix années symboliques d’Ésaïe chapitre 23.</w:t>
      </w:r>
    </w:p>
    <w:p>
      <w:pPr>
        <w:pStyle w:val="ArticleScripture"/>
        <w:jc w:val="left"/>
      </w:pPr>
      <w:r>
        <w:rPr>
          <w:rFonts w:ascii="Times New Roman" w:hAnsi="Times New Roman" w:eastAsia="Times New Roman" w:cs="Times New Roman"/>
        </w:rPr>
        <w:t>Et il arrivera, en ce jour-là, que Tyr sera oubliée pendant soixante-dix ans, selon les jours d’un seul roi; au bout de soixante-dix ans, il en sera de Tyr comme dans le chant de la prostituée. Prends une harpe, fais le tour de la ville, prostituée oubliée; fais entendre une douce mélodie, chante de nombreux chants, afin qu’on se souvienne de toi. Et il arrivera, après soixante-dix ans, que l’Éternel visitera Tyr; alors elle retournera à son salaire, et se prostituera avec tous les royaumes du monde sur la face de la terre. Ésaïe 23:15–17.</w:t>
      </w:r>
    </w:p>
    <w:p>
      <w:pPr>
        <w:pStyle w:val="ArticleBody"/>
        <w:jc w:val="left"/>
      </w:pPr>
      <w:r>
        <w:rPr>
          <w:rFonts w:ascii="Leelawadee UI" w:hAnsi="Leelawadee UI" w:eastAsia="Leelawadee UI" w:cs="Leelawadee UI"/>
        </w:rPr>
        <w:t>នៅពេលច្បាប់ថ្ងៃអាទិត្យត្រូវបានអនុវត្ត</w:t>
      </w:r>
      <w:r>
        <w:rPr>
          <w:rFonts w:ascii="Times New Roman" w:hAnsi="Times New Roman" w:eastAsia="Times New Roman" w:cs="Times New Roman"/>
        </w:rPr>
        <w:t xml:space="preserve"> </w:t>
      </w:r>
      <w:r>
        <w:rPr>
          <w:rFonts w:ascii="Leelawadee UI" w:hAnsi="Leelawadee UI" w:eastAsia="Leelawadee UI" w:cs="Leelawadee UI"/>
        </w:rPr>
        <w:t>នគរទីប្រាំពីរនៃពាក្យទំនាយក្នុងព្រះគម្ពីរ</w:t>
      </w:r>
      <w:r>
        <w:rPr>
          <w:rFonts w:ascii="Times New Roman" w:hAnsi="Times New Roman" w:eastAsia="Times New Roman" w:cs="Times New Roman"/>
        </w:rPr>
        <w:t xml:space="preserve"> </w:t>
      </w:r>
      <w:r>
        <w:rPr>
          <w:rFonts w:ascii="Leelawadee UI" w:hAnsi="Leelawadee UI" w:eastAsia="Leelawadee UI" w:cs="Leelawadee UI"/>
        </w:rPr>
        <w:t>គឺស្តេចដប់អង្គ</w:t>
      </w:r>
      <w:r>
        <w:rPr>
          <w:rFonts w:ascii="Times New Roman" w:hAnsi="Times New Roman" w:eastAsia="Times New Roman" w:cs="Times New Roman"/>
        </w:rPr>
        <w:t xml:space="preserve"> (</w:t>
      </w:r>
      <w:r>
        <w:rPr>
          <w:rFonts w:ascii="Leelawadee UI" w:hAnsi="Leelawadee UI" w:eastAsia="Leelawadee UI" w:cs="Leelawadee UI"/>
        </w:rPr>
        <w:t>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ចាប់ផ្តើមគ្រងរាជ្យ</w:t>
      </w:r>
      <w:r>
        <w:rPr>
          <w:rFonts w:ascii="Times New Roman" w:hAnsi="Times New Roman" w:eastAsia="Times New Roman" w:cs="Times New Roman"/>
        </w:rPr>
        <w:t xml:space="preserve"> </w:t>
      </w:r>
      <w:r>
        <w:rPr>
          <w:rFonts w:ascii="Leelawadee UI" w:hAnsi="Leelawadee UI" w:eastAsia="Leelawadee UI" w:cs="Leelawadee UI"/>
        </w:rPr>
        <w:t>ប៉ុន្តែតែរយៈពេលខ្លីប៉ុណ្ណោះ</w:t>
      </w:r>
      <w:r>
        <w:rPr>
          <w:rFonts w:ascii="Times New Roman" w:hAnsi="Times New Roman" w:eastAsia="Times New Roman" w:cs="Times New Roman"/>
        </w:rPr>
        <w:t xml:space="preserve"> </w:t>
      </w:r>
      <w:r>
        <w:rPr>
          <w:rFonts w:ascii="Leelawadee UI" w:hAnsi="Leelawadee UI" w:eastAsia="Leelawadee UI" w:cs="Leelawadee UI"/>
        </w:rPr>
        <w:t>ដ្បិតស្តេចសំខាន់បំផុតក្នុងចំណោមស្តេចដប់អង្គនោះ</w:t>
      </w:r>
      <w:r>
        <w:rPr>
          <w:rFonts w:ascii="Times New Roman" w:hAnsi="Times New Roman" w:eastAsia="Times New Roman" w:cs="Times New Roman"/>
        </w:rPr>
        <w:t xml:space="preserve"> </w:t>
      </w:r>
      <w:r>
        <w:rPr>
          <w:rFonts w:ascii="Leelawadee UI" w:hAnsi="Leelawadee UI" w:eastAsia="Leelawadee UI" w:cs="Leelawadee UI"/>
        </w:rPr>
        <w:t>ក៏ចាប់ផ្តើមការងាររបស់ខ្លួនក្នុងការបង្ខំឲ្យពិភពលោកទាំងមូលសម្របខ្លួនឲ្យស្ថិតក្រោមរចនាសម្ព័ន្ធរបស់សត្វសាហាវ</w:t>
      </w:r>
      <w:r>
        <w:rPr>
          <w:rFonts w:ascii="Times New Roman" w:hAnsi="Times New Roman" w:eastAsia="Times New Roman" w:cs="Times New Roman"/>
        </w:rPr>
        <w:t xml:space="preserve"> </w:t>
      </w:r>
      <w:r>
        <w:rPr>
          <w:rFonts w:ascii="Leelawadee UI" w:hAnsi="Leelawadee UI" w:eastAsia="Leelawadee UI" w:cs="Leelawadee UI"/>
        </w:rPr>
        <w:t>ដែលជាការរួមបញ្ចូលគ្នារវាងសាសនាចក្រ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ហើយត្រូវបាននិមិត្តសញ្ញាថាជារូបសត្វសាហាវ។</w:t>
      </w:r>
    </w:p>
    <w:p>
      <w:pPr>
        <w:pStyle w:val="ArticleScripture"/>
        <w:jc w:val="left"/>
      </w:pPr>
      <w:r>
        <w:rPr>
          <w:rFonts w:ascii="Times New Roman" w:hAnsi="Times New Roman" w:eastAsia="Times New Roman" w:cs="Times New Roman"/>
        </w:rPr>
        <w:t>Viděl jsem jinou šelmu, vystupující ze země; měla dva rohy podobné beránčím, ale mluvila jako drak. A vykonává všechnu moc první šelmy před její tváří a působí, aby země i ti, kdo na ní přebývají, uctívali první šelmu, jejíž smrtelná rána byla uzdravena. A činí veliká znamení, takže i oheň nechává sestupovat z nebe na zem před zraky lidí. A svádí obyvatele země těmi zázraky, které jí bylo dáno činit před tváří šelmy; a říká obyvatelům země, aby zhotovili obraz té šelmě, která byla raněna mečem, a přece zůstala naživu. Zjevení 13,11–14.</w:t>
      </w:r>
    </w:p>
    <w:p>
      <w:pPr>
        <w:pStyle w:val="ArticleBody"/>
        <w:jc w:val="left"/>
      </w:pPr>
      <w:r>
        <w:rPr>
          <w:rFonts w:ascii="Nirmala UI" w:hAnsi="Nirmala UI" w:eastAsia="Nirmala UI" w:cs="Nirmala UI"/>
        </w:rPr>
        <w:t>भू</w:t>
      </w:r>
      <w:r>
        <w:rPr>
          <w:rFonts w:ascii="Times New Roman" w:hAnsi="Times New Roman" w:eastAsia="Times New Roman" w:cs="Times New Roman"/>
        </w:rPr>
        <w:t>-</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भविष्यद्वक्तापरक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विधायी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प्राधिकारों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 Le fait que la nation parle est l’action de ses autorités législatives et judiciaires. » The Great Controversy, 443.</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মেষশাবকের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প্রণয়ন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পাপাসি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ইউরোপের</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নির্যাতন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পলায়নকারী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আশ্রয়ভূমি</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Scripture"/>
        <w:jc w:val="left"/>
      </w:pPr>
      <w:r>
        <w:rPr>
          <w:rFonts w:ascii="Times New Roman" w:hAnsi="Times New Roman" w:eastAsia="Times New Roman" w:cs="Times New Roman"/>
        </w:rPr>
        <w:t>Na dunia ikamsaidia yule mwanamke, nayo dunia ikafungua kinywa chake, ikaumeza huo mto alioutapika yule joka kutoka kinywani mwake. Ufunuo 12:16.</w:t>
      </w:r>
    </w:p>
    <w:p>
      <w:pPr>
        <w:pStyle w:val="ArticleBody"/>
        <w:jc w:val="left"/>
      </w:pPr>
      <w:r>
        <w:rPr>
          <w:rFonts w:ascii="Times New Roman" w:hAnsi="Times New Roman" w:eastAsia="Times New Roman" w:cs="Times New Roman"/>
        </w:rPr>
        <w:t>Et à la fin des soixante-dix années symboliques, la bête de la terre parle de nouveau, mais alors comme un dragon, lorsqu’elle impose l’observance du dimanche, qui est la marque de l’autorité papale. Lorsque la marque de l’autorité papale est imposée, la papauté est rappelée à la mémoire, et elle est rappelée à la mémoire lorsque le Commandement qui ne devait jamais être oublié est rendu illégal à observer.</w:t>
      </w:r>
    </w:p>
    <w:p>
      <w:pPr>
        <w:pStyle w:val="ArticleScripture"/>
        <w:jc w:val="left"/>
      </w:pPr>
      <w:r>
        <w:rPr>
          <w:rFonts w:ascii="Times New Roman" w:hAnsi="Times New Roman" w:eastAsia="Times New Roman" w:cs="Times New Roman"/>
        </w:rPr>
        <w:t>Souviens-toi du jour du sabbat, pour le sanctifier. Tu travailleras six jours, et tu feras tout ton ouvrage; mais le septième jour est le sabbat de l’Éternel, ton Dieu: tu ne feras aucun ouvrage en ce jour-là, ni toi, ni ton fils, ni ta fille, ni ton serviteur, ni ta servante, ni ton bétail, ni l’étranger qui est dans tes portes. Car en six jours l’Éternel a fait les cieux et la terre, la mer, et tout ce qui y est, et il s’est reposé le septième jour: c’est pourquoi l’Éternel a béni le jour du sabbat et l’a sanctifié. Exode 20:8–11.</w:t>
      </w:r>
    </w:p>
    <w:p>
      <w:pPr>
        <w:pStyle w:val="ArticleBody"/>
        <w:jc w:val="left"/>
      </w:pPr>
      <w:r>
        <w:rPr>
          <w:rFonts w:ascii="Times New Roman" w:hAnsi="Times New Roman" w:eastAsia="Times New Roman" w:cs="Times New Roman"/>
        </w:rPr>
        <w:t>Apostasia ya taifa hufuatiwa basi na maangamizi ya taifa, na mamlaka yale matatu yanayoiongoza dunia hadi Har–Magedoni huungana mikono.</w:t>
      </w:r>
    </w:p>
    <w:p>
      <w:pPr>
        <w:pStyle w:val="ArticleScripture"/>
        <w:jc w:val="left"/>
      </w:pPr>
      <w:r>
        <w:rPr>
          <w:rFonts w:ascii="Times New Roman" w:hAnsi="Times New Roman" w:eastAsia="Times New Roman" w:cs="Times New Roman"/>
        </w:rPr>
        <w:t>“Dɔkɔlɔn dekre la, mɛn bɛ Papasi sigiyɔrɔ law kɛ ka tugu Ala sariyalan kan, an jamana bɛ a yɛrɛ bɔ kosɛbɛ tilennenya la. Ni Pɔrɔtɛsitantizimu bɛ a bolo sɔrɔ ka tɛmɛ fɔlɔfurancɛ kan walasa ka Roman sɛbɛnna fanga bolo minɛ, ni a bɛ a yɛrɛ nɔgɔya kɔfɛ ka bolo fara Niniyaliw ni, ni, nin sabatali kelen-saba la minnu bɛ se ka an jamana dɛmɛ, an faso bɛ a yafa a Konstitisɔn fɛɛrɛ bɛɛ minnu ye a kɛra Pɔrɔtɛsitant ni repibliki gɔfɛrɛmɛn kɛrɛfɔ ye, ani a bɛ dabɔ ka Papasi kalanw ni fanfanga-jɛliw yɛlɛma ka dɔ fara, o tuma la an bɛ se ka dɔn ko Sitan ka baara kabakotigɛnin ye yɔrɔ min na, ani ko laban surun na.” Testimonies, volume 5, 451.</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প্রোটেস্ট্যান্টবাদ</w:t>
      </w:r>
      <w:r>
        <w:rPr>
          <w:rFonts w:ascii="Times New Roman" w:hAnsi="Times New Roman" w:eastAsia="Times New Roman" w:cs="Times New Roman"/>
        </w:rPr>
        <w:t>” (</w:t>
      </w:r>
      <w:r>
        <w:rPr>
          <w:rFonts w:ascii="Nirmala UI" w:hAnsi="Nirmala UI" w:eastAsia="Nirmala UI" w:cs="Nirmala UI"/>
        </w:rPr>
        <w:t>যুক্তরাষ্ট্র</w:t>
      </w:r>
      <w:r>
        <w:rPr>
          <w:rFonts w:ascii="Times New Roman" w:hAnsi="Times New Roman" w:eastAsia="Times New Roman" w:cs="Times New Roman"/>
        </w:rPr>
        <w:t>),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w:t>
      </w:r>
      <w:r>
        <w:rPr>
          <w:rFonts w:ascii="Nirmala UI" w:hAnsi="Nirmala UI" w:eastAsia="Nirmala UI" w:cs="Nirmala UI"/>
        </w:rPr>
        <w:t>ভ্যাটিকান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আত্মাবাদ</w:t>
      </w:r>
      <w:r>
        <w:rPr>
          <w:rFonts w:ascii="Times New Roman" w:hAnsi="Times New Roman" w:eastAsia="Times New Roman" w:cs="Times New Roman"/>
        </w:rPr>
        <w:t>” (</w:t>
      </w:r>
      <w:r>
        <w:rPr>
          <w:rFonts w:ascii="Nirmala UI" w:hAnsi="Nirmala UI" w:eastAsia="Nirmala UI" w:cs="Nirmala UI"/>
        </w:rPr>
        <w:t>জাতিসংঘ</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প্রণয়নের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মেলায়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বিশ্বকে</w:t>
      </w:r>
      <w:r>
        <w:rPr>
          <w:rFonts w:ascii="Times New Roman" w:hAnsi="Times New Roman" w:eastAsia="Times New Roman" w:cs="Times New Roman"/>
        </w:rPr>
        <w:t xml:space="preserve"> </w:t>
      </w:r>
      <w:r>
        <w:rPr>
          <w:rFonts w:ascii="Nirmala UI" w:hAnsi="Nirmala UI" w:eastAsia="Nirmala UI" w:cs="Nirmala UI"/>
        </w:rPr>
        <w:t>আরমাগেদ্দনের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বিশ্বকে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বিশ্ব</w:t>
      </w:r>
      <w:r>
        <w:rPr>
          <w:rFonts w:ascii="Times New Roman" w:hAnsi="Times New Roman" w:eastAsia="Times New Roman" w:cs="Times New Roman"/>
        </w:rPr>
        <w:t>-</w:t>
      </w:r>
      <w:r>
        <w:rPr>
          <w:rFonts w:ascii="Nirmala UI" w:hAnsi="Nirmala UI" w:eastAsia="Nirmala UI" w:cs="Nirmala UI"/>
        </w:rPr>
        <w:t>সরকারের</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রাষ্ট্রের</w:t>
      </w:r>
      <w:r>
        <w:rPr>
          <w:rFonts w:ascii="Times New Roman" w:hAnsi="Times New Roman" w:eastAsia="Times New Roman" w:cs="Times New Roman"/>
        </w:rPr>
        <w:t xml:space="preserve"> </w:t>
      </w:r>
      <w:r>
        <w:rPr>
          <w:rFonts w:ascii="Nirmala UI" w:hAnsi="Nirmala UI" w:eastAsia="Nirmala UI" w:cs="Nirmala UI"/>
        </w:rPr>
        <w:t>সমন্বয়ে</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সম্পর্কের</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গির্জার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অলৌকিক</w:t>
      </w:r>
      <w:r>
        <w:rPr>
          <w:rFonts w:ascii="Times New Roman" w:hAnsi="Times New Roman" w:eastAsia="Times New Roman" w:cs="Times New Roman"/>
        </w:rPr>
        <w:t xml:space="preserve"> </w:t>
      </w:r>
      <w:r>
        <w:rPr>
          <w:rFonts w:ascii="Nirmala UI" w:hAnsi="Nirmala UI" w:eastAsia="Nirmala UI" w:cs="Nirmala UI"/>
        </w:rPr>
        <w:t>কার্যকলাপের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তূরের</w:t>
      </w:r>
      <w:r>
        <w:rPr>
          <w:rFonts w:ascii="Times New Roman" w:hAnsi="Times New Roman" w:eastAsia="Times New Roman" w:cs="Times New Roman"/>
        </w:rPr>
        <w:t xml:space="preserve"> </w:t>
      </w:r>
      <w:r>
        <w:rPr>
          <w:rFonts w:ascii="Nirmala UI" w:hAnsi="Nirmala UI" w:eastAsia="Nirmala UI" w:cs="Nirmala UI"/>
        </w:rPr>
        <w:t>বেশ্যার</w:t>
      </w:r>
      <w:r>
        <w:rPr>
          <w:rFonts w:ascii="Times New Roman" w:hAnsi="Times New Roman" w:eastAsia="Times New Roman" w:cs="Times New Roman"/>
        </w:rPr>
        <w:t xml:space="preserve"> </w:t>
      </w:r>
      <w:r>
        <w:rPr>
          <w:rFonts w:ascii="Nirmala UI" w:hAnsi="Nirmala UI" w:eastAsia="Nirmala UI" w:cs="Nirmala UI"/>
        </w:rPr>
        <w:t>ব্যভিচারই</w:t>
      </w:r>
      <w:r>
        <w:rPr>
          <w:rFonts w:ascii="Times New Roman" w:hAnsi="Times New Roman" w:eastAsia="Times New Roman" w:cs="Times New Roman"/>
        </w:rPr>
        <w:t xml:space="preserve"> </w:t>
      </w:r>
      <w:r>
        <w:rPr>
          <w:rFonts w:ascii="Nirmala UI" w:hAnsi="Nirmala UI" w:eastAsia="Nirmala UI" w:cs="Nirmala UI"/>
        </w:rPr>
        <w:t>ঘটায়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কার্যকরভাবে</w:t>
      </w:r>
      <w:r>
        <w:rPr>
          <w:rFonts w:ascii="Times New Roman" w:hAnsi="Times New Roman" w:eastAsia="Times New Roman" w:cs="Times New Roman"/>
        </w:rPr>
        <w:t xml:space="preserve"> </w:t>
      </w:r>
      <w:r>
        <w:rPr>
          <w:rFonts w:ascii="Nirmala UI" w:hAnsi="Nirmala UI" w:eastAsia="Nirmala UI" w:cs="Nirmala UI"/>
        </w:rPr>
        <w:t>বলবৎ</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সংজ্ঞা</w:t>
      </w:r>
      <w:r>
        <w:rPr>
          <w:rFonts w:ascii="Times New Roman" w:hAnsi="Times New Roman" w:eastAsia="Times New Roman" w:cs="Times New Roman"/>
        </w:rPr>
        <w:t xml:space="preserve"> </w:t>
      </w:r>
      <w:r>
        <w:rPr>
          <w:rFonts w:ascii="Nirmala UI" w:hAnsi="Nirmala UI" w:eastAsia="Nirmala UI" w:cs="Nirmala UI"/>
        </w:rPr>
        <w:t>অনুযায়ী</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বিশ্ব</w:t>
      </w:r>
      <w:r>
        <w:rPr>
          <w:rFonts w:ascii="Times New Roman" w:hAnsi="Times New Roman" w:eastAsia="Times New Roman" w:cs="Times New Roman"/>
        </w:rPr>
        <w:t>-</w:t>
      </w:r>
      <w:r>
        <w:rPr>
          <w:rFonts w:ascii="Nirmala UI" w:hAnsi="Nirmala UI" w:eastAsia="Nirmala UI" w:cs="Nirmala UI"/>
        </w:rPr>
        <w:t>সরকারের</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প্রণয়নকারী</w:t>
      </w:r>
      <w:r>
        <w:rPr>
          <w:rFonts w:ascii="Times New Roman" w:hAnsi="Times New Roman" w:eastAsia="Times New Roman" w:cs="Times New Roman"/>
        </w:rPr>
        <w:t xml:space="preserve"> </w:t>
      </w:r>
      <w:r>
        <w:rPr>
          <w:rFonts w:ascii="Nirmala UI" w:hAnsi="Nirmala UI" w:eastAsia="Nirmala UI" w:cs="Nirmala UI"/>
        </w:rPr>
        <w:t>সংস্থা</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নিউ</w:t>
      </w:r>
      <w:r>
        <w:rPr>
          <w:rFonts w:ascii="Times New Roman" w:hAnsi="Times New Roman" w:eastAsia="Times New Roman" w:cs="Times New Roman"/>
        </w:rPr>
        <w:t xml:space="preserve"> </w:t>
      </w:r>
      <w:r>
        <w:rPr>
          <w:rFonts w:ascii="Nirmala UI" w:hAnsi="Nirmala UI" w:eastAsia="Nirmala UI" w:cs="Nirmala UI"/>
        </w:rPr>
        <w:t>ইয়র্কে</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বিচারিক</w:t>
      </w:r>
      <w:r>
        <w:rPr>
          <w:rFonts w:ascii="Times New Roman" w:hAnsi="Times New Roman" w:eastAsia="Times New Roman" w:cs="Times New Roman"/>
        </w:rPr>
        <w:t xml:space="preserve"> </w:t>
      </w:r>
      <w:r>
        <w:rPr>
          <w:rFonts w:ascii="Nirmala UI" w:hAnsi="Nirmala UI" w:eastAsia="Nirmala UI" w:cs="Nirmala UI"/>
        </w:rPr>
        <w:t>সংস্থা</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হেগে</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w:t>
      </w:r>
      <w:r>
        <w:rPr>
          <w:rFonts w:ascii="Nirmala UI" w:hAnsi="Nirmala UI" w:eastAsia="Nirmala UI" w:cs="Nirmala UI"/>
        </w:rPr>
        <w:t>।</w:t>
      </w:r>
    </w:p>
    <w:p>
      <w:pPr>
        <w:pStyle w:val="ArticleScripture"/>
        <w:jc w:val="left"/>
      </w:pPr>
      <w:r>
        <w:rPr>
          <w:rFonts w:ascii="Times New Roman" w:hAnsi="Times New Roman" w:eastAsia="Times New Roman" w:cs="Times New Roman"/>
        </w:rPr>
        <w:t>Na huwadanganya wakaao juu ya nchi kwa njia ya miujiza hiyo aliyopewa uwezo kuifanya mbele ya yule mnyama; akiwaambia wakaao juu ya nchi wamfanyie yule mnyama sanamu, yule aliyekuwa na jeraha la upanga, naye akaishi. Naye akapewa uwezo kuipa hiyo sanamu ya mnyama uhai, hata ile sanamu ya mnyama inene, tena kusababisha kwamba wote wasiomsujudia hiyo sanamu ya mnyama wauwawe. Naye huwalazimisha wote, wadogo kwa wakubwa, matajiri kwa maskini, walio huru kwa watumwa, kutiwa chapa katika mkono wao wa kuume, au katika vipaji vya nyuso zao; tena kwamba mtu yeyote asiweze kununua wala kuuza, isipokuwa yeye aliye nayo hiyo chapa, yaani, jina la yule mnyama, au hesabu ya jina lake. Hapa ndipo penye hekima. Yeye aliye na ufahamu na aiihesabu hesabu ya yule mnyama; kwa maana ni hesabu ya mwanadamu; na hesabu yake ni mia sita sitini na sita. Ufunuo 13:14–18.</w:t>
      </w:r>
    </w:p>
    <w:p>
      <w:pPr>
        <w:pStyle w:val="ArticleBody"/>
        <w:jc w:val="left"/>
      </w:pPr>
      <w:r>
        <w:rPr>
          <w:rFonts w:ascii="Leelawadee UI" w:hAnsi="Leelawadee UI" w:eastAsia="Leelawadee UI" w:cs="Leelawadee UI"/>
        </w:rPr>
        <w:t>ភេរវសត្វពីផែនដី</w:t>
      </w:r>
      <w:r>
        <w:rPr>
          <w:rFonts w:ascii="Times New Roman" w:hAnsi="Times New Roman" w:eastAsia="Times New Roman" w:cs="Times New Roman"/>
        </w:rPr>
        <w:t xml:space="preserve"> (</w:t>
      </w:r>
      <w:r>
        <w:rPr>
          <w:rFonts w:ascii="Leelawadee UI" w:hAnsi="Leelawadee UI" w:eastAsia="Leelawadee UI" w:cs="Leelawadee UI"/>
        </w:rPr>
        <w:t>សហរដ្ឋអាមេរិក</w:t>
      </w:r>
      <w:r>
        <w:rPr>
          <w:rFonts w:ascii="Times New Roman" w:hAnsi="Times New Roman" w:eastAsia="Times New Roman" w:cs="Times New Roman"/>
        </w:rPr>
        <w:t xml:space="preserve">) </w:t>
      </w:r>
      <w:r>
        <w:rPr>
          <w:rFonts w:ascii="Leelawadee UI" w:hAnsi="Leelawadee UI" w:eastAsia="Leelawadee UI" w:cs="Leelawadee UI"/>
        </w:rPr>
        <w:t>នឹងបញ្ឆោតពិភពលោកទាំងមូលឲ្យទទួលយករូបឆ្លាក់នៃសត្វមួយដ៏ទូលំទូលាយទាំងពិភពលោក</w:t>
      </w:r>
      <w:r>
        <w:rPr>
          <w:rFonts w:ascii="Times New Roman" w:hAnsi="Times New Roman" w:eastAsia="Times New Roman" w:cs="Times New Roman"/>
        </w:rPr>
        <w:t xml:space="preserve"> </w:t>
      </w:r>
      <w:r>
        <w:rPr>
          <w:rFonts w:ascii="Leelawadee UI" w:hAnsi="Leelawadee UI" w:eastAsia="Leelawadee UI" w:cs="Leelawadee UI"/>
        </w:rPr>
        <w:t>គឺរូបឆ្លាក់ដដែលនោះដែលសហរដ្ឋអាមេរិកបានបង្កើតឡើង</w:t>
      </w:r>
      <w:r>
        <w:rPr>
          <w:rFonts w:ascii="Times New Roman" w:hAnsi="Times New Roman" w:eastAsia="Times New Roman" w:cs="Times New Roman"/>
        </w:rPr>
        <w:t xml:space="preserve"> </w:t>
      </w:r>
      <w:r>
        <w:rPr>
          <w:rFonts w:ascii="Leelawadee UI" w:hAnsi="Leelawadee UI" w:eastAsia="Leelawadee UI" w:cs="Leelawadee UI"/>
        </w:rPr>
        <w:t>ខណៈដែលវាបាននាំឲ្យមាន</w:t>
      </w:r>
      <w:r>
        <w:rPr>
          <w:rFonts w:ascii="Times New Roman" w:hAnsi="Times New Roman" w:eastAsia="Times New Roman" w:cs="Times New Roman"/>
        </w:rPr>
        <w:t xml:space="preserve"> </w:t>
      </w:r>
      <w:r>
        <w:rPr>
          <w:rFonts w:ascii="Leelawadee UI" w:hAnsi="Leelawadee UI" w:eastAsia="Leelawadee UI" w:cs="Leelawadee UI"/>
        </w:rPr>
        <w:t>និងនៅទីបំផុតបានបង្ខំអនុវត្តច្បាប់ថ្ងៃអាទិត្យ។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វានឹងផ្តល់អំណាចដល់រដ្ឋាភិបាលពិភពលោកតែមួយ</w:t>
      </w:r>
      <w:r>
        <w:rPr>
          <w:rFonts w:ascii="Times New Roman" w:hAnsi="Times New Roman" w:eastAsia="Times New Roman" w:cs="Times New Roman"/>
        </w:rPr>
        <w:t xml:space="preserve"> </w:t>
      </w:r>
      <w:r>
        <w:rPr>
          <w:rFonts w:ascii="Leelawadee UI" w:hAnsi="Leelawadee UI" w:eastAsia="Leelawadee UI" w:cs="Leelawadee UI"/>
        </w:rPr>
        <w:t>ដើម្បីអនុវត្តច្បាប់របស់ខ្លួនក្រោមការគំរាមកំហែងដោយសេចក្តីស្លាប់</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w:t>
      </w:r>
      <w:r>
        <w:rPr>
          <w:rFonts w:ascii="Leelawadee UI" w:hAnsi="Leelawadee UI" w:eastAsia="Leelawadee UI" w:cs="Leelawadee UI"/>
        </w:rPr>
        <w:t>ឬទណ្ឌកម្មផ្នែកសេដ្ឋកិច្ច។</w:t>
      </w:r>
      <w:r>
        <w:rPr>
          <w:rFonts w:ascii="Times New Roman" w:hAnsi="Times New Roman" w:eastAsia="Times New Roman" w:cs="Times New Roman"/>
        </w:rPr>
        <w:t xml:space="preserve"> </w:t>
      </w:r>
      <w:r>
        <w:rPr>
          <w:rFonts w:ascii="Leelawadee UI" w:hAnsi="Leelawadee UI" w:eastAsia="Leelawadee UI" w:cs="Leelawadee UI"/>
        </w:rPr>
        <w:t>ការបញ្ឆោតស្តេចដារីយុស</w:t>
      </w:r>
      <w:r>
        <w:rPr>
          <w:rFonts w:ascii="Times New Roman" w:hAnsi="Times New Roman" w:eastAsia="Times New Roman" w:cs="Times New Roman"/>
        </w:rPr>
        <w:t xml:space="preserve"> </w:t>
      </w:r>
      <w:r>
        <w:rPr>
          <w:rFonts w:ascii="Leelawadee UI" w:hAnsi="Leelawadee UI" w:eastAsia="Leelawadee UI" w:cs="Leelawadee UI"/>
        </w:rPr>
        <w:t>គឺជានិមិត្តរូបនៃការបញ្ឆោតស្តេចទាំងឡាយ</w:t>
      </w:r>
      <w:r>
        <w:rPr>
          <w:rFonts w:ascii="Times New Roman" w:hAnsi="Times New Roman" w:eastAsia="Times New Roman" w:cs="Times New Roman"/>
        </w:rPr>
        <w:t xml:space="preserve"> </w:t>
      </w:r>
      <w:r>
        <w:rPr>
          <w:rFonts w:ascii="Leelawadee UI" w:hAnsi="Leelawadee UI" w:eastAsia="Leelawadee UI" w:cs="Leelawadee UI"/>
        </w:rPr>
        <w:t>ដែលត្រូវបានកំណត់អត្តសញ្ញាណម្តងហើយម្តងទៀតក្នុងព្រះបន្ទូលទំនាយ</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ខណៈដែលភេរវសត្វពីផែនដីចាប់ផ្តើមបង្ខំពិភពលោកឲ្យទទួលយករដ្ឋាភិបាលពិភពលោកតែមួយ</w:t>
      </w:r>
      <w:r>
        <w:rPr>
          <w:rFonts w:ascii="Times New Roman" w:hAnsi="Times New Roman" w:eastAsia="Times New Roman" w:cs="Times New Roman"/>
        </w:rPr>
        <w:t xml:space="preserve"> </w:t>
      </w:r>
      <w:r>
        <w:rPr>
          <w:rFonts w:ascii="Leelawadee UI" w:hAnsi="Leelawadee UI" w:eastAsia="Leelawadee UI" w:cs="Leelawadee UI"/>
        </w:rPr>
        <w:t>ហេតុផលដែលត្រូវបានប្រើដើម្បីបង្ខំពិភពលោកឲ្យទទួលយកការរៀបចំនេះ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អំណាចដែលបានធ្វើឲ្យបណ្តាប្រជាជាតិខឹងសម្បារ</w:t>
      </w:r>
      <w:r>
        <w:rPr>
          <w:rFonts w:ascii="Times New Roman" w:hAnsi="Times New Roman" w:eastAsia="Times New Roman" w:cs="Times New Roman"/>
        </w:rPr>
        <w:t xml:space="preserve"> (</w:t>
      </w:r>
      <w:r>
        <w:rPr>
          <w:rFonts w:ascii="Leelawadee UI" w:hAnsi="Leelawadee UI" w:eastAsia="Leelawadee UI" w:cs="Leelawadee UI"/>
        </w:rPr>
        <w:t>ឥស្លាម</w:t>
      </w:r>
      <w:r>
        <w:rPr>
          <w:rFonts w:ascii="Times New Roman" w:hAnsi="Times New Roman" w:eastAsia="Times New Roman" w:cs="Times New Roman"/>
        </w:rPr>
        <w:t xml:space="preserve">) </w:t>
      </w:r>
      <w:r>
        <w:rPr>
          <w:rFonts w:ascii="Leelawadee UI" w:hAnsi="Leelawadee UI" w:eastAsia="Leelawadee UI" w:cs="Leelawadee UI"/>
        </w:rPr>
        <w:t>ត្រូវតែត្រូវបានប្រឆាំងដោយសង្គ្រាមទូទាំងពិភពលោក។</w:t>
      </w:r>
    </w:p>
    <w:p>
      <w:pPr>
        <w:pStyle w:val="ArticleBody"/>
        <w:jc w:val="left"/>
      </w:pPr>
      <w:r>
        <w:rPr>
          <w:rFonts w:ascii="Times New Roman" w:hAnsi="Times New Roman" w:eastAsia="Times New Roman" w:cs="Times New Roman"/>
        </w:rPr>
        <w:t>ریاستہائے متحدہ پاپائی اقتدار کے نشان کو نافذ کرتا ہے، کیونکہ خدا کے فیصلوں نے ریاستہائے متحدہ میں اتنی سنگین بحرانی کیفیت پیدا کر دی تھی کہ اتوار کے قانون تک پہنچتے پہنچتے یہ حل پیش کیا گیا کہ کیتھولکیت کے معبود کی طرف رجوع کرنے سے وہ معاشی سختیاں، جو بڑھتی چلی جا رہی تھیں، ختم ہو جائیں گی۔ لیکن اتوار کے قانون کے وقت، وہ دشمن جو نچلی دیوار کے نیچے سے در آیا تھا، قومی تباہی کی عدالت لے آتا ہے۔</w:t>
      </w:r>
    </w:p>
    <w:p>
      <w:pPr>
        <w:pStyle w:val="ArticleScripture"/>
        <w:jc w:val="left"/>
      </w:pPr>
      <w:r>
        <w:rPr>
          <w:rFonts w:ascii="Times New Roman" w:hAnsi="Times New Roman" w:eastAsia="Times New Roman" w:cs="Times New Roman"/>
        </w:rPr>
        <w:t>“Na kisha yule mdanganyifu mkuu atawashawishi wanadamu kwamba wale wanaomtumikia Mungu ndio wanaosababisha maovu haya. Kundi lile lililoichochea chuki ya Mbinguni litawasingizia taabu zao zote wale ambao utii wao kwa amri za Mungu ni karipio la daima kwa wakosaji. Itatangazwa kwamba wanadamu wanamkosea Mungu kwa kuivunja sabato ya Jumapili; kwamba dhambi hii imeleta misiba ambayo haitakoma mpaka ushikaji wa Jumapili utekelezwe kwa ukali; na kwamba wale wanaowasilisha madai ya amri ya nne, hivyo wakiharibu heshima kwa Jumapili, ni wasumbufu wa watu, wakizuia kurejeshwa kwao katika kibali cha Mungu na ustawi wa kidunia. Hivyo shtaka lililotolewa zamani dhidi ya mtumishi wa Mungu litarudiwa tena, na kwa misingi iliyo thabiti sawasawa: ‘Ikawa, Ahabu alipomwona Eliya, Ahabu akamwambia, Je! ni wewe unayeitaabisha Israeli? Naye akajibu, Mimi sija itaabisha Israeli; bali ni wewe, na nyumba ya baba yako, kwa kuwa mmeziacha amri za Bwana, nawe umewafuata Mabaali.’ 1 Wafalme 18:17, 18. Ghadhabu ya watu itakapochochewa na mashitaka ya uongo, watawafuata wajumbe wa Mungu kwa mwenendo unaofanana sana na ule ambao Israeli iliyoasi ilimfuata Eliya.” The Great Controversy, 590.</w:t>
      </w:r>
    </w:p>
    <w:p>
      <w:pPr>
        <w:pStyle w:val="ArticleBody"/>
        <w:jc w:val="left"/>
      </w:pPr>
      <w:r>
        <w:rPr>
          <w:rFonts w:ascii="Times New Roman" w:hAnsi="Times New Roman" w:eastAsia="Times New Roman" w:cs="Times New Roman"/>
        </w:rPr>
        <w:t>Í “tímanum” við „hin miklu landskjálfta“ í ellefta kafla Opinberunarbókarinnar hljómar þá „þriðja vei“ íslams, sem jafnframt er sjöunda básúnan, og hún mun reita þjóðirnar til reiði. Sú reiði þjóðanna gegn íslam verður notuð til að blekkja heiminn svo hann taki við sama innantóma fyrirheitinu og nýlega hafði brugðist fyrir dýrið af jörðinni. Hið innantóma fyrirheit er þetta: að með því að lúta valdi kaþólskunnar, eins og það birtist í merki páfavaldsins, myndu vaxandi dómar Guðs taka enda. Það fyrirheit, sem þegar hefur verið sannað áhrifalaust fyrir Bandaríkin, verður þá notað sem fyrirheit fyrir skelfingu lostinn heiminn.</w:t>
      </w:r>
    </w:p>
    <w:p>
      <w:pPr>
        <w:pStyle w:val="ArticleBody"/>
        <w:jc w:val="left"/>
      </w:pPr>
      <w:r>
        <w:rPr>
          <w:rFonts w:ascii="Malgun Gothic" w:hAnsi="Malgun Gothic" w:eastAsia="Malgun Gothic" w:cs="Malgun Gothic"/>
        </w:rPr>
        <w:t>일찍이</w:t>
      </w:r>
      <w:r>
        <w:rPr>
          <w:rFonts w:ascii="Times New Roman" w:hAnsi="Times New Roman" w:eastAsia="Times New Roman" w:cs="Times New Roman"/>
        </w:rPr>
        <w:t xml:space="preserve"> </w:t>
      </w:r>
      <w:r>
        <w:rPr>
          <w:rFonts w:ascii="Malgun Gothic" w:hAnsi="Malgun Gothic" w:eastAsia="Malgun Gothic" w:cs="Malgun Gothic"/>
        </w:rPr>
        <w:t>이렇게</w:t>
      </w:r>
      <w:r>
        <w:rPr>
          <w:rFonts w:ascii="Times New Roman" w:hAnsi="Times New Roman" w:eastAsia="Times New Roman" w:cs="Times New Roman"/>
        </w:rPr>
        <w:t xml:space="preserve"> </w:t>
      </w:r>
      <w:r>
        <w:rPr>
          <w:rFonts w:ascii="Malgun Gothic" w:hAnsi="Malgun Gothic" w:eastAsia="Malgun Gothic" w:cs="Malgun Gothic"/>
        </w:rPr>
        <w:t>주장될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나라들이</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초래한</w:t>
      </w:r>
      <w:r>
        <w:rPr>
          <w:rFonts w:ascii="Times New Roman" w:hAnsi="Times New Roman" w:eastAsia="Times New Roman" w:cs="Times New Roman"/>
        </w:rPr>
        <w:t xml:space="preserve"> </w:t>
      </w:r>
      <w:r>
        <w:rPr>
          <w:rFonts w:ascii="Malgun Gothic" w:hAnsi="Malgun Gothic" w:eastAsia="Malgun Gothic" w:cs="Malgun Gothic"/>
        </w:rPr>
        <w:t>전쟁에</w:t>
      </w:r>
      <w:r>
        <w:rPr>
          <w:rFonts w:ascii="Times New Roman" w:hAnsi="Times New Roman" w:eastAsia="Times New Roman" w:cs="Times New Roman"/>
        </w:rPr>
        <w:t xml:space="preserve"> </w:t>
      </w:r>
      <w:r>
        <w:rPr>
          <w:rFonts w:ascii="Malgun Gothic" w:hAnsi="Malgun Gothic" w:eastAsia="Malgun Gothic" w:cs="Malgun Gothic"/>
        </w:rPr>
        <w:t>대처한다는</w:t>
      </w:r>
      <w:r>
        <w:rPr>
          <w:rFonts w:ascii="Times New Roman" w:hAnsi="Times New Roman" w:eastAsia="Times New Roman" w:cs="Times New Roman"/>
        </w:rPr>
        <w:t xml:space="preserve"> </w:t>
      </w:r>
      <w:r>
        <w:rPr>
          <w:rFonts w:ascii="Malgun Gothic" w:hAnsi="Malgun Gothic" w:eastAsia="Malgun Gothic" w:cs="Malgun Gothic"/>
        </w:rPr>
        <w:t>목적</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합의하여</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단일</w:t>
      </w:r>
      <w:r>
        <w:rPr>
          <w:rFonts w:ascii="Times New Roman" w:hAnsi="Times New Roman" w:eastAsia="Times New Roman" w:cs="Times New Roman"/>
        </w:rPr>
        <w:t xml:space="preserve"> </w:t>
      </w:r>
      <w:r>
        <w:rPr>
          <w:rFonts w:ascii="Malgun Gothic" w:hAnsi="Malgun Gothic" w:eastAsia="Malgun Gothic" w:cs="Malgun Gothic"/>
        </w:rPr>
        <w:t>정부가</w:t>
      </w:r>
      <w:r>
        <w:rPr>
          <w:rFonts w:ascii="Times New Roman" w:hAnsi="Times New Roman" w:eastAsia="Times New Roman" w:cs="Times New Roman"/>
        </w:rPr>
        <w:t xml:space="preserve"> </w:t>
      </w:r>
      <w:r>
        <w:rPr>
          <w:rFonts w:ascii="Malgun Gothic" w:hAnsi="Malgun Gothic" w:eastAsia="Malgun Gothic" w:cs="Malgun Gothic"/>
        </w:rPr>
        <w:t>수립되도록</w:t>
      </w:r>
      <w:r>
        <w:rPr>
          <w:rFonts w:ascii="Times New Roman" w:hAnsi="Times New Roman" w:eastAsia="Times New Roman" w:cs="Times New Roman"/>
        </w:rPr>
        <w:t xml:space="preserve"> </w:t>
      </w:r>
      <w:r>
        <w:rPr>
          <w:rFonts w:ascii="Malgun Gothic" w:hAnsi="Malgun Gothic" w:eastAsia="Malgun Gothic" w:cs="Malgun Gothic"/>
        </w:rPr>
        <w:t>허용하기만</w:t>
      </w:r>
      <w:r>
        <w:rPr>
          <w:rFonts w:ascii="Times New Roman" w:hAnsi="Times New Roman" w:eastAsia="Times New Roman" w:cs="Times New Roman"/>
        </w:rPr>
        <w:t xml:space="preserve"> </w:t>
      </w:r>
      <w:r>
        <w:rPr>
          <w:rFonts w:ascii="Malgun Gothic" w:hAnsi="Malgun Gothic" w:eastAsia="Malgun Gothic" w:cs="Malgun Gothic"/>
        </w:rPr>
        <w:t>한다면</w:t>
      </w:r>
      <w:r>
        <w:rPr>
          <w:rFonts w:ascii="Times New Roman" w:hAnsi="Times New Roman" w:eastAsia="Times New Roman" w:cs="Times New Roman"/>
        </w:rPr>
        <w:t xml:space="preserve">, </w:t>
      </w:r>
      <w:r>
        <w:rPr>
          <w:rFonts w:ascii="Malgun Gothic" w:hAnsi="Malgun Gothic" w:eastAsia="Malgun Gothic" w:cs="Malgun Gothic"/>
        </w:rPr>
        <w:t>안정을</w:t>
      </w:r>
      <w:r>
        <w:rPr>
          <w:rFonts w:ascii="Times New Roman" w:hAnsi="Times New Roman" w:eastAsia="Times New Roman" w:cs="Times New Roman"/>
        </w:rPr>
        <w:t xml:space="preserve"> </w:t>
      </w:r>
      <w:r>
        <w:rPr>
          <w:rFonts w:ascii="Malgun Gothic" w:hAnsi="Malgun Gothic" w:eastAsia="Malgun Gothic" w:cs="Malgun Gothic"/>
        </w:rPr>
        <w:t>되찾게</w:t>
      </w:r>
      <w:r>
        <w:rPr>
          <w:rFonts w:ascii="Times New Roman" w:hAnsi="Times New Roman" w:eastAsia="Times New Roman" w:cs="Times New Roman"/>
        </w:rPr>
        <w:t xml:space="preserve"> </w:t>
      </w:r>
      <w:r>
        <w:rPr>
          <w:rFonts w:ascii="Malgun Gothic" w:hAnsi="Malgun Gothic" w:eastAsia="Malgun Gothic" w:cs="Malgun Gothic"/>
        </w:rPr>
        <w:t>되리라는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성경에서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사람을</w:t>
      </w:r>
      <w:r>
        <w:rPr>
          <w:rFonts w:ascii="Times New Roman" w:hAnsi="Times New Roman" w:eastAsia="Times New Roman" w:cs="Times New Roman"/>
        </w:rPr>
        <w:t xml:space="preserve"> </w:t>
      </w:r>
      <w:r>
        <w:rPr>
          <w:rFonts w:ascii="Malgun Gothic" w:hAnsi="Malgun Gothic" w:eastAsia="Malgun Gothic" w:cs="Malgun Gothic"/>
        </w:rPr>
        <w:t>이슬람에</w:t>
      </w:r>
      <w:r>
        <w:rPr>
          <w:rFonts w:ascii="Times New Roman" w:hAnsi="Times New Roman" w:eastAsia="Times New Roman" w:cs="Times New Roman"/>
        </w:rPr>
        <w:t xml:space="preserve"> </w:t>
      </w:r>
      <w:r>
        <w:rPr>
          <w:rFonts w:ascii="Malgun Gothic" w:hAnsi="Malgun Gothic" w:eastAsia="Malgun Gothic" w:cs="Malgun Gothic"/>
        </w:rPr>
        <w:t>맞서</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모이게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세력으로</w:t>
      </w:r>
      <w:r>
        <w:rPr>
          <w:rFonts w:ascii="Times New Roman" w:hAnsi="Times New Roman" w:eastAsia="Times New Roman" w:cs="Times New Roman"/>
        </w:rPr>
        <w:t xml:space="preserve"> </w:t>
      </w:r>
      <w:r>
        <w:rPr>
          <w:rFonts w:ascii="Malgun Gothic" w:hAnsi="Malgun Gothic" w:eastAsia="Malgun Gothic" w:cs="Malgun Gothic"/>
        </w:rPr>
        <w:t>지목된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이슬람이지만</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모임이</w:t>
      </w:r>
      <w:r>
        <w:rPr>
          <w:rFonts w:ascii="Times New Roman" w:hAnsi="Times New Roman" w:eastAsia="Times New Roman" w:cs="Times New Roman"/>
        </w:rPr>
        <w:t xml:space="preserve"> </w:t>
      </w:r>
      <w:r>
        <w:rPr>
          <w:rFonts w:ascii="Malgun Gothic" w:hAnsi="Malgun Gothic" w:eastAsia="Malgun Gothic" w:cs="Malgun Gothic"/>
        </w:rPr>
        <w:t>왕들에게는</w:t>
      </w:r>
      <w:r>
        <w:rPr>
          <w:rFonts w:ascii="Times New Roman" w:hAnsi="Times New Roman" w:eastAsia="Times New Roman" w:cs="Times New Roman"/>
        </w:rPr>
        <w:t xml:space="preserve"> </w:t>
      </w:r>
      <w:r>
        <w:rPr>
          <w:rFonts w:ascii="Malgun Gothic" w:hAnsi="Malgun Gothic" w:eastAsia="Malgun Gothic" w:cs="Malgun Gothic"/>
        </w:rPr>
        <w:t>궁극적인</w:t>
      </w:r>
      <w:r>
        <w:rPr>
          <w:rFonts w:ascii="Times New Roman" w:hAnsi="Times New Roman" w:eastAsia="Times New Roman" w:cs="Times New Roman"/>
        </w:rPr>
        <w:t xml:space="preserve"> </w:t>
      </w:r>
      <w:r>
        <w:rPr>
          <w:rFonts w:ascii="Malgun Gothic" w:hAnsi="Malgun Gothic" w:eastAsia="Malgun Gothic" w:cs="Malgun Gothic"/>
        </w:rPr>
        <w:t>기만이다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Ary ny anjelin’i Jehovah nanao taminy hoe: Indro, mitoe-jaza hianao ka hiteraka zazalahy, ary hataonao Ismaela ny anarany; fa Jehovah efa nandre ny fahorianao. Ary izy ho lehilahy dia;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Ишмаил е духовниот татко на религијата ислам. Вистина е дека Мухамед, таткото на исламот, не се појави во историјата сè до седмиот век, но древниот буквален народ е она што Бог го користи за да го претстави духовниот народ во последните денови.</w:t>
      </w:r>
    </w:p>
    <w:p>
      <w:pPr>
        <w:pStyle w:val="ArticleScripture"/>
        <w:jc w:val="left"/>
      </w:pPr>
      <w:r>
        <w:rPr>
          <w:rFonts w:ascii="Times New Roman" w:hAnsi="Times New Roman" w:eastAsia="Times New Roman" w:cs="Times New Roman"/>
        </w:rPr>
        <w:t>Ainsi parle l’Éternel, le Roi d’Israël, et son rédempteur, l’Éternel des armées : Je suis le premier, et je suis le dernier ; et hors moi il n’y a point de Dieu. Et qui, comme moi, appellera, le déclarera, et me l’exposera en ordre, depuis que j’ai établi le peuple ancien ? Et les choses à venir, et celles qui arriveront, qu’ils les leur annoncent. Ésaïe 44:6, 7.</w:t>
      </w:r>
    </w:p>
    <w:p>
      <w:pPr>
        <w:pStyle w:val="ArticleBody"/>
        <w:jc w:val="left"/>
      </w:pPr>
      <w:r>
        <w:rPr>
          <w:rFonts w:ascii="Times New Roman" w:hAnsi="Times New Roman" w:eastAsia="Times New Roman" w:cs="Times New Roman"/>
        </w:rPr>
        <w:t>یشماعیل کے پیدا ہونے سے پہلے ہی اُس کا نام رکھا گیا اور اُس کے نبوتی کردار کی نشان دہی کر دی گئی۔ اُس کی روحانی نسل کی بابت کہا گیا کہ اُن کے ہاتھ “ہر ایک آدمی کے خلاف” ہوں گے، اور “ہر ایک آدمی کا ہاتھ” “اُس” کے خلاف ہوگا۔ اور ترقی پسند لبرل ازم کی احمقانہ تعلیم کے برخلاف، بائبل یہ تعلیم دیتی ہے کہ ایشماعیل “اپنے سب بھائیوں کے سامنے” بسا رہے گا۔ وہ اپنے گرد و پیش کی ثقافت میں مدغم نہیں ہوتے، بلکہ بہت سے لوگ اُسے ملامت کرتے ہیں، اُس کے خلاف احتجاج کرتے ہیں اور اُس پر حملہ آور ہوتے ہیں۔ ایشماعیل کی روح یہ ہے کہ “وہ” “جنگلی آدمی” ہوگا۔ یہ خیال کہ اسلامی ایمان میں ایک پُرامن طبقہ موجود ہے، نہ خدا کے کلام سے ثابت ہوتا ہے اور نہ قرآن سے۔</w:t>
      </w:r>
    </w:p>
    <w:p>
      <w:pPr>
        <w:pStyle w:val="ArticleBody"/>
        <w:jc w:val="left"/>
      </w:pPr>
      <w:r>
        <w:rPr>
          <w:rFonts w:ascii="Times New Roman" w:hAnsi="Times New Roman" w:eastAsia="Times New Roman" w:cs="Times New Roman"/>
        </w:rPr>
        <w:t>Le leurre des deux présidents et des cent vingt princes, au chapitre six de Daniel, met en évidence la séduction qui s’exercera sur les dix rois lorsqu’on les amènera à croire que le but et l’urgence de l’instauration d’un gouvernement mondial unique, sous le contrôle de Rome, sont de répondre à la crise croissante de la guerre islamique qui constitue le « troisième malheur ». Une fois que l’image de la bête sera établie et rendue capable de « parler », le monde découvrira, trop tard, que les desseins de la papauté visent ceux qui observent le sabbat du septième jour (Daniel), et non l’ennemi qui s’est introduit furtivement par la muraille méridionale laissée sans garde.</w:t>
      </w:r>
    </w:p>
    <w:p>
      <w:pPr>
        <w:pStyle w:val="ArticleScripture"/>
        <w:jc w:val="left"/>
      </w:pPr>
      <w:r>
        <w:rPr>
          <w:rFonts w:ascii="Times New Roman" w:hAnsi="Times New Roman" w:eastAsia="Times New Roman" w:cs="Times New Roman"/>
        </w:rPr>
        <w:t>“Le verbe de Dieu a donné l’avertissement du danger imminent; que cet avertissement soit négligé, et le monde protestant apprendra quels sont réellement les desseins de Rome, seulement lorsqu’il sera trop tard pour échapper au piège. Elle croît silencieusement en puissance. Ses doctrines exercent leur influence dans les assemblées législatives, dans les Églises et dans le cœur des hommes. Elle élève ses structures hautes et massives, dans les retraites secrètes desquelles ses persécutions d’autrefois seront répétées. Furtivement et à l’insu de tous, elle fortifie ses forces afin de servir ses propres fins lorsque viendra pour elle le moment de frapper. Tout ce qu’elle désire, c’est une position avantageuse, et celle-ci lui est déjà accordée. Nous verrons bientôt, et nous sentirons, quel est le dessein de l’élément romain. Quiconque croira et obéira à la parole de Dieu encourra par là l’opprobre et la persécution.” The Great Controversy, 581.</w:t>
      </w:r>
    </w:p>
    <w:p>
      <w:pPr>
        <w:pStyle w:val="ArticleBody"/>
        <w:jc w:val="left"/>
      </w:pPr>
      <w:r>
        <w:rPr>
          <w:rFonts w:ascii="Times New Roman" w:hAnsi="Times New Roman" w:eastAsia="Times New Roman" w:cs="Times New Roman"/>
        </w:rPr>
        <w:t>Ndanganyizo yeUnited Nations inoitwa nehupapa, inobudisa kutsiva kwemwoyo yavo, inowanzoratidzirwa muMagwaro, uye nyaya yaDhariusi muenzaniso mukuru wechokwadi ichi. Ndiyo ndanganyizo inotanga kuitwa muUnited States, yozodzokororwa panyika yose. Chokwadi ichi chinozivikanwa munyaya yaEria naJezebheri, uyezve munyaya yaJohane Mubhabhatidzi naHerodiasi, pamwe chete nepamuchinjikwa paKristu. Kutsamwiswa kwamarudzi neIslamu ndiro zano rinoshandiswa nesimba rehupapa rinomupa nzvimbo yakakwirira yokurwisa vanochengeta Sabata pasi pose.</w:t>
      </w:r>
    </w:p>
    <w:p>
      <w:pPr>
        <w:pStyle w:val="ArticleBody"/>
        <w:jc w:val="left"/>
      </w:pPr>
      <w:r>
        <w:rPr>
          <w:rFonts w:ascii="Times New Roman" w:hAnsi="Times New Roman" w:eastAsia="Times New Roman" w:cs="Times New Roman"/>
        </w:rPr>
        <w:t>Първото споменаване на исляма е въвеждането на Исмаил в Писанията, а ролята на исляма, определена за края на света — а именно да доведе света до всеобща паника, така че хората да приемат всяко предложение като решение — е онова, което позволява измамата да бъде осъществена. Именно измамата подтиква Обединените нации (десетте царе) да изпълнят Божията воля и да се съгласят да дадат своето царство (седмото царство) на папството (звяра).</w:t>
      </w:r>
    </w:p>
    <w:p>
      <w:pPr>
        <w:pStyle w:val="ArticleBody"/>
        <w:jc w:val="left"/>
      </w:pPr>
      <w:r>
        <w:rPr>
          <w:rFonts w:ascii="Times New Roman" w:hAnsi="Times New Roman" w:eastAsia="Times New Roman" w:cs="Times New Roman"/>
        </w:rPr>
        <w:t>Madangadang a panangallilaw a nailadawan ken Dario, ken dagiti dadduma pay a linia ti padto, ket iramanna ti papel ti Islam a mangpungtot kadagiti nasnacion, ti namimpinsan a gapu no apay a madadael ti kinapapadi ti papa babaen kadagiti Nagkaykaysa a Nacion, ken kasta met a napateg, ilasinna dagiti kasasaad a manglikmut iti palimed ti maikawalo a pagarian, a naggapu iti pito, a maipasdek kas ulo ti modernong Babilonia.</w:t>
      </w:r>
    </w:p>
    <w:p>
      <w:pPr>
        <w:pStyle w:val="ArticleBody"/>
        <w:jc w:val="left"/>
      </w:pPr>
      <w:r>
        <w:rPr>
          <w:rFonts w:ascii="Times New Roman" w:hAnsi="Times New Roman" w:eastAsia="Times New Roman" w:cs="Times New Roman"/>
        </w:rPr>
        <w:t>Daniel dans la fosse aux lions constitue une représentation prophétique très complexe, mais sa compréhension n’est accessible que lorsque la méthodologie du « ligne sur ligne » est appliquée.</w:t>
      </w:r>
    </w:p>
    <w:p>
      <w:pPr>
        <w:pStyle w:val="ArticleBody"/>
        <w:jc w:val="left"/>
      </w:pPr>
      <w:r>
        <w:rPr>
          <w:rFonts w:ascii="Times New Roman" w:hAnsi="Times New Roman" w:eastAsia="Times New Roman" w:cs="Times New Roman"/>
        </w:rPr>
        <w:t>Nous poursuivrons le chapitre six de Daniel dans le prochain article.</w:t>
      </w:r>
    </w:p>
    <w:p>
      <w:pPr>
        <w:pStyle w:val="ArticleScripture"/>
        <w:jc w:val="left"/>
      </w:pPr>
      <w:r>
        <w:rPr>
          <w:rFonts w:ascii="Times New Roman" w:hAnsi="Times New Roman" w:eastAsia="Times New Roman" w:cs="Times New Roman"/>
        </w:rPr>
        <w:t>« Lorsque nous comprendrons, en tant que peuple, ce que ce livre signifie pour nous, on verra parmi nous un grand réveil. »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Bhuku ya Daniele - Nomboro Makumi Matatu na Mbiri</dc:title>
  <dc:subject>من الأسود إلى الخداع: دراسة متعمقة في دانيال 6 ونبوة زمن النهاية</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