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trente-trois</w:t>
      </w:r>
    </w:p>
    <w:p>
      <w:pPr>
        <w:pStyle w:val="ArticleSubtitle"/>
        <w:jc w:val="left"/>
      </w:pPr>
      <w:r>
        <w:rPr>
          <w:rFonts w:ascii="Arial" w:hAnsi="Arial" w:eastAsia="Arial" w:cs="Arial"/>
        </w:rPr>
        <w:t>L’« sceau » de Dieu apposé lors du décret sur la loi du dimanche : une analyse prophétique de Daniel chapitre 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2023-12-28</w:t>
      </w:r>
    </w:p>
    <w:p>
      <w:pPr>
        <w:pStyle w:val="ArticleBody"/>
        <w:jc w:val="left"/>
      </w:pPr>
      <w:r>
        <w:rPr>
          <w:rFonts w:ascii="Times New Roman" w:hAnsi="Times New Roman" w:eastAsia="Times New Roman" w:cs="Times New Roman"/>
        </w:rPr>
        <w:t>Gud Faderns ”sigill”, som kan ses, präglas vid dekretet om söndagslagen.</w:t>
      </w:r>
    </w:p>
    <w:p>
      <w:pPr>
        <w:pStyle w:val="ArticleScripture"/>
        <w:jc w:val="left"/>
      </w:pPr>
      <w:r>
        <w:rPr>
          <w:rFonts w:ascii="Times New Roman" w:hAnsi="Times New Roman" w:eastAsia="Times New Roman" w:cs="Times New Roman"/>
        </w:rPr>
        <w:t>« Aucun de nous ne recevra jamais le sceau de Dieu tant que nos caractères porteront sur eux une seule tache ou souillure. Il nous appartient de remédier aux défauts de nos caractères, de purifier le temple de l’âme de toute souillure. Alors la pluie de l’arrière-saison tombera sur nous, comme la pluie de la première saison tomba sur les disciples au jour de la Pentecôte.... »</w:t>
      </w:r>
    </w:p>
    <w:p>
      <w:pPr>
        <w:pStyle w:val="ArticleScripture"/>
        <w:jc w:val="left"/>
      </w:pPr>
      <w:r>
        <w:rPr>
          <w:rFonts w:ascii="Times New Roman" w:hAnsi="Times New Roman" w:eastAsia="Times New Roman" w:cs="Times New Roman"/>
        </w:rPr>
        <w:t>«بىرادران، سىلەر تەييارلىقنىڭ بۇ ئۇلۇغ ئىشىدە نېمە قىلىۋاتىسىلەر؟ دۇنيا بىلەن بىرلىشىۋاتقانلار دۇنياۋى قېلىپنى قوبۇل قىلماقتا ۋە ۋەھشىينىڭ بەلگىسى ئۈچۈن تەييارلانماقتا. ئۆزىگە ئىشەنمەيدىغان، خۇدا ئالدىدا ئۆزىنى كەمتەر تۇتىدىغان ۋە ھەقىقەتكە ئىتائەت قىلىش ئارقىلىق جانلىرىنى پاكلايدىغانلار بولسا، ئاسمانىي قېلىپنى قوبۇل قىلماقتا ۋە پېشانىلىرىدە خۇدانىڭ مۆھرى ئۈچۈن تەييارلانماقتا. پەرمان چىقىپ، تامغا بېسىلغان چاغدا، ئۇلارنىڭ خاراكتېرى مەڭگۈ ئۈچۈن پاك ۋە داغسىز ھالدا قالىدۇ.» Testimonies, volume 5, 214, 216.</w:t>
      </w:r>
    </w:p>
    <w:p>
      <w:pPr>
        <w:pStyle w:val="ArticleBody"/>
        <w:jc w:val="left"/>
      </w:pPr>
      <w:r>
        <w:rPr>
          <w:rFonts w:ascii="Times New Roman" w:hAnsi="Times New Roman" w:eastAsia="Times New Roman" w:cs="Times New Roman"/>
        </w:rPr>
        <w:t>Daniel reçoit le sceau qui peut être vu lorsqu’il est jeté dans la fosse aux lions; ainsi, le chapitre représente le décret de la loi du dimanche.</w:t>
      </w:r>
    </w:p>
    <w:p>
      <w:pPr>
        <w:pStyle w:val="ArticleScripture"/>
        <w:jc w:val="left"/>
      </w:pPr>
      <w:r>
        <w:rPr>
          <w:rFonts w:ascii="Times New Roman" w:hAnsi="Times New Roman" w:eastAsia="Times New Roman" w:cs="Times New Roman"/>
        </w:rPr>
        <w:t>Puis ces hommes s’assemblèrent auprès du roi et dirent au roi : Sache, ô roi, que telle est la loi des Mèdes et des Perses : aucun édit ni aucune ordonnance que le roi établit ne peut être changé. Alors le roi donna ordre, et l’on amena Daniel, et on le jeta dans la fosse aux lions. Le roi prit la parole et dit à Daniel : Ton Dieu, que tu sers continuellement, te délivrera. Et l’on apporta une pierre, et on la posa sur l’ouverture de la fosse ; et le roi la scella de son propre sceau, ainsi que du sceau de ses grands, afin que rien ne fût changé à l’égard de Daniel. Daniel 6:15–17.</w:t>
      </w:r>
    </w:p>
    <w:p>
      <w:pPr>
        <w:pStyle w:val="ArticleBody"/>
        <w:jc w:val="left"/>
      </w:pPr>
      <w:r>
        <w:rPr>
          <w:rFonts w:ascii="Times New Roman" w:hAnsi="Times New Roman" w:eastAsia="Times New Roman" w:cs="Times New Roman"/>
        </w:rPr>
        <w:t>L’histoire ne s’arrête pas là, mais elle s’achève là où elle commence. La lignée du chapitre six de Daniel illustre la confédération principalement conduite par les cent vingt princes et les deux présidents de rang inférieur, mais qui comprenait aussi les conseillers, les capitaines et les gouverneurs. Cette alliance à cinq volets fut formée afin de tromper le roi et de l’amener à persécuter Daniel. Le récit se termine par leur jugement, car ils illustrent un jugement particulier qui survient lors de la loi du dimanche ; un jugement qui n’est pas dirigé contre ceux qui représentent Daniel ou le roi, mais contre ceux qui ont trompé le roi.</w:t>
      </w:r>
    </w:p>
    <w:p>
      <w:pPr>
        <w:pStyle w:val="ArticleScripture"/>
        <w:jc w:val="left"/>
      </w:pPr>
      <w:r>
        <w:rPr>
          <w:rFonts w:ascii="Times New Roman" w:hAnsi="Times New Roman" w:eastAsia="Times New Roman" w:cs="Times New Roman"/>
        </w:rPr>
        <w:t>Ο βασιλεὺς τότε προσέταξε, καὶ ἔφεραν τοὺς ἄνδρας ἐκείνους οἵτινες εἶχον κατηγορήσει τὸν Δανιήλ, καὶ τοὺς ἔρριψαν εἰς τὸν λάκκον τῶν λεόντων, αὐτοὺς, τὰ τέκνα αὐτῶν καὶ τὰς γυναῖκας αὐτῶν· καὶ οἱ λέοντες ἐκυρίευσαν αὐτῶν καὶ συνέτριψαν πάντα τὰ ὀστᾶ αὐτῶν πρὶν ἔτι φθάσωσιν εἰς τὸν πυθμένα τοῦ λάκκου. Δανιήλ 6:24.</w:t>
      </w:r>
    </w:p>
    <w:p>
      <w:pPr>
        <w:pStyle w:val="ArticleBody"/>
        <w:jc w:val="left"/>
      </w:pPr>
      <w:r>
        <w:rPr>
          <w:rFonts w:ascii="Times New Roman" w:hAnsi="Times New Roman" w:eastAsia="Times New Roman" w:cs="Times New Roman"/>
        </w:rPr>
        <w:t>Kwenye mandhari ya kinabii, daima ni kanisa lidanganyalo dola, na sura ya sita inatambulisha udanganyifu uliotekelezwa dhidi ya mfalme. Baada ya Ahabu kushuhudia udhihirisho mkuu wa uweza wa Mungu juu ya Mlima Karmeli, Eliya akamwongoza kupitia mvua kurudi kwa Yezebeli. Ahabu hakuwa na sababu ya kudhani kwamba Yezebeli hangependezwa na ushuhuda wenye nguvu wa uweza wa Mungu, lakini Ahabu alikuwa amedanganywa kuhusu chuki ya Yezebeli iliyokita mizizi dhidi ya Eliya. Kisa cha Eliya katika makabiliano na Ahabu na Yezebeli kinarudiwa tena katika kisa cha Yohana Mbatizaji (aliyekuwa Eliya), na Herode na Herodia.</w:t>
      </w:r>
    </w:p>
    <w:p>
      <w:pPr>
        <w:pStyle w:val="ArticleBody"/>
        <w:jc w:val="left"/>
      </w:pPr>
      <w:r>
        <w:rPr>
          <w:rFonts w:ascii="Times New Roman" w:hAnsi="Times New Roman" w:eastAsia="Times New Roman" w:cs="Times New Roman"/>
        </w:rPr>
        <w:t>NgekuSuku lokuzalwa kwakhe, uHerodi, esephuzile, ethembisa uSalome (indodakazi kaHerodiyase) isigamu sombuso wakhe, wayengalindelanga ukuthi uHerodiyase wayezafuna ikhanda likaJohane. Amakhosi, loba kunguAhabhi, uHerodi, kumbe uDariyasi, akhohliswa ngumfazi ongcolileyo ngomdanso wabaphrofethi bamanga bakaJezebeli, loba ngomdanso wendodakazi kaHerodiyase, loba ngobudlelwano obuyisihlanu endabeni kaDanyeli. LoPilatu laye wakhohliswa ngobupristi obonakeleyo, obabumela “ibandla” lamaJuda, njalo ibandla lifanekisa umfazi.</w:t>
      </w:r>
    </w:p>
    <w:p>
      <w:pPr>
        <w:pStyle w:val="ArticleBody"/>
        <w:jc w:val="left"/>
      </w:pPr>
      <w:r>
        <w:rPr>
          <w:rFonts w:ascii="Times New Roman" w:hAnsi="Times New Roman" w:eastAsia="Times New Roman" w:cs="Times New Roman"/>
        </w:rPr>
        <w:t>La tromperie est une caractéristique du scénario prophétique, et l’islam du troisième Malheur est le mensonge employé pour tromper les Nations Unies dans les derniers jours par la crainte. Tant la « tromperie » que le « mensonge » qui produit cette tromperie sont identifiés dans la Parole prophétique de Dieu. Le rôle de l’islam, et le fait que la papauté devienne la huitième tête des sept têtes, ont déjà été identifiés comme faisant partie du message descellé dans les derniers jours, lequel est la Révélation de Jésus-Christ. Par conséquent, mettre en lumière la tromperie de Darius dans le chapitre six de Daniel fait partie du message qui constitue le message du Cri de Minuit. La tromperie est l’élément qui guérit pleinement la blessure mortelle, ressuscitant ainsi la papauté en tant que huitième et dernier royaume. Dans la tromperie de Darius, les deux présidents apostats et les cent vingt princes sont les représentants de la confédération de la tromperie, opposés à Daniel.</w:t>
      </w:r>
    </w:p>
    <w:p>
      <w:pPr>
        <w:pStyle w:val="ArticleBody"/>
        <w:jc w:val="left"/>
      </w:pPr>
      <w:r>
        <w:rPr>
          <w:rFonts w:ascii="Times New Roman" w:hAnsi="Times New Roman" w:eastAsia="Times New Roman" w:cs="Times New Roman"/>
        </w:rPr>
        <w:t>صد و بیست نمادی از شاگردان خدا در روز پنطیکاست است.</w:t>
      </w:r>
    </w:p>
    <w:p>
      <w:pPr>
        <w:pStyle w:val="ArticleScripture"/>
        <w:jc w:val="left"/>
      </w:pPr>
      <w:r>
        <w:rPr>
          <w:rFonts w:ascii="Times New Roman" w:hAnsi="Times New Roman" w:eastAsia="Times New Roman" w:cs="Times New Roman"/>
        </w:rPr>
        <w:t>Et en ces jours-là, Pierre se leva au milieu des disciples et dit : (le nombre des personnes réunies était d’environ cent vingt.) Actes 1:15.</w:t>
      </w:r>
    </w:p>
    <w:p>
      <w:pPr>
        <w:pStyle w:val="ArticleBody"/>
        <w:jc w:val="left"/>
      </w:pPr>
      <w:r>
        <w:rPr>
          <w:rFonts w:ascii="Times New Roman" w:hAnsi="Times New Roman" w:eastAsia="Times New Roman" w:cs="Times New Roman"/>
        </w:rPr>
        <w:t>پنتیکاست ممثلِ قانونِ یکشنبه است، آنگاه که مُهر منقوش می‌شود؛ و آن صد و بیست امیری که داریوش را فریب دادند، نمادی از کهانتِ کاذب در هنگامِ قانونِ یکشنبه‌اند. دو دسته از آنان که پادشاه را می‌فریبند، به‌واسطهٔ دو رئیسِ مرتد و آن صد و بیست امیرِ مرتد ارائه شده‌اند. آن دو رئیس در شمارِ دانیال قرار داده شده‌اند، که نبی است. آن دو طبقه که داریوش را فریب می‌دهند، نمایانگرِ گروهی از انبیای کاذب و گروهی از کاهنانِ فاسدند.</w:t>
      </w:r>
    </w:p>
    <w:p>
      <w:pPr>
        <w:pStyle w:val="ArticleScripture"/>
        <w:jc w:val="left"/>
      </w:pPr>
      <w:r>
        <w:rPr>
          <w:rFonts w:ascii="Times New Roman" w:hAnsi="Times New Roman" w:eastAsia="Times New Roman" w:cs="Times New Roman"/>
        </w:rPr>
        <w:t>Ole paastorit, kes hävitavad ja pillutavad minu karjamaa lambaid! ütleb Issand. Seepärast nõnda ütleb Issand, Iisraeli Jumal, paastorite vastu, kes karjatavad minu rahvast: teie olete mu karja pillutanud ja nad ära ajanud ega ole nende eest hoolt kandnud; vaata, mina nuhtlen teid teie tegude kurjuse pärast, ütleb Issand. Ja mina kogun oma karja jäägi kõigist maadest, kuhu ma nad olen ajanud, ja toon nad tagasi nende karjamaadele; ja nad kannavad vilja ning neid saab palju. Ja ma sean nende üle karjaseid, kes neid karjatavad; siis nad ei karda enam ega kohku, ja ükski neist ei lähe kaduma, ütleb Issand. Vaata, päevad tulevad, ütleb Issand, mil ma tõstan Taavetile õiguse Võsu, ja kuningas hakkab valitsema ning edenema, ja ta teeb maa peal kohut ja õigust. Tema päevil päästetakse Juuda ja Iisrael elab julgesti; ja see on tema nimi, millega teda hüütakse: ISSAND, MEIE ÕIGUS. Seepärast, vaata, päevad tulevad, ütleb Issand, mil enam ei öelda: Nii tõesti kui Issand elab, kes tõi Iisraeli lapsed üles Egiptusemaalt, vaid: Nii tõesti kui Issand elab, kes tõi ja juhtis Iisraeli soo, Iisraeli koja soo, põhjamaalt ja kõigist maadest, kuhu ma nad olin ajanud; ja nad elavad oma maal. Mu süda on murtud mu sees prohvetite pärast; kõik mu luud vabisevad; ma olen nagu joobnud mees ja nagu mees, kellest vein on võitu saanud, Issanda pärast ja tema pühaduse sõnade pärast. Sest maa on täis abielurikkujaid; sest needuse pärast leinab maa; kõrbe armsad paigad on kuivanud, ja nende käik on kuri ning nende jõud ei ole õige. Sest nii prohvet kui preester on roojased; jah, isegi oma kojas olen ma leidnud nende kurjuse, ütleb Issand. Seepärast saab nende tee neile nagu libedad rajad pimeduses: neid aetakse edasi ja nad langevad seal; sest mina toon nende peale õnnetuse, nende karistuse aasta, ütleb Issand. Jeremija 23:1–12.</w:t>
      </w:r>
    </w:p>
    <w:p>
      <w:pPr>
        <w:pStyle w:val="ArticleBody"/>
        <w:jc w:val="left"/>
      </w:pPr>
      <w:r>
        <w:rPr>
          <w:rFonts w:ascii="Times New Roman" w:hAnsi="Times New Roman" w:eastAsia="Times New Roman" w:cs="Times New Roman"/>
        </w:rPr>
        <w:t>La « année de visitation » de Jérémie est le jugement des conspirateurs qui trompèrent Darius. Le jugement des faux prophètes et des prêtres est un thème de la Parole prophétique. Et de même qu’un sacerdoce corrompu mena les autorités romaines et les séduisit contre le Christ, de même la conspiration de Daniel six traite précisément de cette vérité prophétique.</w:t>
      </w:r>
    </w:p>
    <w:p>
      <w:pPr>
        <w:pStyle w:val="ArticleBody"/>
        <w:jc w:val="left"/>
      </w:pPr>
      <w:r>
        <w:rPr>
          <w:rFonts w:ascii="Times New Roman" w:hAnsi="Times New Roman" w:eastAsia="Times New Roman" w:cs="Times New Roman"/>
        </w:rPr>
        <w:t>Linjat profetike të kapitullit të pestë të Danielit paraqesin gjykimin ekzekutiv të ushtruar mbi bririn republikan dhe mbi kombin e Shteteve të Bashkuara në ligjin e së dielës. Ky gjykim kryhet nga Islami i Mjerimit të tretë, i cili është futur fshehurazi në mbretëri përmes murit jugor të pambrojtur. Linja e ligjit të së dielës në kapitullin e tretë të Danielit e identifikon popullin e Perëndisë si të ngritur lart si një flamur për mbarë botën pikërisht në atë kohë. Kapitulli i gjashtë përqendrohet te gjykimi i ushtruar mbi profetët e rremë në po atë histori.</w:t>
      </w:r>
    </w:p>
    <w:p>
      <w:pPr>
        <w:pStyle w:val="ArticleBody"/>
        <w:jc w:val="left"/>
      </w:pPr>
      <w:r>
        <w:rPr>
          <w:rFonts w:ascii="Times New Roman" w:hAnsi="Times New Roman" w:eastAsia="Times New Roman" w:cs="Times New Roman"/>
        </w:rPr>
        <w:t>In der Sonntagsgesetzgebung in den Vereinigten Staaten setzt sich das abgefallene protestantische Horn aus zwei Klassen zusammen: die eine hält den Sonntag als den Tag der Anbetung aufrecht, die andere bekennt vergeblich, den Sabbat als den Tag der Anbetung aufrechtzuerhalten. Ihre Entsprechungen innerhalb des republikanischen Horns sind die Demokratische und die Republikanische Partei. Jedes der beiden abgefallenen Hörner wurde zur Zeit Christi durch die Sadduzäer und die Pharisäer vorgebildet. Die zwei abgefallenen Präsidenten und die einhundertzwanzig Priester in der Täuschung des Darius stellen ebenfalls die zwei Kategorien des abgefallenen Horns des Protestantismus dar. Obwohl sie zu der Zeit, als sich die Geschichte zutrug, tatsächlich politische Gestalten waren, weist der prophetische Zusammenhang darauf hin, dass es die abgefallene religiöse Macht ist, die den Staat verführt.</w:t>
      </w:r>
    </w:p>
    <w:p>
      <w:pPr>
        <w:pStyle w:val="ArticleBody"/>
        <w:jc w:val="left"/>
      </w:pPr>
      <w:r>
        <w:rPr>
          <w:rFonts w:ascii="Times New Roman" w:hAnsi="Times New Roman" w:eastAsia="Times New Roman" w:cs="Times New Roman"/>
        </w:rPr>
        <w:t>Le récit, tel qu’il est illustré au mont Carmel, désigne deux catégories de faux prophètes : les prophètes de Baal et les prophètes du bosquet (Ashtaroth). Ensemble, ils symbolisent l’union de l’Église et de l’État, car Baal est une divinité masculine et Ashtaroth une divinité féminine. Élie fit finalement exécuter les faux prophètes du mont Carmel, tout comme les conjurés de Daniel, au chapitre six, furent jetés dans la fosse aux lions.</w:t>
      </w:r>
    </w:p>
    <w:p>
      <w:pPr>
        <w:pStyle w:val="ArticleScripture"/>
        <w:jc w:val="left"/>
      </w:pPr>
      <w:r>
        <w:rPr>
          <w:rFonts w:ascii="Times New Roman" w:hAnsi="Times New Roman" w:eastAsia="Times New Roman" w:cs="Times New Roman"/>
        </w:rPr>
        <w:t>Helia a re ho bona: Swarang baporofeta ba Baale; ho se ke ha phonyoha le a le mong oa bona. Ba ba swara; mme Helia a ba isa tlase nokaneng ya Kishone, a ba bolaya teng. 1 Dikgosi 18:40.</w:t>
      </w:r>
    </w:p>
    <w:p>
      <w:pPr>
        <w:pStyle w:val="ArticleBody"/>
        <w:jc w:val="left"/>
      </w:pPr>
      <w:r>
        <w:rPr>
          <w:rFonts w:ascii="Times New Roman" w:hAnsi="Times New Roman" w:eastAsia="Times New Roman" w:cs="Times New Roman"/>
        </w:rPr>
        <w:t>Nan menm istwa Mòn Karmèl la, jan Jan Batis la reprezante l, pouvwa ki twonpe a se pitit fi a. Toude istwa yo idantifye twonpè yo kòm moun k ap danse, swa bò kote ofrann pa yo sou Mòn Karmèl, oswa nan fèt anivèsè nesans Ewòd la, nan bweson li te sou, kote Salome te fè dans twonpè li a. Ansanm, de liy yo idantifye konbinezon legliz ak leta a ki rive nan fòmasyon konplè li lè lwa dimanch la tabli, epi yo montre legliz aposta Etazini yo se pitit fi Ewodyad, ki se Jezabèl, e toude reprezante Katolisism. Anivèsè nesans Ewòd la make fen sizyèm wayòm bèt tè a, men an menm tan li make nesans setyèm wayòm pwofesi Bib la (Nasyonzini).</w:t>
      </w:r>
    </w:p>
    <w:p>
      <w:pPr>
        <w:pStyle w:val="ArticleBody"/>
        <w:jc w:val="left"/>
      </w:pPr>
      <w:r>
        <w:rPr>
          <w:rFonts w:ascii="Times New Roman" w:hAnsi="Times New Roman" w:eastAsia="Times New Roman" w:cs="Times New Roman"/>
        </w:rPr>
        <w:t>En la misma promesa hecha a Salomé, Herodes accede a darle a Salomé la mitad de su reino, identificando así que el séptimo reino representa una combinación de una mitad iglesia y una mitad Estado. El reino comienza cuando la cabeza de Juan es entregada a Herodías. Por esta razón, el séptimo reino es presentado en Apocalipsis capítulo diecisiete como continuando por breve tiempo. Es en la ley dominical donde la unión triple se establece, pues allí los diez reyes convienen en dar su reino de corta duración a la bestia por una “hora”. La “hora” es la “hora” de la crisis de la ley dominical, que comienza en los Estados Unidos y termina cuando Miguel se levanta.</w:t>
      </w:r>
    </w:p>
    <w:p>
      <w:pPr>
        <w:pStyle w:val="ArticleScripture"/>
        <w:jc w:val="left"/>
      </w:pPr>
      <w:r>
        <w:rPr>
          <w:rFonts w:ascii="Times New Roman" w:hAnsi="Times New Roman" w:eastAsia="Times New Roman" w:cs="Times New Roman"/>
        </w:rPr>
        <w:t>Na zile pembe kumi ulizoziona ni wafalme kumi, ambao bado hawajapokea ufalme; lakini wanapokea mamlaka kama wafalme kwa saa moja pamoja na yule mnyama. Hawa wana nia moja, nao watampa yule mnyama nguvu zao na uwezo wao. Hawa watapigana vita na Mwana-Kondoo, na Mwana-Kondoo atawashinda; kwa maana yeye ni Bwana wa mabwana, na Mfalme wa wafalme; na wale walio pamoja naye ndio walioitwa, na waliochaguliwa, na waaminifu. Ufunuo 17:12–14.</w:t>
      </w:r>
    </w:p>
    <w:p>
      <w:pPr>
        <w:pStyle w:val="ArticleBody"/>
        <w:jc w:val="left"/>
      </w:pPr>
      <w:r>
        <w:rPr>
          <w:rFonts w:ascii="Times New Roman" w:hAnsi="Times New Roman" w:eastAsia="Times New Roman" w:cs="Times New Roman"/>
        </w:rPr>
        <w:t>Ang sampung hari, na kinakatawan ni Herodes, ay nagkakasundo sa kaarawan ng ikapitong kaharian na ibigay ang kalahati ng kanilang kaharian sa halimaw sa panahon ng krisis ng batas ukol sa Linggo, na inilalarawan bilang “isang oras.” Sa “oras” na iyon, ang sulat-kamay ay isinulat sa pader ni Belsasar. Sa “oras” na iyon, sina Shadrach, Meshach, at Abednego ay inihagis sa hurno at iniakyat sa alapaap, gaya ng dalawang saksi sa Apocalipsis kabanata labing-isa. Ang tatluhang pagkakaisa ay pinagsama sa pamamagitan ng pandarayang isinagawa ng halimaw mula sa lupa, na nagpapababa ng apoy mula sa langit sa paningin ng mga tao.</w:t>
      </w:r>
    </w:p>
    <w:p>
      <w:pPr>
        <w:pStyle w:val="ArticleScripture"/>
        <w:jc w:val="left"/>
      </w:pPr>
      <w:r>
        <w:rPr>
          <w:rFonts w:ascii="Times New Roman" w:hAnsi="Times New Roman" w:eastAsia="Times New Roman" w:cs="Times New Roman"/>
        </w:rPr>
        <w:t>Dhe pashë një bishë tjetër që dilte prej dheut; dhe ajo kishte dy brirë si qengj dhe fliste si dragua. Dhe ushtron gjithë pushtetin e bishës së parë përpara saj dhe bën që dheu dhe banorët e tij ta adhurojnë bishën e parë, plaga vdekjeprurëse e së cilës u shërua. Dhe bën mrekulli të mëdha, aq sa zbret edhe zjarr nga qielli mbi dhe në sy të njerëzve, dhe i mashtron banorët e dheut me anë të atyre mrekullive që iu dha pushtet t’i bënte përpara bishës; duke u thënë banorëve të dheut që t’i bëjnë një shëmbëlltyrë bishës, e cila kishte plagën nga shpata dhe jetoi. Zbulesa 13:11–14.</w:t>
      </w:r>
    </w:p>
    <w:p>
      <w:pPr>
        <w:pStyle w:val="ArticleBody"/>
        <w:jc w:val="left"/>
      </w:pPr>
      <w:r>
        <w:rPr>
          <w:rFonts w:ascii="Times New Roman" w:hAnsi="Times New Roman" w:eastAsia="Times New Roman" w:cs="Times New Roman"/>
        </w:rPr>
        <w:t>Dunia ditipu, bukan terutama oleh mukjizat-mukjizat itu sendiri, melainkan oleh “sarana dari mukjizat-mukjizat itu” yang kepadanya diberikan kuasa untuk melakukannya. Ungkapan “sarana dari mukjizat-mukjizat itu” adalah frasa tambahan, namun frasa itu menempatkan penekanan yang benar pada mukjizat-mukjizat tersebut, yang patut diperhatikan dengan saksama. Cara di mana pekabaran palsu itu (api dari langit) menipu dunia merupakan hal yang penting untuk dikenali, sebab sekarang kita berada tepat dalam sejarah di mana penduduk planet bumi sedang dihipnotis melalui suatu “jalan raya informasi super” yang dikendalikan dan dimanipulasi oleh para saudagar globalis di bumi. Pokok bahasan itu akan kita tunda hingga tulisan-tulisan berikutnya, tetapi untuk saat ini kita sekadar mencatat bahwa penipuan terhadap para presiden dan pangeran yang dijalankan atas Darius merupakan suatu pokok nubuatan yang khusus, yang mengandung beberapa unsur terkait yang perlu dikenali.</w:t>
      </w:r>
    </w:p>
    <w:p>
      <w:pPr>
        <w:pStyle w:val="ArticleBody"/>
        <w:jc w:val="left"/>
      </w:pP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ਤਿਹਰਾ</w:t>
      </w:r>
      <w:r>
        <w:rPr>
          <w:rFonts w:ascii="Times New Roman" w:hAnsi="Times New Roman" w:eastAsia="Times New Roman" w:cs="Times New Roman"/>
        </w:rPr>
        <w:t xml:space="preserve"> </w:t>
      </w:r>
      <w:r>
        <w:rPr>
          <w:rFonts w:ascii="Nirmala UI" w:hAnsi="Nirmala UI" w:eastAsia="Nirmala UI" w:cs="Nirmala UI"/>
        </w:rPr>
        <w:t>ਸੰਘ</w:t>
      </w:r>
      <w:r>
        <w:rPr>
          <w:rFonts w:ascii="Times New Roman" w:hAnsi="Times New Roman" w:eastAsia="Times New Roman" w:cs="Times New Roman"/>
        </w:rPr>
        <w:t xml:space="preserve"> </w:t>
      </w:r>
      <w:r>
        <w:rPr>
          <w:rFonts w:ascii="Nirmala UI" w:hAnsi="Nirmala UI" w:eastAsia="Nirmala UI" w:cs="Nirmala UI"/>
        </w:rPr>
        <w:t>ਹੇਰੋਦ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ਜਨਮਦਿਨ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ਭੋਜ</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ਸ਼ਾਸਕਾਂ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ਸਾਹਮਣੇ</w:t>
      </w:r>
      <w:r>
        <w:rPr>
          <w:rFonts w:ascii="Times New Roman" w:hAnsi="Times New Roman" w:eastAsia="Times New Roman" w:cs="Times New Roman"/>
        </w:rPr>
        <w:t xml:space="preserve"> </w:t>
      </w:r>
      <w:r>
        <w:rPr>
          <w:rFonts w:ascii="Nirmala UI" w:hAnsi="Nirmala UI" w:eastAsia="Nirmala UI" w:cs="Nirmala UI"/>
        </w:rPr>
        <w:t>ਸਲੋਮੀ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ਇੰਦ੍ਰੀਅ</w:t>
      </w:r>
      <w:r>
        <w:rPr>
          <w:rFonts w:ascii="Times New Roman" w:hAnsi="Times New Roman" w:eastAsia="Times New Roman" w:cs="Times New Roman"/>
        </w:rPr>
        <w:t>-</w:t>
      </w:r>
      <w:r>
        <w:rPr>
          <w:rFonts w:ascii="Nirmala UI" w:hAnsi="Nirmala UI" w:eastAsia="Nirmala UI" w:cs="Nirmala UI"/>
        </w:rPr>
        <w:t>ਮੋਹਕ</w:t>
      </w:r>
      <w:r>
        <w:rPr>
          <w:rFonts w:ascii="Times New Roman" w:hAnsi="Times New Roman" w:eastAsia="Times New Roman" w:cs="Times New Roman"/>
        </w:rPr>
        <w:t xml:space="preserve"> </w:t>
      </w:r>
      <w:r>
        <w:rPr>
          <w:rFonts w:ascii="Nirmala UI" w:hAnsi="Nirmala UI" w:eastAsia="Nirmala UI" w:cs="Nirmala UI"/>
        </w:rPr>
        <w:t>ਨਾਚ</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ਧੋਖਾਧੜੀ</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ਇਕੱਠਾ</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ਧੋਖਾ</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ਪਿਲਾਤੁਸ</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ਥੋਪਿਆ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ਸੁਭਾਵ</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ਦੋਹਰਾ</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ਰਾਜਸੀ</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ਬਗਾਵਤ</w:t>
      </w:r>
      <w:r>
        <w:rPr>
          <w:rFonts w:ascii="Times New Roman" w:hAnsi="Times New Roman" w:eastAsia="Times New Roman" w:cs="Times New Roman"/>
        </w:rPr>
        <w:t xml:space="preserve"> </w:t>
      </w:r>
      <w:r>
        <w:rPr>
          <w:rFonts w:ascii="Nirmala UI" w:hAnsi="Nirmala UI" w:eastAsia="Nirmala UI" w:cs="Nirmala UI"/>
        </w:rPr>
        <w:t>ਪੈਦਾ</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ਉਤਸ਼ਾਹਿਤ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ਧਾਰਮਿਕ</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ਨਿੰਦਾ</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ਇਕੱਠੇ</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ਬਰੱਬਾ</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ਝੂਠਾ</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ਝੂਠਾ</w:t>
      </w:r>
      <w:r>
        <w:rPr>
          <w:rFonts w:ascii="Times New Roman" w:hAnsi="Times New Roman" w:eastAsia="Times New Roman" w:cs="Times New Roman"/>
        </w:rPr>
        <w:t xml:space="preserve"> </w:t>
      </w:r>
      <w:r>
        <w:rPr>
          <w:rFonts w:ascii="Nirmala UI" w:hAnsi="Nirmala UI" w:eastAsia="Nirmala UI" w:cs="Nirmala UI"/>
        </w:rPr>
        <w:t>ਨਬੀ</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ਧਰਮ</w:t>
      </w:r>
      <w:r>
        <w:rPr>
          <w:rFonts w:ascii="Times New Roman" w:hAnsi="Times New Roman" w:eastAsia="Times New Roman" w:cs="Times New Roman"/>
        </w:rPr>
        <w:t>-</w:t>
      </w:r>
      <w:r>
        <w:rPr>
          <w:rFonts w:ascii="Nirmala UI" w:hAnsi="Nirmala UI" w:eastAsia="Nirmala UI" w:cs="Nirmala UI"/>
        </w:rPr>
        <w:t>ਤਿਆਗੀ</w:t>
      </w:r>
      <w:r>
        <w:rPr>
          <w:rFonts w:ascii="Times New Roman" w:hAnsi="Times New Roman" w:eastAsia="Times New Roman" w:cs="Times New Roman"/>
        </w:rPr>
        <w:t xml:space="preserve"> </w:t>
      </w:r>
      <w:r>
        <w:rPr>
          <w:rFonts w:ascii="Nirmala UI" w:hAnsi="Nirmala UI" w:eastAsia="Nirmala UI" w:cs="Nirmala UI"/>
        </w:rPr>
        <w:t>ਯਹੂਦੀ</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ਦਰਿੰਦਾ</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ਧਰਮ</w:t>
      </w:r>
      <w:r>
        <w:rPr>
          <w:rFonts w:ascii="Times New Roman" w:hAnsi="Times New Roman" w:eastAsia="Times New Roman" w:cs="Times New Roman"/>
        </w:rPr>
        <w:t>-</w:t>
      </w:r>
      <w:r>
        <w:rPr>
          <w:rFonts w:ascii="Nirmala UI" w:hAnsi="Nirmala UI" w:eastAsia="Nirmala UI" w:cs="Nirmala UI"/>
        </w:rPr>
        <w:t>ਤਿਆਗੀ</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ਅਧਿਕਾਰਤਾ</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ਬਗਾਵਤ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ਨਿੰਦਾ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ਦੋਹਰੇ</w:t>
      </w:r>
      <w:r>
        <w:rPr>
          <w:rFonts w:ascii="Times New Roman" w:hAnsi="Times New Roman" w:eastAsia="Times New Roman" w:cs="Times New Roman"/>
        </w:rPr>
        <w:t xml:space="preserve"> </w:t>
      </w:r>
      <w:r>
        <w:rPr>
          <w:rFonts w:ascii="Nirmala UI" w:hAnsi="Nirmala UI" w:eastAsia="Nirmala UI" w:cs="Nirmala UI"/>
        </w:rPr>
        <w:t>ਝੂਠ</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ਧੋਖਾ</w:t>
      </w:r>
      <w:r>
        <w:rPr>
          <w:rFonts w:ascii="Times New Roman" w:hAnsi="Times New Roman" w:eastAsia="Times New Roman" w:cs="Times New Roman"/>
        </w:rPr>
        <w:t xml:space="preserve"> </w:t>
      </w:r>
      <w:r>
        <w:rPr>
          <w:rFonts w:ascii="Nirmala UI" w:hAnsi="Nirmala UI" w:eastAsia="Nirmala UI" w:cs="Nirmala UI"/>
        </w:rPr>
        <w:t>ਦਿੱਤਾ।</w:t>
      </w:r>
    </w:p>
    <w:p>
      <w:pPr>
        <w:pStyle w:val="ArticleBody"/>
        <w:jc w:val="left"/>
      </w:pPr>
      <w:r>
        <w:rPr>
          <w:rFonts w:ascii="MS Gothic" w:hAnsi="MS Gothic" w:eastAsia="MS Gothic" w:cs="MS Gothic"/>
        </w:rPr>
        <w:t>ちょうどダリヨスがついに</w:t>
      </w:r>
      <w:r>
        <w:rPr>
          <w:rFonts w:ascii="Microsoft YaHei" w:hAnsi="Microsoft YaHei" w:eastAsia="Microsoft YaHei" w:cs="Microsoft YaHei"/>
        </w:rPr>
        <w:t>自分</w:t>
      </w:r>
      <w:r>
        <w:rPr>
          <w:rFonts w:ascii="MS Gothic" w:hAnsi="MS Gothic" w:eastAsia="MS Gothic" w:cs="MS Gothic"/>
        </w:rPr>
        <w:t>を</w:t>
      </w:r>
      <w:r>
        <w:rPr>
          <w:rFonts w:ascii="Microsoft YaHei" w:hAnsi="Microsoft YaHei" w:eastAsia="Microsoft YaHei" w:cs="Microsoft YaHei"/>
        </w:rPr>
        <w:t>欺</w:t>
      </w:r>
      <w:r>
        <w:rPr>
          <w:rFonts w:ascii="MS Gothic" w:hAnsi="MS Gothic" w:eastAsia="MS Gothic" w:cs="MS Gothic"/>
        </w:rPr>
        <w:t>いた</w:t>
      </w:r>
      <w:r>
        <w:rPr>
          <w:rFonts w:ascii="Microsoft YaHei" w:hAnsi="Microsoft YaHei" w:eastAsia="Microsoft YaHei" w:cs="Microsoft YaHei"/>
        </w:rPr>
        <w:t>者</w:t>
      </w:r>
      <w:r>
        <w:rPr>
          <w:rFonts w:ascii="MS Gothic" w:hAnsi="MS Gothic" w:eastAsia="MS Gothic" w:cs="MS Gothic"/>
        </w:rPr>
        <w:t>たちの</w:t>
      </w:r>
      <w:r>
        <w:rPr>
          <w:rFonts w:ascii="Microsoft YaHei" w:hAnsi="Microsoft YaHei" w:eastAsia="Microsoft YaHei" w:cs="Microsoft YaHei"/>
        </w:rPr>
        <w:t>動機</w:t>
      </w:r>
      <w:r>
        <w:rPr>
          <w:rFonts w:ascii="MS Gothic" w:hAnsi="MS Gothic" w:eastAsia="MS Gothic" w:cs="MS Gothic"/>
        </w:rPr>
        <w:t>に</w:t>
      </w:r>
      <w:r>
        <w:rPr>
          <w:rFonts w:ascii="Microsoft YaHei" w:hAnsi="Microsoft YaHei" w:eastAsia="Microsoft YaHei" w:cs="Microsoft YaHei"/>
        </w:rPr>
        <w:t>気</w:t>
      </w:r>
      <w:r>
        <w:rPr>
          <w:rFonts w:ascii="MS Gothic" w:hAnsi="MS Gothic" w:eastAsia="MS Gothic" w:cs="MS Gothic"/>
        </w:rPr>
        <w:t>づいたとき</w:t>
      </w:r>
      <w:r>
        <w:rPr>
          <w:rFonts w:ascii="Microsoft YaHei" w:hAnsi="Microsoft YaHei" w:eastAsia="Microsoft YaHei" w:cs="Microsoft YaHei"/>
        </w:rPr>
        <w:t>、彼</w:t>
      </w:r>
      <w:r>
        <w:rPr>
          <w:rFonts w:ascii="MS Gothic" w:hAnsi="MS Gothic" w:eastAsia="MS Gothic" w:cs="MS Gothic"/>
        </w:rPr>
        <w:t>はダニエルを</w:t>
      </w:r>
      <w:r>
        <w:rPr>
          <w:rFonts w:ascii="Microsoft YaHei" w:hAnsi="Microsoft YaHei" w:eastAsia="Microsoft YaHei" w:cs="Microsoft YaHei"/>
        </w:rPr>
        <w:t>獅子</w:t>
      </w:r>
      <w:r>
        <w:rPr>
          <w:rFonts w:ascii="MS Gothic" w:hAnsi="MS Gothic" w:eastAsia="MS Gothic" w:cs="MS Gothic"/>
        </w:rPr>
        <w:t>の</w:t>
      </w:r>
      <w:r>
        <w:rPr>
          <w:rFonts w:ascii="Microsoft YaHei" w:hAnsi="Microsoft YaHei" w:eastAsia="Microsoft YaHei" w:cs="Microsoft YaHei"/>
        </w:rPr>
        <w:t>穴</w:t>
      </w:r>
      <w:r>
        <w:rPr>
          <w:rFonts w:ascii="MS Gothic" w:hAnsi="MS Gothic" w:eastAsia="MS Gothic" w:cs="MS Gothic"/>
        </w:rPr>
        <w:t>に</w:t>
      </w:r>
      <w:r>
        <w:rPr>
          <w:rFonts w:ascii="Microsoft YaHei" w:hAnsi="Microsoft YaHei" w:eastAsia="Microsoft YaHei" w:cs="Microsoft YaHei"/>
        </w:rPr>
        <w:t>投</w:t>
      </w:r>
      <w:r>
        <w:rPr>
          <w:rFonts w:ascii="MS Gothic" w:hAnsi="MS Gothic" w:eastAsia="MS Gothic" w:cs="MS Gothic"/>
        </w:rPr>
        <w:t>げ</w:t>
      </w:r>
      <w:r>
        <w:rPr>
          <w:rFonts w:ascii="Microsoft YaHei" w:hAnsi="Microsoft YaHei" w:eastAsia="Microsoft YaHei" w:cs="Microsoft YaHei"/>
        </w:rPr>
        <w:t>込</w:t>
      </w:r>
      <w:r>
        <w:rPr>
          <w:rFonts w:ascii="MS Gothic" w:hAnsi="MS Gothic" w:eastAsia="MS Gothic" w:cs="MS Gothic"/>
        </w:rPr>
        <w:t>まざるを</w:t>
      </w:r>
      <w:r>
        <w:rPr>
          <w:rFonts w:ascii="Microsoft YaHei" w:hAnsi="Microsoft YaHei" w:eastAsia="Microsoft YaHei" w:cs="Microsoft YaHei"/>
        </w:rPr>
        <w:t>得</w:t>
      </w:r>
      <w:r>
        <w:rPr>
          <w:rFonts w:ascii="MS Gothic" w:hAnsi="MS Gothic" w:eastAsia="MS Gothic" w:cs="MS Gothic"/>
        </w:rPr>
        <w:t>なかった</w:t>
      </w:r>
      <w:r>
        <w:rPr>
          <w:rFonts w:ascii="Times New Roman" w:hAnsi="Times New Roman" w:eastAsia="Times New Roman" w:cs="Times New Roman"/>
        </w:rPr>
        <w:t>.</w:t>
      </w:r>
      <w:r>
        <w:rPr>
          <w:rFonts w:ascii="MS Gothic" w:hAnsi="MS Gothic" w:eastAsia="MS Gothic" w:cs="MS Gothic"/>
        </w:rPr>
        <w:t>ダニエルは</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律法</w:t>
      </w:r>
      <w:r>
        <w:rPr>
          <w:rFonts w:ascii="MS Gothic" w:hAnsi="MS Gothic" w:eastAsia="MS Gothic" w:cs="MS Gothic"/>
        </w:rPr>
        <w:t>に</w:t>
      </w:r>
      <w:r>
        <w:rPr>
          <w:rFonts w:ascii="Microsoft YaHei" w:hAnsi="Microsoft YaHei" w:eastAsia="Microsoft YaHei" w:cs="Microsoft YaHei"/>
        </w:rPr>
        <w:t>従</w:t>
      </w:r>
      <w:r>
        <w:rPr>
          <w:rFonts w:ascii="MS Gothic" w:hAnsi="MS Gothic" w:eastAsia="MS Gothic" w:cs="MS Gothic"/>
        </w:rPr>
        <w:t>ったことによって</w:t>
      </w:r>
      <w:r>
        <w:rPr>
          <w:rFonts w:ascii="Microsoft YaHei" w:hAnsi="Microsoft YaHei" w:eastAsia="Microsoft YaHei" w:cs="Microsoft YaHei"/>
        </w:rPr>
        <w:t>、国家</w:t>
      </w:r>
      <w:r>
        <w:rPr>
          <w:rFonts w:ascii="MS Gothic" w:hAnsi="MS Gothic" w:eastAsia="MS Gothic" w:cs="MS Gothic"/>
        </w:rPr>
        <w:t>の</w:t>
      </w:r>
      <w:r>
        <w:rPr>
          <w:rFonts w:ascii="Microsoft YaHei" w:hAnsi="Microsoft YaHei" w:eastAsia="Microsoft YaHei" w:cs="Microsoft YaHei"/>
        </w:rPr>
        <w:t>法律</w:t>
      </w:r>
      <w:r>
        <w:rPr>
          <w:rFonts w:ascii="MS Gothic" w:hAnsi="MS Gothic" w:eastAsia="MS Gothic" w:cs="MS Gothic"/>
        </w:rPr>
        <w:t>を</w:t>
      </w:r>
      <w:r>
        <w:rPr>
          <w:rFonts w:ascii="Microsoft YaHei" w:hAnsi="Microsoft YaHei" w:eastAsia="Microsoft YaHei" w:cs="Microsoft YaHei"/>
        </w:rPr>
        <w:t>破</w:t>
      </w:r>
      <w:r>
        <w:rPr>
          <w:rFonts w:ascii="MS Gothic" w:hAnsi="MS Gothic" w:eastAsia="MS Gothic" w:cs="MS Gothic"/>
        </w:rPr>
        <w:t>ったのである</w:t>
      </w:r>
      <w:r>
        <w:rPr>
          <w:rFonts w:ascii="Times New Roman" w:hAnsi="Times New Roman" w:eastAsia="Times New Roman" w:cs="Times New Roman"/>
        </w:rPr>
        <w:t>.</w:t>
      </w:r>
      <w:r>
        <w:rPr>
          <w:rFonts w:ascii="MS Gothic" w:hAnsi="MS Gothic" w:eastAsia="MS Gothic" w:cs="MS Gothic"/>
        </w:rPr>
        <w:t>ダリヨスに</w:t>
      </w:r>
      <w:r>
        <w:rPr>
          <w:rFonts w:ascii="Microsoft YaHei" w:hAnsi="Microsoft YaHei" w:eastAsia="Microsoft YaHei" w:cs="Microsoft YaHei"/>
        </w:rPr>
        <w:t>提示</w:t>
      </w:r>
      <w:r>
        <w:rPr>
          <w:rFonts w:ascii="MS Gothic" w:hAnsi="MS Gothic" w:eastAsia="MS Gothic" w:cs="MS Gothic"/>
        </w:rPr>
        <w:t>された</w:t>
      </w:r>
      <w:r>
        <w:rPr>
          <w:rFonts w:ascii="Microsoft YaHei" w:hAnsi="Microsoft YaHei" w:eastAsia="Microsoft YaHei" w:cs="Microsoft YaHei"/>
        </w:rPr>
        <w:t>偽</w:t>
      </w:r>
      <w:r>
        <w:rPr>
          <w:rFonts w:ascii="MS Gothic" w:hAnsi="MS Gothic" w:eastAsia="MS Gothic" w:cs="MS Gothic"/>
        </w:rPr>
        <w:t>りは</w:t>
      </w:r>
      <w:r>
        <w:rPr>
          <w:rFonts w:ascii="Microsoft YaHei" w:hAnsi="Microsoft YaHei" w:eastAsia="Microsoft YaHei" w:cs="Microsoft YaHei"/>
        </w:rPr>
        <w:t>、</w:t>
      </w:r>
      <w:r>
        <w:rPr>
          <w:rFonts w:ascii="MS Gothic" w:hAnsi="MS Gothic" w:eastAsia="MS Gothic" w:cs="MS Gothic"/>
        </w:rPr>
        <w:t>ダリヨスの</w:t>
      </w:r>
      <w:r>
        <w:rPr>
          <w:rFonts w:ascii="Microsoft YaHei" w:hAnsi="Microsoft YaHei" w:eastAsia="Microsoft YaHei" w:cs="Microsoft YaHei"/>
        </w:rPr>
        <w:t>高慢</w:t>
      </w:r>
      <w:r>
        <w:rPr>
          <w:rFonts w:ascii="MS Gothic" w:hAnsi="MS Gothic" w:eastAsia="MS Gothic" w:cs="MS Gothic"/>
        </w:rPr>
        <w:t>をあおることによって</w:t>
      </w:r>
      <w:r>
        <w:rPr>
          <w:rFonts w:ascii="Microsoft YaHei" w:hAnsi="Microsoft YaHei" w:eastAsia="Microsoft YaHei" w:cs="Microsoft YaHei"/>
        </w:rPr>
        <w:t>成</w:t>
      </w:r>
      <w:r>
        <w:rPr>
          <w:rFonts w:ascii="MS Gothic" w:hAnsi="MS Gothic" w:eastAsia="MS Gothic" w:cs="MS Gothic"/>
        </w:rPr>
        <w:t>し</w:t>
      </w:r>
      <w:r>
        <w:rPr>
          <w:rFonts w:ascii="Microsoft YaHei" w:hAnsi="Microsoft YaHei" w:eastAsia="Microsoft YaHei" w:cs="Microsoft YaHei"/>
        </w:rPr>
        <w:t>遂</w:t>
      </w:r>
      <w:r>
        <w:rPr>
          <w:rFonts w:ascii="MS Gothic" w:hAnsi="MS Gothic" w:eastAsia="MS Gothic" w:cs="MS Gothic"/>
        </w:rPr>
        <w:t>げられ</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結果、彼</w:t>
      </w:r>
      <w:r>
        <w:rPr>
          <w:rFonts w:ascii="MS Gothic" w:hAnsi="MS Gothic" w:eastAsia="MS Gothic" w:cs="MS Gothic"/>
        </w:rPr>
        <w:t>は</w:t>
      </w:r>
      <w:r>
        <w:rPr>
          <w:rFonts w:ascii="Microsoft YaHei" w:hAnsi="Microsoft YaHei" w:eastAsia="Microsoft YaHei" w:cs="Microsoft YaHei"/>
        </w:rPr>
        <w:t>自分</w:t>
      </w:r>
      <w:r>
        <w:rPr>
          <w:rFonts w:ascii="MS Gothic" w:hAnsi="MS Gothic" w:eastAsia="MS Gothic" w:cs="MS Gothic"/>
        </w:rPr>
        <w:t>を</w:t>
      </w:r>
      <w:r>
        <w:rPr>
          <w:rFonts w:ascii="Microsoft YaHei" w:hAnsi="Microsoft YaHei" w:eastAsia="Microsoft YaHei" w:cs="Microsoft YaHei"/>
        </w:rPr>
        <w:t>欺</w:t>
      </w:r>
      <w:r>
        <w:rPr>
          <w:rFonts w:ascii="MS Gothic" w:hAnsi="MS Gothic" w:eastAsia="MS Gothic" w:cs="MS Gothic"/>
        </w:rPr>
        <w:t>いた</w:t>
      </w:r>
      <w:r>
        <w:rPr>
          <w:rFonts w:ascii="Microsoft YaHei" w:hAnsi="Microsoft YaHei" w:eastAsia="Microsoft YaHei" w:cs="Microsoft YaHei"/>
        </w:rPr>
        <w:t>者</w:t>
      </w:r>
      <w:r>
        <w:rPr>
          <w:rFonts w:ascii="MS Gothic" w:hAnsi="MS Gothic" w:eastAsia="MS Gothic" w:cs="MS Gothic"/>
        </w:rPr>
        <w:t>たちの</w:t>
      </w:r>
      <w:r>
        <w:rPr>
          <w:rFonts w:ascii="Microsoft YaHei" w:hAnsi="Microsoft YaHei" w:eastAsia="Microsoft YaHei" w:cs="Microsoft YaHei"/>
        </w:rPr>
        <w:t>動機</w:t>
      </w:r>
      <w:r>
        <w:rPr>
          <w:rFonts w:ascii="MS Gothic" w:hAnsi="MS Gothic" w:eastAsia="MS Gothic" w:cs="MS Gothic"/>
        </w:rPr>
        <w:t>を</w:t>
      </w:r>
      <w:r>
        <w:rPr>
          <w:rFonts w:ascii="Microsoft YaHei" w:hAnsi="Microsoft YaHei" w:eastAsia="Microsoft YaHei" w:cs="Microsoft YaHei"/>
        </w:rPr>
        <w:t>見抜</w:t>
      </w:r>
      <w:r>
        <w:rPr>
          <w:rFonts w:ascii="MS Gothic" w:hAnsi="MS Gothic" w:eastAsia="MS Gothic" w:cs="MS Gothic"/>
        </w:rPr>
        <w:t>くことができなかった</w:t>
      </w:r>
      <w:r>
        <w:rPr>
          <w:rFonts w:ascii="Times New Roman" w:hAnsi="Times New Roman" w:eastAsia="Times New Roman" w:cs="Times New Roman"/>
        </w:rPr>
        <w:t>.</w:t>
      </w:r>
      <w:r>
        <w:rPr>
          <w:rFonts w:ascii="MS Gothic" w:hAnsi="MS Gothic" w:eastAsia="MS Gothic" w:cs="MS Gothic"/>
        </w:rPr>
        <w:t>ダニエルと</w:t>
      </w:r>
      <w:r>
        <w:rPr>
          <w:rFonts w:ascii="Microsoft YaHei" w:hAnsi="Microsoft YaHei" w:eastAsia="Microsoft YaHei" w:cs="Microsoft YaHei"/>
        </w:rPr>
        <w:t>獅子</w:t>
      </w:r>
      <w:r>
        <w:rPr>
          <w:rFonts w:ascii="MS Gothic" w:hAnsi="MS Gothic" w:eastAsia="MS Gothic" w:cs="MS Gothic"/>
        </w:rPr>
        <w:t>の</w:t>
      </w:r>
      <w:r>
        <w:rPr>
          <w:rFonts w:ascii="Microsoft YaHei" w:hAnsi="Microsoft YaHei" w:eastAsia="Microsoft YaHei" w:cs="Microsoft YaHei"/>
        </w:rPr>
        <w:t>穴</w:t>
      </w:r>
      <w:r>
        <w:rPr>
          <w:rFonts w:ascii="MS Gothic" w:hAnsi="MS Gothic" w:eastAsia="MS Gothic" w:cs="MS Gothic"/>
        </w:rPr>
        <w:t>の</w:t>
      </w:r>
      <w:r>
        <w:rPr>
          <w:rFonts w:ascii="Microsoft YaHei" w:hAnsi="Microsoft YaHei" w:eastAsia="Microsoft YaHei" w:cs="Microsoft YaHei"/>
        </w:rPr>
        <w:t>物語</w:t>
      </w:r>
      <w:r>
        <w:rPr>
          <w:rFonts w:ascii="MS Gothic" w:hAnsi="MS Gothic" w:eastAsia="MS Gothic" w:cs="MS Gothic"/>
        </w:rPr>
        <w:t>におけるその</w:t>
      </w:r>
      <w:r>
        <w:rPr>
          <w:rFonts w:ascii="Microsoft YaHei" w:hAnsi="Microsoft YaHei" w:eastAsia="Microsoft YaHei" w:cs="Microsoft YaHei"/>
        </w:rPr>
        <w:t>偽</w:t>
      </w:r>
      <w:r>
        <w:rPr>
          <w:rFonts w:ascii="MS Gothic" w:hAnsi="MS Gothic" w:eastAsia="MS Gothic" w:cs="MS Gothic"/>
        </w:rPr>
        <w:t>りと</w:t>
      </w:r>
      <w:r>
        <w:rPr>
          <w:rFonts w:ascii="Microsoft YaHei" w:hAnsi="Microsoft YaHei" w:eastAsia="Microsoft YaHei" w:cs="Microsoft YaHei"/>
        </w:rPr>
        <w:t>欺</w:t>
      </w:r>
      <w:r>
        <w:rPr>
          <w:rFonts w:ascii="MS Gothic" w:hAnsi="MS Gothic" w:eastAsia="MS Gothic" w:cs="MS Gothic"/>
        </w:rPr>
        <w:t>きは</w:t>
      </w:r>
      <w:r>
        <w:rPr>
          <w:rFonts w:ascii="Microsoft YaHei" w:hAnsi="Microsoft YaHei" w:eastAsia="Microsoft YaHei" w:cs="Microsoft YaHei"/>
        </w:rPr>
        <w:t>、神</w:t>
      </w:r>
      <w:r>
        <w:rPr>
          <w:rFonts w:ascii="MS Gothic" w:hAnsi="MS Gothic" w:eastAsia="MS Gothic" w:cs="MS Gothic"/>
        </w:rPr>
        <w:t>への</w:t>
      </w:r>
      <w:r>
        <w:rPr>
          <w:rFonts w:ascii="Microsoft YaHei" w:hAnsi="Microsoft YaHei" w:eastAsia="Microsoft YaHei" w:cs="Microsoft YaHei"/>
        </w:rPr>
        <w:t>従順</w:t>
      </w:r>
      <w:r>
        <w:rPr>
          <w:rFonts w:ascii="MS Gothic" w:hAnsi="MS Gothic" w:eastAsia="MS Gothic" w:cs="MS Gothic"/>
        </w:rPr>
        <w:t>を</w:t>
      </w:r>
      <w:r>
        <w:rPr>
          <w:rFonts w:ascii="Microsoft YaHei" w:hAnsi="Microsoft YaHei" w:eastAsia="Microsoft YaHei" w:cs="Microsoft YaHei"/>
        </w:rPr>
        <w:t>冒瀆</w:t>
      </w:r>
      <w:r>
        <w:rPr>
          <w:rFonts w:ascii="MS Gothic" w:hAnsi="MS Gothic" w:eastAsia="MS Gothic" w:cs="MS Gothic"/>
        </w:rPr>
        <w:t>および</w:t>
      </w:r>
      <w:r>
        <w:rPr>
          <w:rFonts w:ascii="Microsoft YaHei" w:hAnsi="Microsoft YaHei" w:eastAsia="Microsoft YaHei" w:cs="Microsoft YaHei"/>
        </w:rPr>
        <w:t>反逆</w:t>
      </w:r>
      <w:r>
        <w:rPr>
          <w:rFonts w:ascii="MS Gothic" w:hAnsi="MS Gothic" w:eastAsia="MS Gothic" w:cs="MS Gothic"/>
        </w:rPr>
        <w:t>として</w:t>
      </w:r>
      <w:r>
        <w:rPr>
          <w:rFonts w:ascii="Microsoft YaHei" w:hAnsi="Microsoft YaHei" w:eastAsia="Microsoft YaHei" w:cs="Microsoft YaHei"/>
        </w:rPr>
        <w:t>位置</w:t>
      </w:r>
      <w:r>
        <w:rPr>
          <w:rFonts w:ascii="MS Gothic" w:hAnsi="MS Gothic" w:eastAsia="MS Gothic" w:cs="MS Gothic"/>
        </w:rPr>
        <w:t>づけており</w:t>
      </w:r>
      <w:r>
        <w:rPr>
          <w:rFonts w:ascii="Microsoft YaHei" w:hAnsi="Microsoft YaHei" w:eastAsia="Microsoft YaHei" w:cs="Microsoft YaHei"/>
        </w:rPr>
        <w:t>、</w:t>
      </w:r>
      <w:r>
        <w:rPr>
          <w:rFonts w:ascii="MS Gothic" w:hAnsi="MS Gothic" w:eastAsia="MS Gothic" w:cs="MS Gothic"/>
        </w:rPr>
        <w:t>それは</w:t>
      </w:r>
      <w:r>
        <w:rPr>
          <w:rFonts w:ascii="Microsoft YaHei" w:hAnsi="Microsoft YaHei" w:eastAsia="Microsoft YaHei" w:cs="Microsoft YaHei"/>
        </w:rPr>
        <w:t>十字架</w:t>
      </w:r>
      <w:r>
        <w:rPr>
          <w:rFonts w:ascii="MS Gothic" w:hAnsi="MS Gothic" w:eastAsia="MS Gothic" w:cs="MS Gothic"/>
        </w:rPr>
        <w:t>におけるのと</w:t>
      </w:r>
      <w:r>
        <w:rPr>
          <w:rFonts w:ascii="Microsoft YaHei" w:hAnsi="Microsoft YaHei" w:eastAsia="Microsoft YaHei" w:cs="Microsoft YaHei"/>
        </w:rPr>
        <w:t>同</w:t>
      </w:r>
      <w:r>
        <w:rPr>
          <w:rFonts w:ascii="MS Gothic" w:hAnsi="MS Gothic" w:eastAsia="MS Gothic" w:cs="MS Gothic"/>
        </w:rPr>
        <w:t>じ</w:t>
      </w:r>
      <w:r>
        <w:rPr>
          <w:rFonts w:ascii="Microsoft YaHei" w:hAnsi="Microsoft YaHei" w:eastAsia="Microsoft YaHei" w:cs="Microsoft YaHei"/>
        </w:rPr>
        <w:t>二重</w:t>
      </w:r>
      <w:r>
        <w:rPr>
          <w:rFonts w:ascii="MS Gothic" w:hAnsi="MS Gothic" w:eastAsia="MS Gothic" w:cs="MS Gothic"/>
        </w:rPr>
        <w:t>の</w:t>
      </w:r>
      <w:r>
        <w:rPr>
          <w:rFonts w:ascii="Microsoft YaHei" w:hAnsi="Microsoft YaHei" w:eastAsia="Microsoft YaHei" w:cs="Microsoft YaHei"/>
        </w:rPr>
        <w:t>欺</w:t>
      </w:r>
      <w:r>
        <w:rPr>
          <w:rFonts w:ascii="MS Gothic" w:hAnsi="MS Gothic" w:eastAsia="MS Gothic" w:cs="MS Gothic"/>
        </w:rPr>
        <w:t>きであった</w:t>
      </w:r>
      <w:r>
        <w:rPr>
          <w:rFonts w:ascii="Times New Roman" w:hAnsi="Times New Roman" w:eastAsia="Times New Roman" w:cs="Times New Roman"/>
        </w:rPr>
        <w:t>.</w:t>
      </w:r>
      <w:r>
        <w:rPr>
          <w:rFonts w:ascii="MS Gothic" w:hAnsi="MS Gothic" w:eastAsia="MS Gothic" w:cs="MS Gothic"/>
        </w:rPr>
        <w:t>そして</w:t>
      </w:r>
      <w:r>
        <w:rPr>
          <w:rFonts w:ascii="Microsoft YaHei" w:hAnsi="Microsoft YaHei" w:eastAsia="Microsoft YaHei" w:cs="Microsoft YaHei"/>
        </w:rPr>
        <w:t>、十字架</w:t>
      </w:r>
      <w:r>
        <w:rPr>
          <w:rFonts w:ascii="MS Gothic" w:hAnsi="MS Gothic" w:eastAsia="MS Gothic" w:cs="MS Gothic"/>
        </w:rPr>
        <w:t>の</w:t>
      </w:r>
      <w:r>
        <w:rPr>
          <w:rFonts w:ascii="Microsoft YaHei" w:hAnsi="Microsoft YaHei" w:eastAsia="Microsoft YaHei" w:cs="Microsoft YaHei"/>
        </w:rPr>
        <w:t>道標</w:t>
      </w:r>
      <w:r>
        <w:rPr>
          <w:rFonts w:ascii="MS Gothic" w:hAnsi="MS Gothic" w:eastAsia="MS Gothic" w:cs="MS Gothic"/>
        </w:rPr>
        <w:t>は</w:t>
      </w:r>
      <w:r>
        <w:rPr>
          <w:rFonts w:ascii="Microsoft YaHei" w:hAnsi="Microsoft YaHei" w:eastAsia="Microsoft YaHei" w:cs="Microsoft YaHei"/>
        </w:rPr>
        <w:t>日曜法</w:t>
      </w:r>
      <w:r>
        <w:rPr>
          <w:rFonts w:ascii="MS Gothic" w:hAnsi="MS Gothic" w:eastAsia="MS Gothic" w:cs="MS Gothic"/>
        </w:rPr>
        <w:t>の</w:t>
      </w:r>
      <w:r>
        <w:rPr>
          <w:rFonts w:ascii="Microsoft YaHei" w:hAnsi="Microsoft YaHei" w:eastAsia="Microsoft YaHei" w:cs="Microsoft YaHei"/>
        </w:rPr>
        <w:t>道標</w:t>
      </w:r>
      <w:r>
        <w:rPr>
          <w:rFonts w:ascii="MS Gothic" w:hAnsi="MS Gothic" w:eastAsia="MS Gothic" w:cs="MS Gothic"/>
        </w:rPr>
        <w:t>と</w:t>
      </w:r>
      <w:r>
        <w:rPr>
          <w:rFonts w:ascii="Microsoft YaHei" w:hAnsi="Microsoft YaHei" w:eastAsia="Microsoft YaHei" w:cs="Microsoft YaHei"/>
        </w:rPr>
        <w:t>一致</w:t>
      </w:r>
      <w:r>
        <w:rPr>
          <w:rFonts w:ascii="MS Gothic" w:hAnsi="MS Gothic" w:eastAsia="MS Gothic" w:cs="MS Gothic"/>
        </w:rPr>
        <w:t>している</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La punition de la puissance religieuse séductrice est un sujet de la prophétie biblique, tout comme le fait que la puissance religieuse séduit la puissance étatique.</w:t>
      </w:r>
    </w:p>
    <w:p>
      <w:pPr>
        <w:pStyle w:val="ArticleScripture"/>
        <w:jc w:val="left"/>
      </w:pPr>
      <w:r>
        <w:rPr>
          <w:rFonts w:ascii="Times New Roman" w:hAnsi="Times New Roman" w:eastAsia="Times New Roman" w:cs="Times New Roman"/>
        </w:rPr>
        <w:t>El pueblo ve que ha sido engañado. Se acusan unos a otros de haberlos conducido a la destrucción; pero todos se unen para descargar su más amarga condenación sobre los ministros. Pastores infieles han profetizado cosas halagüeñas; han inducido a sus oyentes a invalidar la ley de Dios y a perseguir a quienes procuraban guardarla santamente. Ahora, en su desesperación, estos maestros confiesan ante el mundo su obra de engaño. Las multitudes se llenan de furor. “¡Estamos perdidos!”, claman, “¡y vosotros sois la causa de nuestra ruina!”; y se vuelven contra los falsos pastores. Precisamente aquellos que antes más los admiraban pronunciarán sobre ellos las maldiciones más espantosas. Las mismas manos que una vez los coronaron de laureles se alzarán para su destrucción. Las espadas que habían de dar muerte al pueblo de Dios ahora se emplean para destruir a sus enemigos. Por doquiera hay contienda y derramamiento de sangre.” El conflicto de los siglos, 655.</w:t>
      </w:r>
    </w:p>
    <w:p>
      <w:pPr>
        <w:pStyle w:val="ArticleBody"/>
        <w:jc w:val="left"/>
      </w:pPr>
      <w:r>
        <w:rPr>
          <w:rFonts w:ascii="Times New Roman" w:hAnsi="Times New Roman" w:eastAsia="Times New Roman" w:cs="Times New Roman"/>
        </w:rPr>
        <w:t>Abahobozi b’idini bahindukirwaho igihe igeragezwa rirangiye, kuko abo baragiye bamenya ko bari barayobejwe n’ikinyoma cyakwirakwijwe n’abo bayobozi b’idini. Abaperezida n’ibikomangoma, hamwe n’imiryango yabo, bose bahuye n’urubanza rw’ingaruka rw’uko kinyoma bakwirakwije. Igihe Eliya yicaga abahanuzi b’ibinyoma ku Musozi Karumeli, uko guhana nyakuri ni ko kugaragazwa muri “wa mutingito ukomeye” wo mu Byahishuwe igice cya cumi na kimwe, aho “ibihumbi birindwi” birimburwa.</w:t>
      </w:r>
    </w:p>
    <w:p>
      <w:pPr>
        <w:pStyle w:val="ArticleScripture"/>
        <w:jc w:val="left"/>
      </w:pPr>
      <w:r>
        <w:rPr>
          <w:rFonts w:ascii="Times New Roman" w:hAnsi="Times New Roman" w:eastAsia="Times New Roman" w:cs="Times New Roman"/>
        </w:rPr>
        <w:t>At tamin’izany ora izany ihany dia nisy horohoron-tany lehibe; ary rava ny ampahafolon’ny tanàna, ary tamin’izany horohoron-tany izany dia olona fito arivo no matin’olona; ary ny sisa dia raiki-tahotra ka nanome voninahitra an’Andriamanitry ny lanitra. Apokalypsy 11:13.</w:t>
      </w:r>
    </w:p>
    <w:p>
      <w:pPr>
        <w:pStyle w:val="ArticleBody"/>
        <w:jc w:val="left"/>
      </w:pPr>
      <w:r>
        <w:rPr>
          <w:rFonts w:ascii="Times New Roman" w:hAnsi="Times New Roman" w:eastAsia="Times New Roman" w:cs="Times New Roman"/>
        </w:rPr>
        <w:t>Nan guj c'agbẹ ga e de Flans Lansi, ẹgba mẹje tí a pa dúró fún àwọn ọba-ọba ilẹ̀ Faransi. Ní “wákàtí” ìwarìrì ńlá náà, ìyẹn òfin Ọjọ́ Àìkú, ẹgba mẹje tí a pa dúró fún àwọn Ọjọ́-Ìsinmi-Adventist ọjọ́ keje tí wọ́n tẹrí balẹ̀ fún Róòmù; nítorí pé àwọn nìkan tí wọ́n lóye ojúṣe ìdáhùn Ọjọ́ Ìsinmi ọjọ́ keje ni wọ́n gba ààmì ẹranko náà nígbà tí òfin Ọjọ́ Àìkú bá dé.</w:t>
      </w:r>
    </w:p>
    <w:p>
      <w:pPr>
        <w:pStyle w:val="ArticleScripture"/>
        <w:jc w:val="left"/>
      </w:pPr>
      <w:r>
        <w:rPr>
          <w:rFonts w:ascii="Times New Roman" w:hAnsi="Times New Roman" w:eastAsia="Times New Roman" w:cs="Times New Roman"/>
        </w:rPr>
        <w:t>« Le changement du sabbat est le signe, ou la marque, de l’autorité de l’Église romaine. Ceux qui, comprenant les exigences du quatrième commandement, choisissent d’observer le faux sabbat à la place du vrai, rendent par là même hommage à cette puissance par l’autorité de laquelle seule il est prescrit. La marque de la bête, c’est le sabbat papal, qui a été accepté par le monde à la place du jour établi par Dieu. »</w:t>
      </w:r>
    </w:p>
    <w:p>
      <w:pPr>
        <w:pStyle w:val="ArticleScripture"/>
        <w:jc w:val="left"/>
      </w:pPr>
      <w:r>
        <w:rPr>
          <w:rFonts w:ascii="Times New Roman" w:hAnsi="Times New Roman" w:eastAsia="Times New Roman" w:cs="Times New Roman"/>
        </w:rPr>
        <w:t>“Kepha nako ya go amogela letshwao la sebata, jaaka go beilwe mo seporofetong, ga e ise e goroge. Nako ya teko ga e ise e tle. Go na le Bakeresete ba boammaaruri mo kerekeng nngwe le nngwe, go sa tlhaole kereke ya Roma Katolika. Ga go ope yo o atlholwang go fitlha ba sena go amogela lesedi mme ba lemoga boikarabelo jwa taelo ya bone. Mme fa taelo e tla bo e ntshitswe e pateletsa Sabata ya maaka, mme fa mokgosi o mogolo wa moengele wa boraro o tla bo o tlhagisa batho kgatlhanong le kobamelo ya sebata le setshwantsho sa sone, mola o tla bo o kgaoganya ka phepafalo maaka le boammaaruri. Foo ba ba sa ntseng ba tswelela mo tlolong ba tla amogela letshwao la sebata mo diphatleng tsa bone kgotsa mo diatleng tsa bone.”</w:t>
      </w:r>
    </w:p>
    <w:p>
      <w:pPr>
        <w:pStyle w:val="ArticleScripture"/>
        <w:jc w:val="left"/>
      </w:pPr>
      <w:r>
        <w:rPr>
          <w:rFonts w:ascii="Times New Roman" w:hAnsi="Times New Roman" w:eastAsia="Times New Roman" w:cs="Times New Roman"/>
        </w:rPr>
        <w:t>« En ff, à pas rapides, nous approchons de cette période. Lorsque les Églises protestantes s’uniront au pouvoir séculier pour soutenir une fausse religion, à laquelle leurs ancêtres s’opposèrent au prix des plus cruelles persécutions, alors le sabbat papal sera imposé par l’autorité conjointe de l’Église et de l’État. Il y aura une apostasie nationale, qui ne prendra fin que dans la ruine nationale. » Bible Training School, 2 février 1913.</w:t>
      </w:r>
    </w:p>
    <w:p>
      <w:pPr>
        <w:pStyle w:val="ArticleBody"/>
        <w:jc w:val="left"/>
      </w:pPr>
      <w:r>
        <w:rPr>
          <w:rFonts w:ascii="Times New Roman" w:hAnsi="Times New Roman" w:eastAsia="Times New Roman" w:cs="Times New Roman"/>
        </w:rPr>
        <w:t>Die „siebentausend“, die in der „Stunde“ des großen Erdbebens, das heißt des Sonntagsgesetzes, umkommen, entsprechen auch den „siebentausend“, die sich zur Zeit Elias weigerten, sich vor Isebel zu beugen.</w:t>
      </w:r>
    </w:p>
    <w:p>
      <w:pPr>
        <w:pStyle w:val="ArticleScripture"/>
        <w:jc w:val="left"/>
      </w:pPr>
      <w:r>
        <w:rPr>
          <w:rFonts w:ascii="Times New Roman" w:hAnsi="Times New Roman" w:eastAsia="Times New Roman" w:cs="Times New Roman"/>
        </w:rPr>
        <w:t>Cependant, je me suis réservé en Israël sept mille hommes, tous ceux dont les genoux n’ont point fléchi devant Baal et dont la bouche ne l’a point baisé. 1 Rois 19:18.</w:t>
      </w:r>
    </w:p>
    <w:p>
      <w:pPr>
        <w:pStyle w:val="ArticleBody"/>
        <w:jc w:val="left"/>
      </w:pP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ቀዳማይ</w:t>
      </w:r>
      <w:r>
        <w:rPr>
          <w:rFonts w:ascii="Times New Roman" w:hAnsi="Times New Roman" w:eastAsia="Times New Roman" w:cs="Times New Roman"/>
        </w:rPr>
        <w:t xml:space="preserve"> </w:t>
      </w:r>
      <w:r>
        <w:rPr>
          <w:rFonts w:ascii="Ebrima" w:hAnsi="Ebrima" w:eastAsia="Ebrima" w:cs="Ebrima"/>
        </w:rPr>
        <w:t>ጥቕሲ</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ሸውዓተ</w:t>
      </w:r>
      <w:r>
        <w:rPr>
          <w:rFonts w:ascii="Times New Roman" w:hAnsi="Times New Roman" w:eastAsia="Times New Roman" w:cs="Times New Roman"/>
        </w:rPr>
        <w:t xml:space="preserve"> </w:t>
      </w:r>
      <w:r>
        <w:rPr>
          <w:rFonts w:ascii="Ebrima" w:hAnsi="Ebrima" w:eastAsia="Ebrima" w:cs="Ebrima"/>
        </w:rPr>
        <w:t>ሽሕ</w:t>
      </w:r>
      <w:r>
        <w:rPr>
          <w:rFonts w:ascii="Times New Roman" w:hAnsi="Times New Roman" w:eastAsia="Times New Roman" w:cs="Times New Roman"/>
        </w:rPr>
        <w:t xml:space="preserve"> </w:t>
      </w:r>
      <w:r>
        <w:rPr>
          <w:rFonts w:ascii="Ebrima" w:hAnsi="Ebrima" w:eastAsia="Ebrima" w:cs="Ebrima"/>
        </w:rPr>
        <w:t>ዝወስድ</w:t>
      </w:r>
      <w:r>
        <w:rPr>
          <w:rFonts w:ascii="Times New Roman" w:hAnsi="Times New Roman" w:eastAsia="Times New Roman" w:cs="Times New Roman"/>
        </w:rPr>
        <w:t xml:space="preserve"> </w:t>
      </w:r>
      <w:r>
        <w:rPr>
          <w:rFonts w:ascii="Ebrima" w:hAnsi="Ebrima" w:eastAsia="Ebrima" w:cs="Ebrima"/>
        </w:rPr>
        <w:t>እምነቶም</w:t>
      </w:r>
      <w:r>
        <w:rPr>
          <w:rFonts w:ascii="Times New Roman" w:hAnsi="Times New Roman" w:eastAsia="Times New Roman" w:cs="Times New Roman"/>
        </w:rPr>
        <w:t xml:space="preserve"> </w:t>
      </w:r>
      <w:r>
        <w:rPr>
          <w:rFonts w:ascii="Ebrima" w:hAnsi="Ebrima" w:eastAsia="Ebrima" w:cs="Ebrima"/>
        </w:rPr>
        <w:t>ዝጸንዑ</w:t>
      </w:r>
      <w:r>
        <w:rPr>
          <w:rFonts w:ascii="Times New Roman" w:hAnsi="Times New Roman" w:eastAsia="Times New Roman" w:cs="Times New Roman"/>
        </w:rPr>
        <w:t xml:space="preserve"> </w:t>
      </w:r>
      <w:r>
        <w:rPr>
          <w:rFonts w:ascii="Ebrima" w:hAnsi="Ebrima" w:eastAsia="Ebrima" w:cs="Ebrima"/>
        </w:rPr>
        <w:t>እሞ</w:t>
      </w:r>
      <w:r>
        <w:rPr>
          <w:rFonts w:ascii="Times New Roman" w:hAnsi="Times New Roman" w:eastAsia="Times New Roman" w:cs="Times New Roman"/>
        </w:rPr>
        <w:t xml:space="preserve"> </w:t>
      </w:r>
      <w:r>
        <w:rPr>
          <w:rFonts w:ascii="Ebrima" w:hAnsi="Ebrima" w:eastAsia="Ebrima" w:cs="Ebrima"/>
        </w:rPr>
        <w:t>ንኢዛቤል</w:t>
      </w:r>
      <w:r>
        <w:rPr>
          <w:rFonts w:ascii="Times New Roman" w:hAnsi="Times New Roman" w:eastAsia="Times New Roman" w:cs="Times New Roman"/>
        </w:rPr>
        <w:t xml:space="preserve"> </w:t>
      </w:r>
      <w:r>
        <w:rPr>
          <w:rFonts w:ascii="Ebrima" w:hAnsi="Ebrima" w:eastAsia="Ebrima" w:cs="Ebrima"/>
        </w:rPr>
        <w:t>ክሰግዱ</w:t>
      </w:r>
      <w:r>
        <w:rPr>
          <w:rFonts w:ascii="Times New Roman" w:hAnsi="Times New Roman" w:eastAsia="Times New Roman" w:cs="Times New Roman"/>
        </w:rPr>
        <w:t xml:space="preserve"> </w:t>
      </w:r>
      <w:r>
        <w:rPr>
          <w:rFonts w:ascii="Ebrima" w:hAnsi="Ebrima" w:eastAsia="Ebrima" w:cs="Ebrima"/>
        </w:rPr>
        <w:t>ዝኣበዩ</w:t>
      </w:r>
      <w:r>
        <w:rPr>
          <w:rFonts w:ascii="Times New Roman" w:hAnsi="Times New Roman" w:eastAsia="Times New Roman" w:cs="Times New Roman"/>
        </w:rPr>
        <w:t xml:space="preserve"> </w:t>
      </w:r>
      <w:r>
        <w:rPr>
          <w:rFonts w:ascii="Ebrima" w:hAnsi="Ebrima" w:eastAsia="Ebrima" w:cs="Ebrima"/>
        </w:rPr>
        <w:t>ጉጅለ</w:t>
      </w:r>
      <w:r>
        <w:rPr>
          <w:rFonts w:ascii="Times New Roman" w:hAnsi="Times New Roman" w:eastAsia="Times New Roman" w:cs="Times New Roman"/>
        </w:rPr>
        <w:t xml:space="preserve"> </w:t>
      </w:r>
      <w:r>
        <w:rPr>
          <w:rFonts w:ascii="Ebrima" w:hAnsi="Ebrima" w:eastAsia="Ebrima" w:cs="Ebrima"/>
        </w:rPr>
        <w:t>ይግልጽ፤</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ጥቕሲ</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ንኢዛቤል</w:t>
      </w:r>
      <w:r>
        <w:rPr>
          <w:rFonts w:ascii="Times New Roman" w:hAnsi="Times New Roman" w:eastAsia="Times New Roman" w:cs="Times New Roman"/>
        </w:rPr>
        <w:t xml:space="preserve"> </w:t>
      </w:r>
      <w:r>
        <w:rPr>
          <w:rFonts w:ascii="Ebrima" w:hAnsi="Ebrima" w:eastAsia="Ebrima" w:cs="Ebrima"/>
        </w:rPr>
        <w:t>ዚሰግዱ</w:t>
      </w:r>
      <w:r>
        <w:rPr>
          <w:rFonts w:ascii="Times New Roman" w:hAnsi="Times New Roman" w:eastAsia="Times New Roman" w:cs="Times New Roman"/>
        </w:rPr>
        <w:t xml:space="preserve"> </w:t>
      </w:r>
      <w:r>
        <w:rPr>
          <w:rFonts w:ascii="Ebrima" w:hAnsi="Ebrima" w:eastAsia="Ebrima" w:cs="Ebrima"/>
        </w:rPr>
        <w:t>ተረፍ</w:t>
      </w:r>
      <w:r>
        <w:rPr>
          <w:rFonts w:ascii="Times New Roman" w:hAnsi="Times New Roman" w:eastAsia="Times New Roman" w:cs="Times New Roman"/>
        </w:rPr>
        <w:t xml:space="preserve"> </w:t>
      </w:r>
      <w:r>
        <w:rPr>
          <w:rFonts w:ascii="Ebrima" w:hAnsi="Ebrima" w:eastAsia="Ebrima" w:cs="Ebrima"/>
        </w:rPr>
        <w:t>ይውክል።</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ጳጳሳዊ</w:t>
      </w:r>
      <w:r>
        <w:rPr>
          <w:rFonts w:ascii="Times New Roman" w:hAnsi="Times New Roman" w:eastAsia="Times New Roman" w:cs="Times New Roman"/>
        </w:rPr>
        <w:t xml:space="preserve"> </w:t>
      </w:r>
      <w:r>
        <w:rPr>
          <w:rFonts w:ascii="Ebrima" w:hAnsi="Ebrima" w:eastAsia="Ebrima" w:cs="Ebrima"/>
        </w:rPr>
        <w:t>ስርዓት</w:t>
      </w:r>
      <w:r>
        <w:rPr>
          <w:rFonts w:ascii="Times New Roman" w:hAnsi="Times New Roman" w:eastAsia="Times New Roman" w:cs="Times New Roman"/>
        </w:rPr>
        <w:t xml:space="preserve"> </w:t>
      </w:r>
      <w:r>
        <w:rPr>
          <w:rFonts w:ascii="Ebrima" w:hAnsi="Ebrima" w:eastAsia="Ebrima" w:cs="Ebrima"/>
        </w:rPr>
        <w:t>ነታ</w:t>
      </w:r>
      <w:r>
        <w:rPr>
          <w:rFonts w:ascii="Times New Roman" w:hAnsi="Times New Roman" w:eastAsia="Times New Roman" w:cs="Times New Roman"/>
        </w:rPr>
        <w:t xml:space="preserve"> </w:t>
      </w:r>
      <w:r>
        <w:rPr>
          <w:rFonts w:ascii="Ebrima" w:hAnsi="Ebrima" w:eastAsia="Ebrima" w:cs="Ebrima"/>
        </w:rPr>
        <w:t>ኽብርቲ</w:t>
      </w:r>
      <w:r>
        <w:rPr>
          <w:rFonts w:ascii="Times New Roman" w:hAnsi="Times New Roman" w:eastAsia="Times New Roman" w:cs="Times New Roman"/>
        </w:rPr>
        <w:t xml:space="preserve"> </w:t>
      </w:r>
      <w:r>
        <w:rPr>
          <w:rFonts w:ascii="Ebrima" w:hAnsi="Ebrima" w:eastAsia="Ebrima" w:cs="Ebrima"/>
        </w:rPr>
        <w:t>ምድሪ</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ምድሪ</w:t>
      </w:r>
      <w:r>
        <w:rPr>
          <w:rFonts w:ascii="Times New Roman" w:hAnsi="Times New Roman" w:eastAsia="Times New Roman" w:cs="Times New Roman"/>
        </w:rPr>
        <w:t xml:space="preserve"> </w:t>
      </w:r>
      <w:r>
        <w:rPr>
          <w:rFonts w:ascii="Ebrima" w:hAnsi="Ebrima" w:eastAsia="Ebrima" w:cs="Ebrima"/>
        </w:rPr>
        <w:t>ኣራዊት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ሰለስተ</w:t>
      </w:r>
      <w:r>
        <w:rPr>
          <w:rFonts w:ascii="Times New Roman" w:hAnsi="Times New Roman" w:eastAsia="Times New Roman" w:cs="Times New Roman"/>
        </w:rPr>
        <w:t xml:space="preserve">) </w:t>
      </w:r>
      <w:r>
        <w:rPr>
          <w:rFonts w:ascii="Ebrima" w:hAnsi="Ebrima" w:eastAsia="Ebrima" w:cs="Ebrima"/>
        </w:rPr>
        <w:t>ብጊዜ</w:t>
      </w:r>
      <w:r>
        <w:rPr>
          <w:rFonts w:ascii="Times New Roman" w:hAnsi="Times New Roman" w:eastAsia="Times New Roman" w:cs="Times New Roman"/>
        </w:rPr>
        <w:t xml:space="preserve"> </w:t>
      </w:r>
      <w:r>
        <w:rPr>
          <w:rFonts w:ascii="Ebrima" w:hAnsi="Ebrima" w:eastAsia="Ebrima" w:cs="Ebrima"/>
        </w:rPr>
        <w:t>ሕጊ</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ዚስዕራ፡</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ክፍሊ</w:t>
      </w:r>
      <w:r>
        <w:rPr>
          <w:rFonts w:ascii="Times New Roman" w:hAnsi="Times New Roman" w:eastAsia="Times New Roman" w:cs="Times New Roman"/>
        </w:rPr>
        <w:t xml:space="preserve"> “</w:t>
      </w:r>
      <w:r>
        <w:rPr>
          <w:rFonts w:ascii="Ebrima" w:hAnsi="Ebrima" w:eastAsia="Ebrima" w:cs="Ebrima"/>
        </w:rPr>
        <w:t>ይድምሰስ</w:t>
      </w:r>
      <w:r>
        <w:rPr>
          <w:rFonts w:ascii="Times New Roman" w:hAnsi="Times New Roman" w:eastAsia="Times New Roman" w:cs="Times New Roman"/>
        </w:rPr>
        <w:t xml:space="preserve">” </w:t>
      </w:r>
      <w:r>
        <w:rPr>
          <w:rFonts w:ascii="Ebrima" w:hAnsi="Ebrima" w:eastAsia="Ebrima" w:cs="Ebrima"/>
        </w:rPr>
        <w:t>እሞ</w:t>
      </w:r>
      <w:r>
        <w:rPr>
          <w:rFonts w:ascii="Times New Roman" w:hAnsi="Times New Roman" w:eastAsia="Times New Roman" w:cs="Times New Roman"/>
        </w:rPr>
        <w:t xml:space="preserve"> </w:t>
      </w:r>
      <w:r>
        <w:rPr>
          <w:rFonts w:ascii="Ebrima" w:hAnsi="Ebrima" w:eastAsia="Ebrima" w:cs="Ebrima"/>
        </w:rPr>
        <w:t>ካልእ</w:t>
      </w:r>
      <w:r>
        <w:rPr>
          <w:rFonts w:ascii="Times New Roman" w:hAnsi="Times New Roman" w:eastAsia="Times New Roman" w:cs="Times New Roman"/>
        </w:rPr>
        <w:t xml:space="preserve"> </w:t>
      </w:r>
      <w:r>
        <w:rPr>
          <w:rFonts w:ascii="Ebrima" w:hAnsi="Ebrima" w:eastAsia="Ebrima" w:cs="Ebrima"/>
        </w:rPr>
        <w:t>ክፍሊ</w:t>
      </w:r>
      <w:r>
        <w:rPr>
          <w:rFonts w:ascii="Times New Roman" w:hAnsi="Times New Roman" w:eastAsia="Times New Roman" w:cs="Times New Roman"/>
        </w:rPr>
        <w:t xml:space="preserve"> </w:t>
      </w:r>
      <w:r>
        <w:rPr>
          <w:rFonts w:ascii="Ebrima" w:hAnsi="Ebrima" w:eastAsia="Ebrima" w:cs="Ebrima"/>
        </w:rPr>
        <w:t>ኻብ</w:t>
      </w:r>
      <w:r>
        <w:rPr>
          <w:rFonts w:ascii="Times New Roman" w:hAnsi="Times New Roman" w:eastAsia="Times New Roman" w:cs="Times New Roman"/>
        </w:rPr>
        <w:t xml:space="preserve"> </w:t>
      </w:r>
      <w:r>
        <w:rPr>
          <w:rFonts w:ascii="Ebrima" w:hAnsi="Ebrima" w:eastAsia="Ebrima" w:cs="Ebrima"/>
        </w:rPr>
        <w:t>ኢድ</w:t>
      </w:r>
      <w:r>
        <w:rPr>
          <w:rFonts w:ascii="Times New Roman" w:hAnsi="Times New Roman" w:eastAsia="Times New Roman" w:cs="Times New Roman"/>
        </w:rPr>
        <w:t xml:space="preserve"> </w:t>
      </w:r>
      <w:r>
        <w:rPr>
          <w:rFonts w:ascii="Ebrima" w:hAnsi="Ebrima" w:eastAsia="Ebrima" w:cs="Ebrima"/>
        </w:rPr>
        <w:t>ቁጽጽር</w:t>
      </w:r>
      <w:r>
        <w:rPr>
          <w:rFonts w:ascii="Times New Roman" w:hAnsi="Times New Roman" w:eastAsia="Times New Roman" w:cs="Times New Roman"/>
        </w:rPr>
        <w:t xml:space="preserve"> </w:t>
      </w:r>
      <w:r>
        <w:rPr>
          <w:rFonts w:ascii="Ebrima" w:hAnsi="Ebrima" w:eastAsia="Ebrima" w:cs="Ebrima"/>
        </w:rPr>
        <w:t>ባቢሎን</w:t>
      </w:r>
      <w:r>
        <w:rPr>
          <w:rFonts w:ascii="Times New Roman" w:hAnsi="Times New Roman" w:eastAsia="Times New Roman" w:cs="Times New Roman"/>
        </w:rPr>
        <w:t xml:space="preserve"> </w:t>
      </w:r>
      <w:r>
        <w:rPr>
          <w:rFonts w:ascii="Ebrima" w:hAnsi="Ebrima" w:eastAsia="Ebrima" w:cs="Ebrima"/>
        </w:rPr>
        <w:t>የምልጥ፤</w:t>
      </w:r>
      <w:r>
        <w:rPr>
          <w:rFonts w:ascii="Times New Roman" w:hAnsi="Times New Roman" w:eastAsia="Times New Roman" w:cs="Times New Roman"/>
        </w:rPr>
        <w:t xml:space="preserve"> </w:t>
      </w:r>
      <w:r>
        <w:rPr>
          <w:rFonts w:ascii="Ebrima" w:hAnsi="Ebrima" w:eastAsia="Ebrima" w:cs="Ebrima"/>
        </w:rPr>
        <w:t>ምኽንያቱ</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ኻብ</w:t>
      </w:r>
      <w:r>
        <w:rPr>
          <w:rFonts w:ascii="Times New Roman" w:hAnsi="Times New Roman" w:eastAsia="Times New Roman" w:cs="Times New Roman"/>
        </w:rPr>
        <w:t xml:space="preserve"> </w:t>
      </w:r>
      <w:r>
        <w:rPr>
          <w:rFonts w:ascii="Ebrima" w:hAnsi="Ebrima" w:eastAsia="Ebrima" w:cs="Ebrima"/>
        </w:rPr>
        <w:t>ባቢሎን</w:t>
      </w:r>
      <w:r>
        <w:rPr>
          <w:rFonts w:ascii="Times New Roman" w:hAnsi="Times New Roman" w:eastAsia="Times New Roman" w:cs="Times New Roman"/>
        </w:rPr>
        <w:t xml:space="preserve"> </w:t>
      </w:r>
      <w:r>
        <w:rPr>
          <w:rFonts w:ascii="Ebrima" w:hAnsi="Ebrima" w:eastAsia="Ebrima" w:cs="Ebrima"/>
        </w:rPr>
        <w:t>ውጹ</w:t>
      </w:r>
      <w:r>
        <w:rPr>
          <w:rFonts w:ascii="Times New Roman" w:hAnsi="Times New Roman" w:eastAsia="Times New Roman" w:cs="Times New Roman"/>
        </w:rPr>
        <w:t xml:space="preserve"> </w:t>
      </w:r>
      <w:r>
        <w:rPr>
          <w:rFonts w:ascii="Ebrima" w:hAnsi="Ebrima" w:eastAsia="Ebrima" w:cs="Ebrima"/>
        </w:rPr>
        <w:t>ዚብል</w:t>
      </w:r>
      <w:r>
        <w:rPr>
          <w:rFonts w:ascii="Times New Roman" w:hAnsi="Times New Roman" w:eastAsia="Times New Roman" w:cs="Times New Roman"/>
        </w:rPr>
        <w:t xml:space="preserve"> </w:t>
      </w:r>
      <w:r>
        <w:rPr>
          <w:rFonts w:ascii="Ebrima" w:hAnsi="Ebrima" w:eastAsia="Ebrima" w:cs="Ebrima"/>
        </w:rPr>
        <w:t>መልእኽቲ</w:t>
      </w:r>
      <w:r>
        <w:rPr>
          <w:rFonts w:ascii="Times New Roman" w:hAnsi="Times New Roman" w:eastAsia="Times New Roman" w:cs="Times New Roman"/>
        </w:rPr>
        <w:t xml:space="preserve"> </w:t>
      </w:r>
      <w:r>
        <w:rPr>
          <w:rFonts w:ascii="Ebrima" w:hAnsi="Ebrima" w:eastAsia="Ebrima" w:cs="Ebrima"/>
        </w:rPr>
        <w:t>ሽዑ</w:t>
      </w:r>
      <w:r>
        <w:rPr>
          <w:rFonts w:ascii="Times New Roman" w:hAnsi="Times New Roman" w:eastAsia="Times New Roman" w:cs="Times New Roman"/>
        </w:rPr>
        <w:t xml:space="preserve"> </w:t>
      </w:r>
      <w:r>
        <w:rPr>
          <w:rFonts w:ascii="Ebrima" w:hAnsi="Ebrima" w:eastAsia="Ebrima" w:cs="Ebrima"/>
        </w:rPr>
        <w:t>ይጅምር።</w:t>
      </w:r>
    </w:p>
    <w:p>
      <w:pPr>
        <w:pStyle w:val="ArticleScripture"/>
        <w:jc w:val="left"/>
      </w:pPr>
      <w:r>
        <w:rPr>
          <w:rFonts w:ascii="Times New Roman" w:hAnsi="Times New Roman" w:eastAsia="Times New Roman" w:cs="Times New Roman"/>
        </w:rPr>
        <w:t>Он также войдёт в славную землю, и многие страны будут низложены; но сии избегнут руки его: Едом, Моав и главные из сынов Аммоновых. Даниил 11:41.</w:t>
      </w:r>
    </w:p>
    <w:p>
      <w:pPr>
        <w:pStyle w:val="ArticleBody"/>
        <w:jc w:val="left"/>
      </w:pPr>
      <w:r>
        <w:rPr>
          <w:rFonts w:ascii="Times New Roman" w:hAnsi="Times New Roman" w:eastAsia="Times New Roman" w:cs="Times New Roman"/>
        </w:rPr>
        <w:t>El término «países» es una palabra añadida, pues muchos países no son «derribados» en la ley dominical; pero sí lo son muchos adventistas del séptimo día en particular, porque en ese momento ellos son los únicos tenidos por responsables ante la luz del tercer ángel. Ellos son los «muchos», pues eran aquellos llamados a contarse entre los que recibieron el sello de Dios, pero rechazaron ese llamamiento.</w:t>
      </w:r>
    </w:p>
    <w:p>
      <w:pPr>
        <w:pStyle w:val="ArticleScripture"/>
        <w:jc w:val="left"/>
      </w:pPr>
      <w:r>
        <w:rPr>
          <w:rFonts w:ascii="Times New Roman" w:hAnsi="Times New Roman" w:eastAsia="Times New Roman" w:cs="Times New Roman"/>
        </w:rPr>
        <w:t>Na a sɔɔ no se: Damfo, woduruu ha dɛn a wonni ayeforɔ ntadeɛ? Na wanyɛ biribiara anka. Ɛnna ɔhene no ka kyerɛɛ asomfoɔ no sɛ: Monkyekyere ne nsa ne ne nan, na momfa no nkɔ, na montow no ngu abɔnten sum mu; hɔ na ɔsu ne sekanwene bɛba. Na wɔfrɛ nnipa bebree, na wɔn a wɔayi wɔn nso sua. Mateo 22:12–14.</w:t>
      </w:r>
    </w:p>
    <w:p>
      <w:pPr>
        <w:pStyle w:val="ArticleBody"/>
        <w:jc w:val="left"/>
      </w:pPr>
      <w:r>
        <w:rPr>
          <w:rFonts w:ascii="Nirmala UI" w:hAnsi="Nirmala UI" w:eastAsia="Nirmala UI" w:cs="Nirmala UI"/>
        </w:rPr>
        <w:t>छठे</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हाकिमों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अध्यक्षों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सत्ता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दण्ड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राज्यसत्ता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धोखा</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Na mokonzi apesaki mitindo, mpe bamemaki bato wana oyo bafundaki Daniele, mpe babwakaki bango na libulu ya nkosi—bango, bana na bango, mpe basi na bango; mpe nkosi elongaki bango, mpe ebukaki mikuwa na bango nyonso biteni-biteni liboso ete bakoma na nse ya libulu. Daniele 6:24.</w:t>
      </w:r>
    </w:p>
    <w:p>
      <w:pPr>
        <w:pStyle w:val="ArticleBody"/>
        <w:jc w:val="left"/>
      </w:pPr>
      <w:r>
        <w:rPr>
          <w:rFonts w:ascii="Times New Roman" w:hAnsi="Times New Roman" w:eastAsia="Times New Roman" w:cs="Times New Roman"/>
        </w:rPr>
        <w:t>سنواصل سفر دانيال في المقال التالي.</w:t>
      </w:r>
    </w:p>
    <w:p>
      <w:pPr>
        <w:pStyle w:val="ArticleScripture"/>
        <w:jc w:val="left"/>
      </w:pP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বলিব</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গিদিয়োন</w:t>
      </w:r>
      <w:r>
        <w:rPr>
          <w:rFonts w:ascii="Times New Roman" w:hAnsi="Times New Roman" w:eastAsia="Times New Roman" w:cs="Times New Roman"/>
        </w:rPr>
        <w:t xml:space="preserve">, </w:t>
      </w:r>
      <w:r>
        <w:rPr>
          <w:rFonts w:ascii="Nirmala UI" w:hAnsi="Nirmala UI" w:eastAsia="Nirmala UI" w:cs="Nirmala UI"/>
        </w:rPr>
        <w:t>বারাক</w:t>
      </w:r>
      <w:r>
        <w:rPr>
          <w:rFonts w:ascii="Times New Roman" w:hAnsi="Times New Roman" w:eastAsia="Times New Roman" w:cs="Times New Roman"/>
        </w:rPr>
        <w:t xml:space="preserve">, </w:t>
      </w:r>
      <w:r>
        <w:rPr>
          <w:rFonts w:ascii="Nirmala UI" w:hAnsi="Nirmala UI" w:eastAsia="Nirmala UI" w:cs="Nirmala UI"/>
        </w:rPr>
        <w:t>শিমশন</w:t>
      </w:r>
      <w:r>
        <w:rPr>
          <w:rFonts w:ascii="Times New Roman" w:hAnsi="Times New Roman" w:eastAsia="Times New Roman" w:cs="Times New Roman"/>
        </w:rPr>
        <w:t xml:space="preserve">, </w:t>
      </w:r>
      <w:r>
        <w:rPr>
          <w:rFonts w:ascii="Nirmala UI" w:hAnsi="Nirmala UI" w:eastAsia="Nirmala UI" w:cs="Nirmala UI"/>
        </w:rPr>
        <w:t>যিফ্থহ</w:t>
      </w:r>
      <w:r>
        <w:rPr>
          <w:rFonts w:ascii="Times New Roman" w:hAnsi="Times New Roman" w:eastAsia="Times New Roman" w:cs="Times New Roman"/>
        </w:rPr>
        <w:t xml:space="preserve">; </w:t>
      </w:r>
      <w:r>
        <w:rPr>
          <w:rFonts w:ascii="Nirmala UI" w:hAnsi="Nirmala UI" w:eastAsia="Nirmala UI" w:cs="Nirmala UI"/>
        </w:rPr>
        <w:t>দাউদ</w:t>
      </w:r>
      <w:r>
        <w:rPr>
          <w:rFonts w:ascii="Times New Roman" w:hAnsi="Times New Roman" w:eastAsia="Times New Roman" w:cs="Times New Roman"/>
        </w:rPr>
        <w:t xml:space="preserve">, </w:t>
      </w:r>
      <w:r>
        <w:rPr>
          <w:rFonts w:ascii="Nirmala UI" w:hAnsi="Nirmala UI" w:eastAsia="Nirmala UI" w:cs="Nirmala UI"/>
        </w:rPr>
        <w:t>শমূয়েল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ভাববাদীগণের</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বলিতে</w:t>
      </w:r>
      <w:r>
        <w:rPr>
          <w:rFonts w:ascii="Times New Roman" w:hAnsi="Times New Roman" w:eastAsia="Times New Roman" w:cs="Times New Roman"/>
        </w:rPr>
        <w:t xml:space="preserve"> </w:t>
      </w:r>
      <w:r>
        <w:rPr>
          <w:rFonts w:ascii="Nirmala UI" w:hAnsi="Nirmala UI" w:eastAsia="Nirmala UI" w:cs="Nirmala UI"/>
        </w:rPr>
        <w:t>গেলে</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অপ্রতুল</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বিশ্বাসের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রাজ্যসমূহ</w:t>
      </w:r>
      <w:r>
        <w:rPr>
          <w:rFonts w:ascii="Times New Roman" w:hAnsi="Times New Roman" w:eastAsia="Times New Roman" w:cs="Times New Roman"/>
        </w:rPr>
        <w:t xml:space="preserve"> </w:t>
      </w:r>
      <w:r>
        <w:rPr>
          <w:rFonts w:ascii="Nirmala UI" w:hAnsi="Nirmala UI" w:eastAsia="Nirmala UI" w:cs="Nirmala UI"/>
        </w:rPr>
        <w:t>জয়</w:t>
      </w:r>
      <w:r>
        <w:rPr>
          <w:rFonts w:ascii="Times New Roman" w:hAnsi="Times New Roman" w:eastAsia="Times New Roman" w:cs="Times New Roman"/>
        </w:rPr>
        <w:t xml:space="preserve"> </w:t>
      </w:r>
      <w:r>
        <w:rPr>
          <w:rFonts w:ascii="Nirmala UI" w:hAnsi="Nirmala UI" w:eastAsia="Nirmala UI" w:cs="Nirmala UI"/>
        </w:rPr>
        <w:t>করিয়াছেন</w:t>
      </w:r>
      <w:r>
        <w:rPr>
          <w:rFonts w:ascii="Times New Roman" w:hAnsi="Times New Roman" w:eastAsia="Times New Roman" w:cs="Times New Roman"/>
        </w:rPr>
        <w:t xml:space="preserve">, </w:t>
      </w:r>
      <w:r>
        <w:rPr>
          <w:rFonts w:ascii="Nirmala UI" w:hAnsi="Nirmala UI" w:eastAsia="Nirmala UI" w:cs="Nirmala UI"/>
        </w:rPr>
        <w:t>ধার্মিকতা</w:t>
      </w:r>
      <w:r>
        <w:rPr>
          <w:rFonts w:ascii="Times New Roman" w:hAnsi="Times New Roman" w:eastAsia="Times New Roman" w:cs="Times New Roman"/>
        </w:rPr>
        <w:t xml:space="preserve"> </w:t>
      </w:r>
      <w:r>
        <w:rPr>
          <w:rFonts w:ascii="Nirmala UI" w:hAnsi="Nirmala UI" w:eastAsia="Nirmala UI" w:cs="Nirmala UI"/>
        </w:rPr>
        <w:t>সাধন</w:t>
      </w:r>
      <w:r>
        <w:rPr>
          <w:rFonts w:ascii="Times New Roman" w:hAnsi="Times New Roman" w:eastAsia="Times New Roman" w:cs="Times New Roman"/>
        </w:rPr>
        <w:t xml:space="preserve"> </w:t>
      </w:r>
      <w:r>
        <w:rPr>
          <w:rFonts w:ascii="Nirmala UI" w:hAnsi="Nirmala UI" w:eastAsia="Nirmala UI" w:cs="Nirmala UI"/>
        </w:rPr>
        <w:t>করিয়াছেন</w:t>
      </w:r>
      <w:r>
        <w:rPr>
          <w:rFonts w:ascii="Times New Roman" w:hAnsi="Times New Roman" w:eastAsia="Times New Roman" w:cs="Times New Roman"/>
        </w:rPr>
        <w:t xml:space="preserve">, </w:t>
      </w:r>
      <w:r>
        <w:rPr>
          <w:rFonts w:ascii="Nirmala UI" w:hAnsi="Nirmala UI" w:eastAsia="Nirmala UI" w:cs="Nirmala UI"/>
        </w:rPr>
        <w:t>প্রতিজ্ঞাসমূহ</w:t>
      </w:r>
      <w:r>
        <w:rPr>
          <w:rFonts w:ascii="Times New Roman" w:hAnsi="Times New Roman" w:eastAsia="Times New Roman" w:cs="Times New Roman"/>
        </w:rPr>
        <w:t xml:space="preserve"> </w:t>
      </w:r>
      <w:r>
        <w:rPr>
          <w:rFonts w:ascii="Nirmala UI" w:hAnsi="Nirmala UI" w:eastAsia="Nirmala UI" w:cs="Nirmala UI"/>
        </w:rPr>
        <w:t>লাভ</w:t>
      </w:r>
      <w:r>
        <w:rPr>
          <w:rFonts w:ascii="Times New Roman" w:hAnsi="Times New Roman" w:eastAsia="Times New Roman" w:cs="Times New Roman"/>
        </w:rPr>
        <w:t xml:space="preserve"> </w:t>
      </w:r>
      <w:r>
        <w:rPr>
          <w:rFonts w:ascii="Nirmala UI" w:hAnsi="Nirmala UI" w:eastAsia="Nirmala UI" w:cs="Nirmala UI"/>
        </w:rPr>
        <w:t>করিয়াছেন</w:t>
      </w:r>
      <w:r>
        <w:rPr>
          <w:rFonts w:ascii="Times New Roman" w:hAnsi="Times New Roman" w:eastAsia="Times New Roman" w:cs="Times New Roman"/>
        </w:rPr>
        <w:t xml:space="preserve">, </w:t>
      </w:r>
      <w:r>
        <w:rPr>
          <w:rFonts w:ascii="Nirmala UI" w:hAnsi="Nirmala UI" w:eastAsia="Nirmala UI" w:cs="Nirmala UI"/>
        </w:rPr>
        <w:t>সিংহদের</w:t>
      </w:r>
      <w:r>
        <w:rPr>
          <w:rFonts w:ascii="Times New Roman" w:hAnsi="Times New Roman" w:eastAsia="Times New Roman" w:cs="Times New Roman"/>
        </w:rPr>
        <w:t xml:space="preserve"> </w:t>
      </w:r>
      <w:r>
        <w:rPr>
          <w:rFonts w:ascii="Nirmala UI" w:hAnsi="Nirmala UI" w:eastAsia="Nirmala UI" w:cs="Nirmala UI"/>
        </w:rPr>
        <w:t>মুখ</w:t>
      </w:r>
      <w:r>
        <w:rPr>
          <w:rFonts w:ascii="Times New Roman" w:hAnsi="Times New Roman" w:eastAsia="Times New Roman" w:cs="Times New Roman"/>
        </w:rPr>
        <w:t xml:space="preserve"> </w:t>
      </w:r>
      <w:r>
        <w:rPr>
          <w:rFonts w:ascii="Nirmala UI" w:hAnsi="Nirmala UI" w:eastAsia="Nirmala UI" w:cs="Nirmala UI"/>
        </w:rPr>
        <w:t>বন্ধ</w:t>
      </w:r>
      <w:r>
        <w:rPr>
          <w:rFonts w:ascii="Times New Roman" w:hAnsi="Times New Roman" w:eastAsia="Times New Roman" w:cs="Times New Roman"/>
        </w:rPr>
        <w:t xml:space="preserve"> </w:t>
      </w:r>
      <w:r>
        <w:rPr>
          <w:rFonts w:ascii="Nirmala UI" w:hAnsi="Nirmala UI" w:eastAsia="Nirmala UI" w:cs="Nirmala UI"/>
        </w:rPr>
        <w:t>করিয়াছেন।</w:t>
      </w:r>
      <w:r>
        <w:rPr>
          <w:rFonts w:ascii="Times New Roman" w:hAnsi="Times New Roman" w:eastAsia="Times New Roman" w:cs="Times New Roman"/>
        </w:rPr>
        <w:t xml:space="preserve"> </w:t>
      </w:r>
      <w:r>
        <w:rPr>
          <w:rFonts w:ascii="Nirmala UI" w:hAnsi="Nirmala UI" w:eastAsia="Nirmala UI" w:cs="Nirmala UI"/>
        </w:rPr>
        <w:t>ইব্রীয়</w:t>
      </w:r>
      <w:r>
        <w:rPr>
          <w:rFonts w:ascii="Times New Roman" w:hAnsi="Times New Roman" w:eastAsia="Times New Roman" w:cs="Times New Roman"/>
        </w:rPr>
        <w:t xml:space="preserve"> 11:32, 33</w:t>
      </w:r>
      <w:r>
        <w:rPr>
          <w:rFonts w:ascii="Nirmala UI" w:hAnsi="Nirmala UI" w:eastAsia="Nirmala UI" w:cs="Nirmala UI"/>
        </w:rPr>
        <w: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trente-trois</dc:title>
  <dc:subject>L’« sceau » de Dieu apposé lors du décret sur la loi du dimanche : une analyse prophétique de Daniel chapitre 6</dc:subject>
  <dc:creator>Jeff Pippenger</dc:creator>
  <cp:keywords/>
  <dc:description>Generated by ArticleDigger from daniel\33_daniel.json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