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trente-cinq</w:t>
      </w:r>
    </w:p>
    <w:p>
      <w:pPr>
        <w:pStyle w:val="ArticleSubtitle"/>
        <w:jc w:val="left"/>
      </w:pPr>
      <w:r>
        <w:rPr>
          <w:rFonts w:ascii="Arial" w:hAnsi="Arial" w:eastAsia="Arial" w:cs="Arial"/>
        </w:rPr>
        <w:t>Dévoilement du cadre prophétique : la compréhension de William Miller et les trois puissances dévastatrices conduisant à Armageddon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Na “ðe endes tīd,” on 1798, þæt bōc Danieles, and mā swīðor þæt gesihð þe wæs þurh þā Ulai-ēa getācnað, wæs ungeseglod. Þæt gesihð bodode þæt onginn þæs rannsaciendan dōmes on October 22, 1844. Þæt fers þe wearð þǣre sōðfæstnesse grundweall is Daniel, chapter eight, and verse fourteen. William Miller, se boda þe wæs gecoren þæt hē þæt ungeseglodnes þæs bodunges oncnāwe, ne understōd nǣfre fullice ealle þā sōðfæstnessa þe mid þām gesihðe geferede wǣron, ac hē gefremede ġe þæt weorc þe him forgifen wæs.</w:t>
      </w:r>
    </w:p>
    <w:p>
      <w:pPr>
        <w:pStyle w:val="ArticleBody"/>
        <w:jc w:val="left"/>
      </w:pPr>
      <w:r>
        <w:rPr>
          <w:rFonts w:ascii="Times New Roman" w:hAnsi="Times New Roman" w:eastAsia="Times New Roman" w:cs="Times New Roman"/>
        </w:rPr>
        <w:t>Quand Miller commença son étude de la parole prophétique, il parvint à comprendre certaines règles d’interprétation prophétique qui furent identifiées et établies dans la Bible. Ces règles furent codifiées et désignées comme les Règles d’interprétation de William Miller. Ces règles sont approuvées par l’Inspiration et désignées comme les règles qui seront employées par ceux qui annonceront le commencement du jugement exécutif au moment de la loi du dimanche. Miller rendit témoignage qu’il commença son étude de la Bible au début de la Bible et qu’il ne poursuivait qu’à mesure qu’il comprenait ce qu’il examinait alors. Par cette démarche, il est aisé de voir pourquoi la première prophétie de temps que Miller reconnut, et qui avait trait au message qu’il devait identifier comme s’accomplissant en 1844, fut les « sept temps » de Lévitique vingt-six.</w:t>
      </w:r>
    </w:p>
    <w:p>
      <w:pPr>
        <w:pStyle w:val="ArticleBody"/>
        <w:jc w:val="left"/>
      </w:pPr>
      <w:r>
        <w:rPr>
          <w:rFonts w:ascii="Times New Roman" w:hAnsi="Times New Roman" w:eastAsia="Times New Roman" w:cs="Times New Roman"/>
        </w:rPr>
        <w:t>L’inspiration nous apprend que l’ange Gabriel, avec d’autres saints anges, dirigea l’esprit de Miller, tout comme Gabriel avait dirigé l’esprit de Daniel, de Jean le révélateur et de tous les prophètes de la Bible, car Gabriel avait reçu la charge que Satan avait perdue. La fonction de Gabriel était représentée dans le premier nom de Satan, Lucifer, qui signifie porteur de lumière. Gabriel apporta à Miller la lumière prophétique, et, dans l’obéissance à cette lumière, celui-ci présenta le message qui annonçait l’ouverture du jugement investigatif le 22 octobre 1844.</w:t>
      </w:r>
    </w:p>
    <w:p>
      <w:pPr>
        <w:pStyle w:val="ArticleBody"/>
        <w:jc w:val="left"/>
      </w:pPr>
      <w:r>
        <w:rPr>
          <w:rFonts w:ascii="Times New Roman" w:hAnsi="Times New Roman" w:eastAsia="Times New Roman" w:cs="Times New Roman"/>
        </w:rPr>
        <w:t>Lêgerîna paşerojê rê dide wan kesan ku dixwazin karê William Miller têbigihin, ku bibînin ew bi hin têgihiştinên taybet ji peyva pêxemberî re hatibû dayîn, yên ku bûn kilîtên karê wî di komkirina peyama dadweriya nêzîk de. Yek ji wan kilîtan nasîna wî bû ku di sepandina pêxemberî de rojek sala yekê temsîl dike. Yekî din avahiyek pêxemberî bû ku wî bi kar anî da ku rêzên pêxemberiyê yên ku wî keşf kiribûn bi cih bike û bi hev re li hev bike. Ew avahî li ser wan du hêzên şeytanî hatibû ava kirin ku harabî li ser gelê Xwedê û pîrozgeha Xwedê anîn. Hemû keşfên Miller li ser wê avahiya pêxemberî hatin danîn ku dîroka putperestiyê temsîl dikir, ku piştî wê papatî tê, û ew her du bi peywendî û li pey hev ji demê Îsraêla kevnar heta Hatina Duyemîn a Mesîh, hem pîrozgeha Xwedê û hem jî gelê Xwedê bin ling kirin.</w:t>
      </w:r>
    </w:p>
    <w:p>
      <w:pPr>
        <w:pStyle w:val="ArticleBody"/>
        <w:jc w:val="left"/>
      </w:pPr>
      <w:r>
        <w:rPr>
          <w:rFonts w:ascii="Times New Roman" w:hAnsi="Times New Roman" w:eastAsia="Times New Roman" w:cs="Times New Roman"/>
        </w:rPr>
        <w:t>Uwo muryango w’ubuhanuzi ni wo wamufashije kumenya neza ukuri kwose kwari gukenewe kugira ngo hashyirweho ku wa 22 Ukwakira 1844 nk’itangira ry’urubanza. Ariko iryo kuri ryari rifite aho rigarukira, kuko atashoboraga kubona ububasha bwa gatatu butoteza bwakurikiye ubupagani n’ubupapa mu mateka y’ubuhanuzi. Nta ngombwa yari afite yo kubona uko kuri, kuko umurimo we wari uwo gutangaza itariki ya 22 Ukwakira 1844, kandi umucyo werekeye ubwo bubasha bwa gatatu butoteza wari kuzahishurwa nyuma y’iyo tariki.</w:t>
      </w:r>
    </w:p>
    <w:p>
      <w:pPr>
        <w:pStyle w:val="ArticleBody"/>
        <w:jc w:val="left"/>
      </w:pPr>
      <w:r>
        <w:rPr>
          <w:rFonts w:ascii="Microsoft YaHei" w:hAnsi="Microsoft YaHei" w:eastAsia="Microsoft YaHei" w:cs="Microsoft YaHei"/>
        </w:rPr>
        <w:t>与他将其先知性见解建立在两个施行荒凉之势力</w:t>
      </w:r>
      <w:r>
        <w:rPr>
          <w:rFonts w:ascii="Times New Roman" w:hAnsi="Times New Roman" w:eastAsia="Times New Roman" w:cs="Times New Roman"/>
        </w:rPr>
        <w:t>——</w:t>
      </w:r>
      <w:r>
        <w:rPr>
          <w:rFonts w:ascii="Microsoft YaHei" w:hAnsi="Microsoft YaHei" w:eastAsia="Microsoft YaHei" w:cs="Microsoft YaHei"/>
        </w:rPr>
        <w:t>先是异教罗马</w:t>
      </w:r>
      <w:r>
        <w:rPr>
          <w:rFonts w:ascii="Times New Roman" w:hAnsi="Times New Roman" w:eastAsia="Times New Roman" w:cs="Times New Roman"/>
        </w:rPr>
        <w:t>,</w:t>
      </w:r>
      <w:r>
        <w:rPr>
          <w:rFonts w:ascii="Microsoft YaHei" w:hAnsi="Microsoft YaHei" w:eastAsia="Microsoft YaHei" w:cs="Microsoft YaHei"/>
        </w:rPr>
        <w:t>随后是教皇罗马</w:t>
      </w:r>
      <w:r>
        <w:rPr>
          <w:rFonts w:ascii="Times New Roman" w:hAnsi="Times New Roman" w:eastAsia="Times New Roman" w:cs="Times New Roman"/>
        </w:rPr>
        <w:t>——</w:t>
      </w:r>
      <w:r>
        <w:rPr>
          <w:rFonts w:ascii="Microsoft YaHei" w:hAnsi="Microsoft YaHei" w:eastAsia="Microsoft YaHei" w:cs="Microsoft YaHei"/>
        </w:rPr>
        <w:t>这一结构之上相关联的</w:t>
      </w:r>
      <w:r>
        <w:rPr>
          <w:rFonts w:ascii="Times New Roman" w:hAnsi="Times New Roman" w:eastAsia="Times New Roman" w:cs="Times New Roman"/>
        </w:rPr>
        <w:t>,</w:t>
      </w:r>
      <w:r>
        <w:rPr>
          <w:rFonts w:ascii="Microsoft YaHei" w:hAnsi="Microsoft YaHei" w:eastAsia="Microsoft YaHei" w:cs="Microsoft YaHei"/>
        </w:rPr>
        <w:t>还有他的理解：在但以理书中被译为</w:t>
      </w:r>
      <w:r>
        <w:rPr>
          <w:rFonts w:ascii="Times New Roman" w:hAnsi="Times New Roman" w:eastAsia="Times New Roman" w:cs="Times New Roman"/>
        </w:rPr>
        <w:t>“</w:t>
      </w:r>
      <w:r>
        <w:rPr>
          <w:rFonts w:ascii="Microsoft YaHei" w:hAnsi="Microsoft YaHei" w:eastAsia="Microsoft YaHei" w:cs="Microsoft YaHei"/>
        </w:rPr>
        <w:t>常献的</w:t>
      </w:r>
      <w:r>
        <w:rPr>
          <w:rFonts w:ascii="Times New Roman" w:hAnsi="Times New Roman" w:eastAsia="Times New Roman" w:cs="Times New Roman"/>
        </w:rPr>
        <w:t>”</w:t>
      </w:r>
      <w:r>
        <w:rPr>
          <w:rFonts w:ascii="Microsoft YaHei" w:hAnsi="Microsoft YaHei" w:eastAsia="Microsoft YaHei" w:cs="Microsoft YaHei"/>
        </w:rPr>
        <w:t>一词</w:t>
      </w:r>
      <w:r>
        <w:rPr>
          <w:rFonts w:ascii="Times New Roman" w:hAnsi="Times New Roman" w:eastAsia="Times New Roman" w:cs="Times New Roman"/>
        </w:rPr>
        <w:t>,</w:t>
      </w:r>
      <w:r>
        <w:rPr>
          <w:rFonts w:ascii="Microsoft YaHei" w:hAnsi="Microsoft YaHei" w:eastAsia="Microsoft YaHei" w:cs="Microsoft YaHei"/>
        </w:rPr>
        <w:t>乃是异教主义</w:t>
      </w:r>
      <w:r>
        <w:rPr>
          <w:rFonts w:ascii="Times New Roman" w:hAnsi="Times New Roman" w:eastAsia="Times New Roman" w:cs="Times New Roman"/>
        </w:rPr>
        <w:t>,</w:t>
      </w:r>
      <w:r>
        <w:rPr>
          <w:rFonts w:ascii="Microsoft YaHei" w:hAnsi="Microsoft YaHei" w:eastAsia="Microsoft YaHei" w:cs="Microsoft YaHei"/>
        </w:rPr>
        <w:t>或异教罗马的象征</w:t>
      </w:r>
      <w:r>
        <w:rPr>
          <w:rFonts w:ascii="Times New Roman" w:hAnsi="Times New Roman" w:eastAsia="Times New Roman" w:cs="Times New Roman"/>
        </w:rPr>
        <w:t>.</w:t>
      </w:r>
      <w:r>
        <w:rPr>
          <w:rFonts w:ascii="Microsoft YaHei" w:hAnsi="Microsoft YaHei" w:eastAsia="Microsoft YaHei" w:cs="Microsoft YaHei"/>
        </w:rPr>
        <w:t>被译为</w:t>
      </w:r>
      <w:r>
        <w:rPr>
          <w:rFonts w:ascii="Times New Roman" w:hAnsi="Times New Roman" w:eastAsia="Times New Roman" w:cs="Times New Roman"/>
        </w:rPr>
        <w:t>“</w:t>
      </w:r>
      <w:r>
        <w:rPr>
          <w:rFonts w:ascii="Microsoft YaHei" w:hAnsi="Microsoft YaHei" w:eastAsia="Microsoft YaHei" w:cs="Microsoft YaHei"/>
        </w:rPr>
        <w:t>常献的</w:t>
      </w:r>
      <w:r>
        <w:rPr>
          <w:rFonts w:ascii="Times New Roman" w:hAnsi="Times New Roman" w:eastAsia="Times New Roman" w:cs="Times New Roman"/>
        </w:rPr>
        <w:t>”</w:t>
      </w:r>
      <w:r>
        <w:rPr>
          <w:rFonts w:ascii="Microsoft YaHei" w:hAnsi="Microsoft YaHei" w:eastAsia="Microsoft YaHei" w:cs="Microsoft YaHei"/>
        </w:rPr>
        <w:t>的</w:t>
      </w:r>
      <w:r>
        <w:rPr>
          <w:rFonts w:ascii="Times New Roman" w:hAnsi="Times New Roman" w:eastAsia="Times New Roman" w:cs="Times New Roman"/>
        </w:rPr>
        <w:t>“tamid”</w:t>
      </w:r>
      <w:r>
        <w:rPr>
          <w:rFonts w:ascii="Microsoft YaHei" w:hAnsi="Microsoft YaHei" w:eastAsia="Microsoft YaHei" w:cs="Microsoft YaHei"/>
        </w:rPr>
        <w:t>一词</w:t>
      </w:r>
      <w:r>
        <w:rPr>
          <w:rFonts w:ascii="Times New Roman" w:hAnsi="Times New Roman" w:eastAsia="Times New Roman" w:cs="Times New Roman"/>
        </w:rPr>
        <w:t>,</w:t>
      </w:r>
      <w:r>
        <w:rPr>
          <w:rFonts w:ascii="Microsoft YaHei" w:hAnsi="Microsoft YaHei" w:eastAsia="Microsoft YaHei" w:cs="Microsoft YaHei"/>
        </w:rPr>
        <w:t>但以理共使用了五次</w:t>
      </w:r>
      <w:r>
        <w:rPr>
          <w:rFonts w:ascii="Times New Roman" w:hAnsi="Times New Roman" w:eastAsia="Times New Roman" w:cs="Times New Roman"/>
        </w:rPr>
        <w:t>.</w:t>
      </w:r>
      <w:r>
        <w:rPr>
          <w:rFonts w:ascii="Microsoft YaHei" w:hAnsi="Microsoft YaHei" w:eastAsia="Microsoft YaHei" w:cs="Microsoft YaHei"/>
        </w:rPr>
        <w:t>它每一次都是与一个米勒正确理解为代表教皇权的象征连用的</w:t>
      </w:r>
      <w:r>
        <w:rPr>
          <w:rFonts w:ascii="Times New Roman" w:hAnsi="Times New Roman" w:eastAsia="Times New Roman" w:cs="Times New Roman"/>
        </w:rPr>
        <w:t>.</w:t>
      </w:r>
      <w:r>
        <w:rPr>
          <w:rFonts w:ascii="Microsoft YaHei" w:hAnsi="Microsoft YaHei" w:eastAsia="Microsoft YaHei" w:cs="Microsoft YaHei"/>
        </w:rPr>
        <w:t>那总是与</w:t>
      </w:r>
      <w:r>
        <w:rPr>
          <w:rFonts w:ascii="Times New Roman" w:hAnsi="Times New Roman" w:eastAsia="Times New Roman" w:cs="Times New Roman"/>
        </w:rPr>
        <w:t>“</w:t>
      </w:r>
      <w:r>
        <w:rPr>
          <w:rFonts w:ascii="Microsoft YaHei" w:hAnsi="Microsoft YaHei" w:eastAsia="Microsoft YaHei" w:cs="Microsoft YaHei"/>
        </w:rPr>
        <w:t>常献的</w:t>
      </w:r>
      <w:r>
        <w:rPr>
          <w:rFonts w:ascii="Times New Roman" w:hAnsi="Times New Roman" w:eastAsia="Times New Roman" w:cs="Times New Roman"/>
        </w:rPr>
        <w:t>”</w:t>
      </w:r>
      <w:r>
        <w:rPr>
          <w:rFonts w:ascii="Microsoft YaHei" w:hAnsi="Microsoft YaHei" w:eastAsia="Microsoft YaHei" w:cs="Microsoft YaHei"/>
        </w:rPr>
        <w:t>同时出现的教皇权象征</w:t>
      </w:r>
      <w:r>
        <w:rPr>
          <w:rFonts w:ascii="Times New Roman" w:hAnsi="Times New Roman" w:eastAsia="Times New Roman" w:cs="Times New Roman"/>
        </w:rPr>
        <w:t>,</w:t>
      </w:r>
      <w:r>
        <w:rPr>
          <w:rFonts w:ascii="Microsoft YaHei" w:hAnsi="Microsoft YaHei" w:eastAsia="Microsoft YaHei" w:cs="Microsoft YaHei"/>
        </w:rPr>
        <w:t>是以两个象征来表示的</w:t>
      </w:r>
      <w:r>
        <w:rPr>
          <w:rFonts w:ascii="Times New Roman" w:hAnsi="Times New Roman" w:eastAsia="Times New Roman" w:cs="Times New Roman"/>
        </w:rPr>
        <w:t>.</w:t>
      </w:r>
      <w:r>
        <w:rPr>
          <w:rFonts w:ascii="Microsoft YaHei" w:hAnsi="Microsoft YaHei" w:eastAsia="Microsoft YaHei" w:cs="Microsoft YaHei"/>
        </w:rPr>
        <w:t>无论如何</w:t>
      </w:r>
      <w:r>
        <w:rPr>
          <w:rFonts w:ascii="Times New Roman" w:hAnsi="Times New Roman" w:eastAsia="Times New Roman" w:cs="Times New Roman"/>
        </w:rPr>
        <w:t>,</w:t>
      </w:r>
      <w:r>
        <w:rPr>
          <w:rFonts w:ascii="Microsoft YaHei" w:hAnsi="Microsoft YaHei" w:eastAsia="Microsoft YaHei" w:cs="Microsoft YaHei"/>
        </w:rPr>
        <w:t>教皇权的这两个象征都指明教皇权</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尽管如此</w:t>
      </w:r>
      <w:r>
        <w:rPr>
          <w:rFonts w:ascii="Times New Roman" w:hAnsi="Times New Roman" w:eastAsia="Times New Roman" w:cs="Times New Roman"/>
        </w:rPr>
        <w:t>,</w:t>
      </w:r>
      <w:r>
        <w:rPr>
          <w:rFonts w:ascii="Microsoft YaHei" w:hAnsi="Microsoft YaHei" w:eastAsia="Microsoft YaHei" w:cs="Microsoft YaHei"/>
        </w:rPr>
        <w:t>当但以理使用被译为</w:t>
      </w:r>
      <w:r>
        <w:rPr>
          <w:rFonts w:ascii="Times New Roman" w:hAnsi="Times New Roman" w:eastAsia="Times New Roman" w:cs="Times New Roman"/>
        </w:rPr>
        <w:t>“</w:t>
      </w:r>
      <w:r>
        <w:rPr>
          <w:rFonts w:ascii="Microsoft YaHei" w:hAnsi="Microsoft YaHei" w:eastAsia="Microsoft YaHei" w:cs="Microsoft YaHei"/>
        </w:rPr>
        <w:t>常献的</w:t>
      </w:r>
      <w:r>
        <w:rPr>
          <w:rFonts w:ascii="Times New Roman" w:hAnsi="Times New Roman" w:eastAsia="Times New Roman" w:cs="Times New Roman"/>
        </w:rPr>
        <w:t>”</w:t>
      </w:r>
      <w:r>
        <w:rPr>
          <w:rFonts w:ascii="Microsoft YaHei" w:hAnsi="Microsoft YaHei" w:eastAsia="Microsoft YaHei" w:cs="Microsoft YaHei"/>
        </w:rPr>
        <w:t>的</w:t>
      </w:r>
      <w:r>
        <w:rPr>
          <w:rFonts w:ascii="Times New Roman" w:hAnsi="Times New Roman" w:eastAsia="Times New Roman" w:cs="Times New Roman"/>
        </w:rPr>
        <w:t>“tamid”</w:t>
      </w:r>
      <w:r>
        <w:rPr>
          <w:rFonts w:ascii="Microsoft YaHei" w:hAnsi="Microsoft YaHei" w:eastAsia="Microsoft YaHei" w:cs="Microsoft YaHei"/>
        </w:rPr>
        <w:t>一词时</w:t>
      </w:r>
      <w:r>
        <w:rPr>
          <w:rFonts w:ascii="Times New Roman" w:hAnsi="Times New Roman" w:eastAsia="Times New Roman" w:cs="Times New Roman"/>
        </w:rPr>
        <w:t>,</w:t>
      </w:r>
      <w:r>
        <w:rPr>
          <w:rFonts w:ascii="Microsoft YaHei" w:hAnsi="Microsoft YaHei" w:eastAsia="Microsoft YaHei" w:cs="Microsoft YaHei"/>
        </w:rPr>
        <w:t>它总是与教皇权的象征一同使用</w:t>
      </w:r>
      <w:r>
        <w:rPr>
          <w:rFonts w:ascii="Times New Roman" w:hAnsi="Times New Roman" w:eastAsia="Times New Roman" w:cs="Times New Roman"/>
        </w:rPr>
        <w:t>,</w:t>
      </w:r>
      <w:r>
        <w:rPr>
          <w:rFonts w:ascii="Microsoft YaHei" w:hAnsi="Microsoft YaHei" w:eastAsia="Microsoft YaHei" w:cs="Microsoft YaHei"/>
        </w:rPr>
        <w:t>并且位于其前</w:t>
      </w:r>
      <w:r>
        <w:rPr>
          <w:rFonts w:ascii="Times New Roman" w:hAnsi="Times New Roman" w:eastAsia="Times New Roman" w:cs="Times New Roman"/>
        </w:rPr>
        <w:t>.</w:t>
      </w:r>
      <w:r>
        <w:rPr>
          <w:rFonts w:ascii="Microsoft YaHei" w:hAnsi="Microsoft YaHei" w:eastAsia="Microsoft YaHei" w:cs="Microsoft YaHei"/>
        </w:rPr>
        <w:t>米勒对于但以理书中</w:t>
      </w:r>
      <w:r>
        <w:rPr>
          <w:rFonts w:ascii="Times New Roman" w:hAnsi="Times New Roman" w:eastAsia="Times New Roman" w:cs="Times New Roman"/>
        </w:rPr>
        <w:t>“</w:t>
      </w:r>
      <w:r>
        <w:rPr>
          <w:rFonts w:ascii="Microsoft YaHei" w:hAnsi="Microsoft YaHei" w:eastAsia="Microsoft YaHei" w:cs="Microsoft YaHei"/>
        </w:rPr>
        <w:t>常献的</w:t>
      </w:r>
      <w:r>
        <w:rPr>
          <w:rFonts w:ascii="Times New Roman" w:hAnsi="Times New Roman" w:eastAsia="Times New Roman" w:cs="Times New Roman"/>
        </w:rPr>
        <w:t>”</w:t>
      </w:r>
      <w:r>
        <w:rPr>
          <w:rFonts w:ascii="Microsoft YaHei" w:hAnsi="Microsoft YaHei" w:eastAsia="Microsoft YaHei" w:cs="Microsoft YaHei"/>
        </w:rPr>
        <w:t>的理解</w:t>
      </w:r>
      <w:r>
        <w:rPr>
          <w:rFonts w:ascii="Times New Roman" w:hAnsi="Times New Roman" w:eastAsia="Times New Roman" w:cs="Times New Roman"/>
        </w:rPr>
        <w:t>,</w:t>
      </w:r>
      <w:r>
        <w:rPr>
          <w:rFonts w:ascii="Microsoft YaHei" w:hAnsi="Microsoft YaHei" w:eastAsia="Microsoft YaHei" w:cs="Microsoft YaHei"/>
        </w:rPr>
        <w:t>成为他所看见之结构的基础</w:t>
      </w:r>
      <w:r>
        <w:rPr>
          <w:rFonts w:ascii="Times New Roman" w:hAnsi="Times New Roman" w:eastAsia="Times New Roman" w:cs="Times New Roman"/>
        </w:rPr>
        <w:t>;</w:t>
      </w:r>
      <w:r>
        <w:rPr>
          <w:rFonts w:ascii="Microsoft YaHei" w:hAnsi="Microsoft YaHei" w:eastAsia="Microsoft YaHei" w:cs="Microsoft YaHei"/>
        </w:rPr>
        <w:t>该结构乃是建立在异教主义之后继之以教皇主义这两个施行荒凉之势力之上的</w:t>
      </w:r>
      <w:r>
        <w:rPr>
          <w:rFonts w:ascii="Times New Roman" w:hAnsi="Times New Roman" w:eastAsia="Times New Roman" w:cs="Times New Roman"/>
        </w:rPr>
        <w:t>.</w:t>
      </w:r>
      <w:r>
        <w:rPr>
          <w:rFonts w:ascii="Microsoft YaHei" w:hAnsi="Microsoft YaHei" w:eastAsia="Microsoft YaHei" w:cs="Microsoft YaHei"/>
        </w:rPr>
        <w:t>米勒在但以理书中将</w:t>
      </w:r>
      <w:r>
        <w:rPr>
          <w:rFonts w:ascii="Times New Roman" w:hAnsi="Times New Roman" w:eastAsia="Times New Roman" w:cs="Times New Roman"/>
        </w:rPr>
        <w:t>“</w:t>
      </w:r>
      <w:r>
        <w:rPr>
          <w:rFonts w:ascii="Microsoft YaHei" w:hAnsi="Microsoft YaHei" w:eastAsia="Microsoft YaHei" w:cs="Microsoft YaHei"/>
        </w:rPr>
        <w:t>常献的</w:t>
      </w:r>
      <w:r>
        <w:rPr>
          <w:rFonts w:ascii="Times New Roman" w:hAnsi="Times New Roman" w:eastAsia="Times New Roman" w:cs="Times New Roman"/>
        </w:rPr>
        <w:t>”</w:t>
      </w:r>
      <w:r>
        <w:rPr>
          <w:rFonts w:ascii="Microsoft YaHei" w:hAnsi="Microsoft YaHei" w:eastAsia="Microsoft YaHei" w:cs="Microsoft YaHei"/>
        </w:rPr>
        <w:t>认定为异教主义的见解</w:t>
      </w:r>
      <w:r>
        <w:rPr>
          <w:rFonts w:ascii="Times New Roman" w:hAnsi="Times New Roman" w:eastAsia="Times New Roman" w:cs="Times New Roman"/>
        </w:rPr>
        <w:t>,</w:t>
      </w:r>
      <w:r>
        <w:rPr>
          <w:rFonts w:ascii="Microsoft YaHei" w:hAnsi="Microsoft YaHei" w:eastAsia="Microsoft YaHei" w:cs="Microsoft YaHei"/>
        </w:rPr>
        <w:t>注定要成为复临信仰内部一场巨大的争议</w:t>
      </w:r>
      <w:r>
        <w:rPr>
          <w:rFonts w:ascii="Times New Roman" w:hAnsi="Times New Roman" w:eastAsia="Times New Roman" w:cs="Times New Roman"/>
        </w:rPr>
        <w:t>,</w:t>
      </w:r>
      <w:r>
        <w:rPr>
          <w:rFonts w:ascii="Microsoft YaHei" w:hAnsi="Microsoft YaHei" w:eastAsia="Microsoft YaHei" w:cs="Microsoft YaHei"/>
        </w:rPr>
        <w:t>并始于复临信仰的第二代</w:t>
      </w:r>
      <w:r>
        <w:rPr>
          <w:rFonts w:ascii="Times New Roman" w:hAnsi="Times New Roman" w:eastAsia="Times New Roman" w:cs="Times New Roman"/>
        </w:rPr>
        <w:t>——</w:t>
      </w:r>
      <w:r>
        <w:rPr>
          <w:rFonts w:ascii="Microsoft YaHei" w:hAnsi="Microsoft YaHei" w:eastAsia="Microsoft YaHei" w:cs="Microsoft YaHei"/>
        </w:rPr>
        <w:t>即始于</w:t>
      </w:r>
      <w:r>
        <w:rPr>
          <w:rFonts w:ascii="Times New Roman" w:hAnsi="Times New Roman" w:eastAsia="Times New Roman" w:cs="Times New Roman"/>
        </w:rPr>
        <w:t>1888</w:t>
      </w:r>
      <w:r>
        <w:rPr>
          <w:rFonts w:ascii="Microsoft YaHei" w:hAnsi="Microsoft YaHei" w:eastAsia="Microsoft YaHei" w:cs="Microsoft YaHei"/>
        </w:rPr>
        <w:t>年的那一代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Chokwadi chekutanga chechiporofita chakawanikwa naMiller chaiva chikamu chekunzwisisa kwaGumiguru 22, 1844, chaiva “nguva nomwe” dzaRevhitiko makumi maviri nenhanhatu, uye ndicho chaiva chokutanga chezvokwadi dzakatsigirwa naMiller chakarambwa muna 1863. Kurambwa ikoko kwakatanga chizvarwa chokutanga cheAdventism, pavakatanga kudzungaira murenje reRaodhikia. Chizvarwa chechipiri chakatanga paMusangano Mukuru weMinneapolis muna 1888, uye mushure mokumukira kwakaitika ipapo, basa raSatani rokuramba kuzivikanwa kwakaitwa naMiller kwe“daily” sechihedheni rakatanga muna 1901. Kunzwisiswa kwakarurama kwe“daily” hakuna kuiswa parutivi zvachose kusvikira pashure porufu rwomuprofitikadzi, uyo akanga aratidza kuti maonero aisimudzirwa achipikisa maonero akarurama aMiller pamusoro pe“daily,” akanga apiwa ne“ngirozi dzakadzingwa kudenga.” Kurambwa kwakazara kwakaitika muchizvarwa chechitatu kutenderedza muna 1931. Chizvarwa chechitatu chakanga chatanga nokubudiswa kwebhuku raW. W. Prescott, rine musoro unoti, The Doctrine of Christ, nguva pfupi pashure peMusangano weBhaibheri wa1919. Muna 1919, chizvarwa chechitatu chakatanga uye chakaramba chichienderera kusvikira pakubudiswa kwebhuku, Questions on Doctrine muna 1957.</w:t>
      </w:r>
    </w:p>
    <w:p>
      <w:pPr>
        <w:pStyle w:val="ArticleBody"/>
        <w:jc w:val="left"/>
      </w:pPr>
      <w:r>
        <w:rPr>
          <w:rFonts w:ascii="Times New Roman" w:hAnsi="Times New Roman" w:eastAsia="Times New Roman" w:cs="Times New Roman"/>
        </w:rPr>
        <w:t>Kadib markii shaqadii Miller la aasaasay oo si cad loogu muujiyey labada loox ee Xabaquuq (jaantusyadii hormuudka ee 1843 iyo 1850), Rabbigu markaas wuxuu bilaabay inuu furo runta ah in ay jirto quwad kale, oo ah quwad saddexaad oo baabbi'inaysa, taas oo raaci doonta heellanimada jaahilnimada iyo tan baabbanimada, isla markaana iyaduna silcin doonta dadka Ilaah.</w:t>
      </w:r>
    </w:p>
    <w:p>
      <w:pPr>
        <w:pStyle w:val="ArticleScripture"/>
        <w:jc w:val="left"/>
      </w:pPr>
      <w:r>
        <w:rPr>
          <w:rFonts w:ascii="Times New Roman" w:hAnsi="Times New Roman" w:eastAsia="Times New Roman" w:cs="Times New Roman"/>
        </w:rPr>
        <w:t>«بۇدپەرەستلىك ئارقىلىق، ئاندىن پاپالىق ئارقىلىق، شەيتان نۇرغۇن ئەسىرلەر بويىچە يەر يۈزىدىن خۇدانىڭ سادىق گۇۋاھچىلىرىنى ئۆچۈرۈپ تاشلاش ئۈچۈن ئۆز كۈچىنى ئىشقا سالدى. بۇدپەرەسلەر ۋە پاپىستلار بىرلا ئەجدىھا روھى بىلەن ھەرىكەتلەندۈرۈلگەن ئىدى. ئۇلارنىڭ پەرقى پەقەت شۇ ئىدىكى، پاپالىق خۇداغا خىزمەت قىلىۋاتقاندەك قىياپەت قىلىپ، تېخىمۇ خەتەرلىك ۋە تېخىمۇ زالىم دۈشمەن بولدى. رومانچىلىق ۋاسىتىسى ئارقىلىق، شەيتان دۇنيانى ئەسىر ئالدى. خۇدانىڭ دەپ قارالغان چېركاۋى بۇ ئازدۇرۇشنىڭ سەپلىرىگە سۈپۈرۈپ كىرگۈزۈلدى، ۋە مىڭ يىلدىن ئارتۇق ۋاقىت داۋامىدا خۇدانىڭ خەلقى ئەجدىھانىڭ غەزىپى ئاستىدا ئازاب چەكتى. ۋە پاپالىق ئۆز كۈچىدىن مەھرۇم قىلىنىپ، زۇلۇم-تەقىبنى توختىتىشقا مەجبۇر بولغاندا، يۇھاننا ئەجدىھانىڭ ئاۋازىنى تەكرارلاش ۋە شۇنداقلا شۇ ئوخشاش زالىم ۋە كۇپۇرلۇققا تولغان ئىشنى داۋاملاشتۇرۇش ئۈچۈن كۆتۈرۈلۈپ كېلىۋاتقان يېڭى بىر قۇدرەتنى كۆردى. چېركاۋ ۋە خۇدانىڭ قانۇنىغا قارشى ئۇرۇش قىلىدىغان ئەڭ ئاخىرقى بۇ قۇدرەت، قوزىغا ئوخشاش مۈڭگۈزلىرى بار بىر ۋەھشىي ھايۋان بىلەن سىمۋوللاشتۇرۇلغان ئىدى. ئۇنىڭدىن ئىلگىرىكى ۋەھشىي ھايۋانلار دېڭىزدىن چىققان ئىدى، ئەمما بۇسى يەردىن چىقتى؛ بۇ، سىمۋول قىلىنغان مىللەتنىڭ تىنچ ھالدا مەيدانغا كېلىشىنى بىلدۈرىدۇ. «قوزىغا ئوخشاش ئىككى مۈڭگۈز» ئامېرىكا قوشما شتاتلىرى ھۆكۈمىتىنىڭ خاراكتېرىنى، ئۇنىڭ ئىككى ئاساسىي پىرىنسىپى بولغان جۇمھۇرىيەتچىلىك ۋە پروتېستانتچىلىقتا ئىپادىلەنگەن ھالىتى بويىچە، ناھايىتى ياخشى ئىپادىلەيدۇ. بۇ پىرىنسىپلەر بىزنىڭ مىللەت سۈپىتىدىكى كۈچىمىز ۋە گۈللىنىشىمىزنىڭ سىرىدۇر. ئامېرىكا قىرغاقلىرىدا تۇنجى پاناھ تاپقانلار، پاپالىقنىڭ تەكەببۇرلۇق بىلەن قويغان دەۋالىرىدىن ۋە پادىشاھلىق ھۆكۈمرانلىقىنىڭ زۇلۇمىدىن ئازاد بىر مەملىكەتكە يېتىپ كەلگەنلىكىگە شادلانغان ئىدى. ئۇلار پۇقرالىق ۋە دىنىي ئەركىنلىكنىڭ كەڭ ئاساسى ئۈستىگە بىر ھۆكۈمەت قۇرۇشقا بەل باغلىدى.» Signs of the Times, November 1, 1899.</w:t>
      </w:r>
    </w:p>
    <w:p>
      <w:pPr>
        <w:pStyle w:val="ArticleBody"/>
        <w:jc w:val="left"/>
      </w:pPr>
      <w:r>
        <w:rPr>
          <w:rFonts w:ascii="Leelawadee UI" w:hAnsi="Leelawadee UI" w:eastAsia="Leelawadee UI" w:cs="Leelawadee UI"/>
        </w:rPr>
        <w:t>មីល្លឺរ</w:t>
      </w:r>
      <w:r>
        <w:rPr>
          <w:rFonts w:ascii="Times New Roman" w:hAnsi="Times New Roman" w:eastAsia="Times New Roman" w:cs="Times New Roman"/>
        </w:rPr>
        <w:t xml:space="preserve"> </w:t>
      </w:r>
      <w:r>
        <w:rPr>
          <w:rFonts w:ascii="Leelawadee UI" w:hAnsi="Leelawadee UI" w:eastAsia="Leelawadee UI" w:cs="Leelawadee UI"/>
        </w:rPr>
        <w:t>មិនអាចឃើញអំណាចបៀតបៀនទីបីបានទេ</w:t>
      </w:r>
      <w:r>
        <w:rPr>
          <w:rFonts w:ascii="Times New Roman" w:hAnsi="Times New Roman" w:eastAsia="Times New Roman" w:cs="Times New Roman"/>
        </w:rPr>
        <w:t xml:space="preserve"> </w:t>
      </w:r>
      <w:r>
        <w:rPr>
          <w:rFonts w:ascii="Leelawadee UI" w:hAnsi="Leelawadee UI" w:eastAsia="Leelawadee UI" w:cs="Leelawadee UI"/>
        </w:rPr>
        <w:t>ហើយដោយហេតុនេះ</w:t>
      </w:r>
      <w:r>
        <w:rPr>
          <w:rFonts w:ascii="Times New Roman" w:hAnsi="Times New Roman" w:eastAsia="Times New Roman" w:cs="Times New Roman"/>
        </w:rPr>
        <w:t xml:space="preserve"> </w:t>
      </w:r>
      <w:r>
        <w:rPr>
          <w:rFonts w:ascii="Leelawadee UI" w:hAnsi="Leelawadee UI" w:eastAsia="Leelawadee UI" w:cs="Leelawadee UI"/>
        </w:rPr>
        <w:t>រចនាសម្ព័ន្ធរបស់គាត់មិនទាន់ពេញលេញ</w:t>
      </w:r>
      <w:r>
        <w:rPr>
          <w:rFonts w:ascii="Times New Roman" w:hAnsi="Times New Roman" w:eastAsia="Times New Roman" w:cs="Times New Roman"/>
        </w:rPr>
        <w:t xml:space="preserve"> </w:t>
      </w:r>
      <w:r>
        <w:rPr>
          <w:rFonts w:ascii="Leelawadee UI" w:hAnsi="Leelawadee UI" w:eastAsia="Leelawadee UI" w:cs="Leelawadee UI"/>
        </w:rPr>
        <w:t>ទោះបីជាវាសមស្របយ៉ាងល្អឥតខ្ចោះសម្រាប់បំពេញកិច្ចការរបស់គាត់ក៏ដោយ។</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បញ្ជាក់ថា</w:t>
      </w:r>
      <w:r>
        <w:rPr>
          <w:rFonts w:ascii="Times New Roman" w:hAnsi="Times New Roman" w:eastAsia="Times New Roman" w:cs="Times New Roman"/>
        </w:rPr>
        <w:t xml:space="preserve"> </w:t>
      </w:r>
      <w:r>
        <w:rPr>
          <w:rFonts w:ascii="Leelawadee UI" w:hAnsi="Leelawadee UI" w:eastAsia="Leelawadee UI" w:cs="Leelawadee UI"/>
        </w:rPr>
        <w:t>មីល្លឺរ</w:t>
      </w:r>
      <w:r>
        <w:rPr>
          <w:rFonts w:ascii="Times New Roman" w:hAnsi="Times New Roman" w:eastAsia="Times New Roman" w:cs="Times New Roman"/>
        </w:rPr>
        <w:t xml:space="preserve"> </w:t>
      </w:r>
      <w:r>
        <w:rPr>
          <w:rFonts w:ascii="Leelawadee UI" w:hAnsi="Leelawadee UI" w:eastAsia="Leelawadee UI" w:cs="Leelawadee UI"/>
        </w:rPr>
        <w:t>គឺជាអ្នកនាំសារដែលព្រះបានជ្រើសរើស</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ក្នុងកិច្ចការរបស់គាត់</w:t>
      </w:r>
      <w:r>
        <w:rPr>
          <w:rFonts w:ascii="Times New Roman" w:hAnsi="Times New Roman" w:eastAsia="Times New Roman" w:cs="Times New Roman"/>
        </w:rPr>
        <w:t xml:space="preserve"> </w:t>
      </w:r>
      <w:r>
        <w:rPr>
          <w:rFonts w:ascii="Leelawadee UI" w:hAnsi="Leelawadee UI" w:eastAsia="Leelawadee UI" w:cs="Leelawadee UI"/>
        </w:rPr>
        <w:t>គាត់ត្រូវបានតំណាងជាមុនដោយអេលីយ៉ា</w:t>
      </w:r>
      <w:r>
        <w:rPr>
          <w:rFonts w:ascii="Times New Roman" w:hAnsi="Times New Roman" w:eastAsia="Times New Roman" w:cs="Times New Roman"/>
        </w:rPr>
        <w:t xml:space="preserve"> </w:t>
      </w:r>
      <w:r>
        <w:rPr>
          <w:rFonts w:ascii="Leelawadee UI" w:hAnsi="Leelawadee UI" w:eastAsia="Leelawadee UI" w:cs="Leelawadee UI"/>
        </w:rPr>
        <w:t>និងយ៉ូហាន</w:t>
      </w:r>
      <w:r>
        <w:rPr>
          <w:rFonts w:ascii="Times New Roman" w:hAnsi="Times New Roman" w:eastAsia="Times New Roman" w:cs="Times New Roman"/>
        </w:rPr>
        <w:t xml:space="preserve"> </w:t>
      </w:r>
      <w:r>
        <w:rPr>
          <w:rFonts w:ascii="Leelawadee UI" w:hAnsi="Leelawadee UI" w:eastAsia="Leelawadee UI" w:cs="Leelawadee UI"/>
        </w:rPr>
        <w:t>បាទីស្ទ</w:t>
      </w:r>
      <w:r>
        <w:rPr>
          <w:rFonts w:ascii="Times New Roman" w:hAnsi="Times New Roman" w:eastAsia="Times New Roman" w:cs="Times New Roman"/>
        </w:rPr>
        <w:t xml:space="preserve"> </w:t>
      </w:r>
      <w:r>
        <w:rPr>
          <w:rFonts w:ascii="Leelawadee UI" w:hAnsi="Leelawadee UI" w:eastAsia="Leelawadee UI" w:cs="Leelawadee UI"/>
        </w:rPr>
        <w:t>ហើយក្នុងការត្រាស់ហៅរបស់គាត់ឲ្យចូលមកក្នុងកិច្ចការនោះ</w:t>
      </w:r>
      <w:r>
        <w:rPr>
          <w:rFonts w:ascii="Times New Roman" w:hAnsi="Times New Roman" w:eastAsia="Times New Roman" w:cs="Times New Roman"/>
        </w:rPr>
        <w:t xml:space="preserve"> </w:t>
      </w:r>
      <w:r>
        <w:rPr>
          <w:rFonts w:ascii="Leelawadee UI" w:hAnsi="Leelawadee UI" w:eastAsia="Leelawadee UI" w:cs="Leelawadee UI"/>
        </w:rPr>
        <w:t>គាត់ត្រូវបានតំណាងជាមុនដោយអេលីសេ</w:t>
      </w:r>
      <w:r>
        <w:rPr>
          <w:rFonts w:ascii="Times New Roman" w:hAnsi="Times New Roman" w:eastAsia="Times New Roman" w:cs="Times New Roman"/>
        </w:rPr>
        <w:t xml:space="preserve"> </w:t>
      </w:r>
      <w:r>
        <w:rPr>
          <w:rFonts w:ascii="Leelawadee UI" w:hAnsi="Leelawadee UI" w:eastAsia="Leelawadee UI" w:cs="Leelawadee UI"/>
        </w:rPr>
        <w:t>ហើយក្នុងមរណភាពរបស់គាត់</w:t>
      </w:r>
      <w:r>
        <w:rPr>
          <w:rFonts w:ascii="Times New Roman" w:hAnsi="Times New Roman" w:eastAsia="Times New Roman" w:cs="Times New Roman"/>
        </w:rPr>
        <w:t xml:space="preserve"> </w:t>
      </w:r>
      <w:r>
        <w:rPr>
          <w:rFonts w:ascii="Leelawadee UI" w:hAnsi="Leelawadee UI" w:eastAsia="Leelawadee UI" w:cs="Leelawadee UI"/>
        </w:rPr>
        <w:t>ដោយម៉ូសេ។</w:t>
      </w:r>
      <w:r>
        <w:rPr>
          <w:rFonts w:ascii="Times New Roman" w:hAnsi="Times New Roman" w:eastAsia="Times New Roman" w:cs="Times New Roman"/>
        </w:rPr>
        <w:t xml:space="preserve"> </w:t>
      </w:r>
      <w:r>
        <w:rPr>
          <w:rFonts w:ascii="Leelawadee UI" w:hAnsi="Leelawadee UI" w:eastAsia="Leelawadee UI" w:cs="Leelawadee UI"/>
        </w:rPr>
        <w:t>មនុស្សតិចណាស់ក្នុងប្រវត្តិសាស្ត្របរិសុទ្ធដែលបានជំរុញឲ្យមានសេចក្ដីអធិប្បាយដែលបញ្ជាក់ថា</w:t>
      </w:r>
      <w:r>
        <w:rPr>
          <w:rFonts w:ascii="Times New Roman" w:hAnsi="Times New Roman" w:eastAsia="Times New Roman" w:cs="Times New Roman"/>
        </w:rPr>
        <w:t xml:space="preserve"> </w:t>
      </w:r>
      <w:r>
        <w:rPr>
          <w:rFonts w:ascii="Leelawadee UI" w:hAnsi="Leelawadee UI" w:eastAsia="Leelawadee UI" w:cs="Leelawadee UI"/>
        </w:rPr>
        <w:t>ពួកទេវតាកំពុងរង់ចាំនៅក្បែរផ្នូររបស់ពួកគេ</w:t>
      </w:r>
      <w:r>
        <w:rPr>
          <w:rFonts w:ascii="Times New Roman" w:hAnsi="Times New Roman" w:eastAsia="Times New Roman" w:cs="Times New Roman"/>
        </w:rPr>
        <w:t xml:space="preserve"> </w:t>
      </w:r>
      <w:r>
        <w:rPr>
          <w:rFonts w:ascii="Leelawadee UI" w:hAnsi="Leelawadee UI" w:eastAsia="Leelawadee UI" w:cs="Leelawadee UI"/>
        </w:rPr>
        <w:t>ដើម្បីប្រោសពួកគេឲ្យរស់ឡើងវិញ</w:t>
      </w:r>
      <w:r>
        <w:rPr>
          <w:rFonts w:ascii="Times New Roman" w:hAnsi="Times New Roman" w:eastAsia="Times New Roman" w:cs="Times New Roman"/>
        </w:rPr>
        <w:t xml:space="preserve"> </w:t>
      </w:r>
      <w:r>
        <w:rPr>
          <w:rFonts w:ascii="Leelawadee UI" w:hAnsi="Leelawadee UI" w:eastAsia="Leelawadee UI" w:cs="Leelawadee UI"/>
        </w:rPr>
        <w:t>ប៉ុន្តែនี่គឺជាសេចក្ដីអធិប្បាយអំពីមីល្លឺរ។</w:t>
      </w:r>
      <w:r>
        <w:rPr>
          <w:rFonts w:ascii="Times New Roman" w:hAnsi="Times New Roman" w:eastAsia="Times New Roman" w:cs="Times New Roman"/>
        </w:rPr>
        <w:t xml:space="preserve"> </w:t>
      </w:r>
      <w:r>
        <w:rPr>
          <w:rFonts w:ascii="Leelawadee UI" w:hAnsi="Leelawadee UI" w:eastAsia="Leelawadee UI" w:cs="Leelawadee UI"/>
        </w:rPr>
        <w:t>ការពិតដែលថា</w:t>
      </w:r>
      <w:r>
        <w:rPr>
          <w:rFonts w:ascii="Times New Roman" w:hAnsi="Times New Roman" w:eastAsia="Times New Roman" w:cs="Times New Roman"/>
        </w:rPr>
        <w:t xml:space="preserve"> </w:t>
      </w:r>
      <w:r>
        <w:rPr>
          <w:rFonts w:ascii="Leelawadee UI" w:hAnsi="Leelawadee UI" w:eastAsia="Leelawadee UI" w:cs="Leelawadee UI"/>
        </w:rPr>
        <w:t>កិច្ចការរបស់គាត់ត្រូវបានកំណត់ដោយប្រវត្តិសាស្ត្រដែលគាត់ត្រូវបានលើកឡើងមកក្នុងនោះ</w:t>
      </w:r>
      <w:r>
        <w:rPr>
          <w:rFonts w:ascii="Times New Roman" w:hAnsi="Times New Roman" w:eastAsia="Times New Roman" w:cs="Times New Roman"/>
        </w:rPr>
        <w:t xml:space="preserve"> </w:t>
      </w:r>
      <w:r>
        <w:rPr>
          <w:rFonts w:ascii="Leelawadee UI" w:hAnsi="Leelawadee UI" w:eastAsia="Leelawadee UI" w:cs="Leelawadee UI"/>
        </w:rPr>
        <w:t>មិនមែនជាសេចក្ដីថ្លែងដែលបន្ថោកមីល្លឺរនោះទេ</w:t>
      </w:r>
      <w:r>
        <w:rPr>
          <w:rFonts w:ascii="Times New Roman" w:hAnsi="Times New Roman" w:eastAsia="Times New Roman" w:cs="Times New Roman"/>
        </w:rPr>
        <w:t xml:space="preserve"> </w:t>
      </w:r>
      <w:r>
        <w:rPr>
          <w:rFonts w:ascii="Leelawadee UI" w:hAnsi="Leelawadee UI" w:eastAsia="Leelawadee UI" w:cs="Leelawadee UI"/>
        </w:rPr>
        <w:t>ប៉ុន្តែគ្រាន់តែជាការចាំបាច់មួយដែលត្រូវទទួលស្គាល់</w:t>
      </w:r>
      <w:r>
        <w:rPr>
          <w:rFonts w:ascii="Times New Roman" w:hAnsi="Times New Roman" w:eastAsia="Times New Roman" w:cs="Times New Roman"/>
        </w:rPr>
        <w:t xml:space="preserve"> </w:t>
      </w:r>
      <w:r>
        <w:rPr>
          <w:rFonts w:ascii="Leelawadee UI" w:hAnsi="Leelawadee UI" w:eastAsia="Leelawadee UI" w:cs="Leelawadee UI"/>
        </w:rPr>
        <w:t>ប្រសិនបើកិច្ចការរបស់គាត់នឹងត្រូវបានពិចារណានៅក្នុងពន្លឺពិតនៃព្រះបន្ទូលទំនាយរបស់ព្រះ។</w:t>
      </w:r>
    </w:p>
    <w:p>
      <w:pPr>
        <w:pStyle w:val="ArticleBody"/>
        <w:jc w:val="left"/>
      </w:pP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स्वर्गदूतीय</w:t>
      </w:r>
      <w:r>
        <w:rPr>
          <w:rFonts w:ascii="Times New Roman" w:hAnsi="Times New Roman" w:eastAsia="Times New Roman" w:cs="Times New Roman"/>
        </w:rPr>
        <w:t xml:space="preserve"> </w:t>
      </w:r>
      <w:r>
        <w:rPr>
          <w:rFonts w:ascii="Nirmala UI" w:hAnsi="Nirmala UI" w:eastAsia="Nirmala UI" w:cs="Nirmala UI"/>
        </w:rPr>
        <w:t>निर्देशन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रूपरेखा</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मूर्तिपूजकता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उजाड़ने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गलतफहमियों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पट्टिकाओं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1843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अभिलिखित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 Le Seigneur m’a montré que le tableau de 1843 avait été dirigé par sa main, et qu’aucune partie n’en devait être modifiée ; que les chiffres étaient tels qu’il les voulait. Que sa main couvrait et cachait une erreur dans certains des chiffres, de sorte que nul ne pouvait la voir, jusqu’à ce que sa main fût retirée. »</w:t>
      </w:r>
    </w:p>
    <w:p>
      <w:pPr>
        <w:pStyle w:val="ArticleScripture"/>
        <w:jc w:val="left"/>
      </w:pPr>
      <w:r>
        <w:rPr>
          <w:rFonts w:ascii="Times New Roman" w:hAnsi="Times New Roman" w:eastAsia="Times New Roman" w:cs="Times New Roman"/>
        </w:rPr>
        <w:t>«Puis je vis, au sujet du “Perpétuel”, que le mot “sacrifice” a été ajouté par la sagesse humaine et n’appartient pas au texte; et que le Seigneur en donna la juste compréhension à ceux qui lancèrent le cri de l’heure du jugement. Lorsqu’il y avait union, avant 1844, presque tous étaient unis sur la juste compréhension du “Perpétuel”; mais depuis 1844, dans la confusion, d’autres vues ont été adoptées, et les ténèbres et la confusion ont suivi.» Review and Herald, 1er novembre 1850.</w:t>
      </w:r>
    </w:p>
    <w:p>
      <w:pPr>
        <w:pStyle w:val="ArticleBody"/>
        <w:jc w:val="left"/>
      </w:pPr>
      <w:r>
        <w:rPr>
          <w:rFonts w:ascii="Times New Roman" w:hAnsi="Times New Roman" w:eastAsia="Times New Roman" w:cs="Times New Roman"/>
        </w:rPr>
        <w:t>Die Wahrheiten, die Miller auf Anweisung der Engel zusammentrug, wurden vom Herrn geleitet, und in der Bestätigung der Karte von 1843 schloss die Inspiration ein, dass Millers Verständnis, wonach „das Tägliche“ das Heidentum darstelle, richtig war. Fünfmal kommt das hebräische Wort „tamid“, übersetzt als „das Tägliche“, im Buch Daniel vor, und es stellt stets die Beziehung zwischen den beiden verwüstenden Mächten dar: dem Heidentum, gefolgt vom Papsttum.</w:t>
      </w:r>
    </w:p>
    <w:p>
      <w:pPr>
        <w:pStyle w:val="ArticleBody"/>
        <w:jc w:val="left"/>
      </w:pP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“the daily”-</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পৌত্তলিকতার</w:t>
      </w:r>
      <w:r>
        <w:rPr>
          <w:rFonts w:ascii="Times New Roman" w:hAnsi="Times New Roman" w:eastAsia="Times New Roman" w:cs="Times New Roman"/>
        </w:rPr>
        <w:t xml:space="preserve"> </w:t>
      </w:r>
      <w:r>
        <w:rPr>
          <w:rFonts w:ascii="Nirmala UI" w:hAnsi="Nirmala UI" w:eastAsia="Nirmala UI" w:cs="Nirmala UI"/>
        </w:rPr>
        <w:t>প্রতীকরূপে</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প্রয়োগকৃত</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কাঠামোর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সম্পূর্ণ</w:t>
      </w:r>
      <w:r>
        <w:rPr>
          <w:rFonts w:ascii="Times New Roman" w:hAnsi="Times New Roman" w:eastAsia="Times New Roman" w:cs="Times New Roman"/>
        </w:rPr>
        <w:t xml:space="preserve"> </w:t>
      </w:r>
      <w:r>
        <w:rPr>
          <w:rFonts w:ascii="Nirmala UI" w:hAnsi="Nirmala UI" w:eastAsia="Nirmala UI" w:cs="Nirmala UI"/>
        </w:rPr>
        <w:t>অপরিহার্য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পৌত্তলিকতার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পাপত্বের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ধারাবাহিক</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যেসব</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হয়েছিলেন</w:t>
      </w:r>
      <w:r>
        <w:rPr>
          <w:rFonts w:ascii="Times New Roman" w:hAnsi="Times New Roman" w:eastAsia="Times New Roman" w:cs="Times New Roman"/>
        </w:rPr>
        <w:t xml:space="preserve">, </w:t>
      </w:r>
      <w:r>
        <w:rPr>
          <w:rFonts w:ascii="Nirmala UI" w:hAnsi="Nirmala UI" w:eastAsia="Nirmala UI" w:cs="Nirmala UI"/>
        </w:rPr>
        <w:t>সেগুলিকে</w:t>
      </w:r>
      <w:r>
        <w:rPr>
          <w:rFonts w:ascii="Times New Roman" w:hAnsi="Times New Roman" w:eastAsia="Times New Roman" w:cs="Times New Roman"/>
        </w:rPr>
        <w:t xml:space="preserve"> </w:t>
      </w:r>
      <w:r>
        <w:rPr>
          <w:rFonts w:ascii="Nirmala UI" w:hAnsi="Nirmala UI" w:eastAsia="Nirmala UI" w:cs="Nirmala UI"/>
        </w:rPr>
        <w:t>পরস্পর</w:t>
      </w:r>
      <w:r>
        <w:rPr>
          <w:rFonts w:ascii="Times New Roman" w:hAnsi="Times New Roman" w:eastAsia="Times New Roman" w:cs="Times New Roman"/>
        </w:rPr>
        <w:t xml:space="preserve"> </w:t>
      </w:r>
      <w:r>
        <w:rPr>
          <w:rFonts w:ascii="Nirmala UI" w:hAnsi="Nirmala UI" w:eastAsia="Nirmala UI" w:cs="Nirmala UI"/>
        </w:rPr>
        <w:t>সামঞ্জস্যে</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মানদণ্ডে</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 À l’époque de la fin », en 1798, le livre de Daniel fut descellé, et le passage principal, celui que Sœur White a désigné comme le « pilier central » et le « fondement » du mouvement adventiste, était Daniel, chapitre huit, verset quatorze.</w:t>
      </w:r>
    </w:p>
    <w:p>
      <w:pPr>
        <w:pStyle w:val="ArticleScripture"/>
        <w:jc w:val="left"/>
      </w:pPr>
      <w:r>
        <w:rPr>
          <w:rFonts w:ascii="Times New Roman" w:hAnsi="Times New Roman" w:eastAsia="Times New Roman" w:cs="Times New Roman"/>
        </w:rPr>
        <w:t>«Писанието, което повече от всички други беше едновременно основанието и централният стълб на адвентната вяра, беше изявлението: „До две хиляди и триста денонощия; тогава светилището ще се очисти.“ [Даниил 8:14.]» Великата борба, 409.</w:t>
      </w:r>
    </w:p>
    <w:p>
      <w:pPr>
        <w:pStyle w:val="ArticleBody"/>
        <w:jc w:val="left"/>
      </w:pPr>
      <w:r>
        <w:rPr>
          <w:rFonts w:ascii="Times New Roman" w:hAnsi="Times New Roman" w:eastAsia="Times New Roman" w:cs="Times New Roman"/>
        </w:rPr>
        <w:t>Le verset quatorze est la réponse au verset treize, et cette réponse est dénuée de sens sans le contexte de la question.</w:t>
      </w:r>
    </w:p>
    <w:p>
      <w:pPr>
        <w:pStyle w:val="ArticleScripture"/>
        <w:jc w:val="left"/>
      </w:pPr>
      <w:r>
        <w:rPr>
          <w:rFonts w:ascii="Times New Roman" w:hAnsi="Times New Roman" w:eastAsia="Times New Roman" w:cs="Times New Roman"/>
        </w:rPr>
        <w:t>Puis j’entendis un saint qui parlait; et un autre saint dit à ce saint-là qui parlait : Jusques à quand durera la vision concernant le sacrifice perpétuel et la transgression dévastatrice, livrant à la fois le sanctuaire et l’armée pour être foulés aux pieds ? Et il me dit : Jusqu’à deux mille trois cents jours; puis le sanctuaire sera purifié. Daniel 8:13, 14.</w:t>
      </w:r>
    </w:p>
    <w:p>
      <w:pPr>
        <w:pStyle w:val="ArticleBody"/>
        <w:jc w:val="left"/>
      </w:pPr>
      <w:r>
        <w:rPr>
          <w:rFonts w:ascii="Times New Roman" w:hAnsi="Times New Roman" w:eastAsia="Times New Roman" w:cs="Times New Roman"/>
        </w:rPr>
        <w:t>هذان العددان هما رمز لازدياد المعرفة الذي نتج حين فُكَّ ختمُ سفر دانيال عند «وقت النهاية» سنة 1798. ويُعرِّف العدد الثالث عشر القوتين المُخرِّبتين اللتين بنى ميلر عليهما نموذجه النبوي. وقد حدَّد ميلر «الدائم» في العدد الثالث عشر على أنه الوثنية، و«معصية الخراب» على أنها البابوية. ومن المهم أن يُدرَك أن النموذج النبوي الذي قاد الملائكةُ ميلرَ إلى التعرّف عليه، مُبيَّن في العددين اللذين يمثّلان ازدياد المعرفة الذي دخل التاريخ سنة 1798. ومع ذلك، لم يُعطَ ميلر أن يرى القوة التالية التي ستظهر على المسرح النبوي وتضطهد شعب الله.</w:t>
      </w:r>
    </w:p>
    <w:p>
      <w:pPr>
        <w:pStyle w:val="ArticleScripture"/>
        <w:jc w:val="left"/>
      </w:pPr>
      <w:r>
        <w:rPr>
          <w:rFonts w:ascii="Times New Roman" w:hAnsi="Times New Roman" w:eastAsia="Times New Roman" w:cs="Times New Roman"/>
        </w:rPr>
        <w:t>“Mi elvidis, ke la dukorna besto havis buŝon de drako, kaj ke lia potenco estis en lia kapo, kaj ke la dekreto eliros el lia buŝo. Tiam mi vidis la Patrinon de Malĉastulinoj; ke la patrino ne estis la filinoj, sed aparta kaj distinga de ili. Ŝi havis sian tagon, kaj ĝi pasis, kaj ŝiaj filinoj, la protestantaj sektoj, estis la sekvaj, kiuj aperis sur la scenejo kaj montris la saman menson, kiun la patrino havis, kiam ŝi persekutis la sanktulojn. Mi vidis, ke dum la patrino malkreskadis en potenco, la filinoj kreskadis, kaj baldaŭ ili ekzercos la potencon iam ekzercitan de la patrino.” Spalding and Magan, 1.</w:t>
      </w:r>
    </w:p>
    <w:p>
      <w:pPr>
        <w:pStyle w:val="ArticleBody"/>
        <w:jc w:val="left"/>
      </w:pPr>
      <w:r>
        <w:rPr>
          <w:rFonts w:ascii="Times New Roman" w:hAnsi="Times New Roman" w:eastAsia="Times New Roman" w:cs="Times New Roman"/>
        </w:rPr>
        <w:t>Millerin kyvyttömyys nähdä kolmatta valtaa pakotti hänet tekemään johtopäätöksiä, jotka olivat yksinkertaisesti virheellisiä. Miller samasti Ilmestyskirjan kolmannentoista luvun meripedon pakanalliseen Roomaan ja maapedon paavilliseen Roomaan. Hänen Ilmestyskirjan seitsemännentoista luvun sovellutuksensa oli niin ikään puutteellinen, koska hän ei kyennyt näkemään profeetallista historiaa, joka ulottui paavillisuuden toisena hävittävänä valtana pidetyn vallan tuolle puolen. Tästä syystä Miller, tunnistaessaan roomalaisen vallan Danielin profetiassa, käsitteli sitä yhtenä valtana, joka ilmeni kahdessa vaiheessa. Se oli ja on oikea sovellus, mutta se esti häntä ymmärtämästä Raamatun profetian valtakuntia minään sellaisena, mikä ulottuisi Rooman edustamaa neljättä valtakuntaa pidemmälle. Hän näki ja tunnisti, että Rooman neljännellä valtakunnalla oli kaksi vaihetta, joita edustivat pakanallinen Rooma ja paavillinen Rooma, mutta hän ei kyennyt näkemään, että paavillinen Rooma oli myös viides valtakunta, jota oli seuraava kuudes valtakunta.</w:t>
      </w:r>
    </w:p>
    <w:p>
      <w:pPr>
        <w:pStyle w:val="ArticleBody"/>
        <w:jc w:val="left"/>
      </w:pPr>
      <w:r>
        <w:rPr>
          <w:rFonts w:ascii="Leelawadee UI" w:hAnsi="Leelawadee UI" w:eastAsia="Leelawadee UI" w:cs="Leelawadee UI"/>
        </w:rPr>
        <w:t>ចំពោះជំពូកទីពីរនៃដានីយ៉ែល</w:t>
      </w:r>
      <w:r>
        <w:rPr>
          <w:rFonts w:ascii="Times New Roman" w:hAnsi="Times New Roman" w:eastAsia="Times New Roman" w:cs="Times New Roman"/>
        </w:rPr>
        <w:t xml:space="preserve"> </w:t>
      </w:r>
      <w:r>
        <w:rPr>
          <w:rFonts w:ascii="Leelawadee UI" w:hAnsi="Leelawadee UI" w:eastAsia="Leelawadee UI" w:cs="Leelawadee UI"/>
        </w:rPr>
        <w:t>ក្រុមមីល្លឺរ៉ាយត៍បាននាំយកធាតុទាំងឡាយនៃនគរទីប្រាំក្នុងព្រះបន្ទូលទំនាយនៃព្រះគម្ពីរ</w:t>
      </w:r>
      <w:r>
        <w:rPr>
          <w:rFonts w:ascii="Times New Roman" w:hAnsi="Times New Roman" w:eastAsia="Times New Roman" w:cs="Times New Roman"/>
        </w:rPr>
        <w:t xml:space="preserve"> </w:t>
      </w:r>
      <w:r>
        <w:rPr>
          <w:rFonts w:ascii="Leelawadee UI" w:hAnsi="Leelawadee UI" w:eastAsia="Leelawadee UI" w:cs="Leelawadee UI"/>
        </w:rPr>
        <w:t>មកបញ្ចូលជាមួយនគរទីបួន។</w:t>
      </w:r>
      <w:r>
        <w:rPr>
          <w:rFonts w:ascii="Times New Roman" w:hAnsi="Times New Roman" w:eastAsia="Times New Roman" w:cs="Times New Roman"/>
        </w:rPr>
        <w:t xml:space="preserve"> </w:t>
      </w:r>
      <w:r>
        <w:rPr>
          <w:rFonts w:ascii="Leelawadee UI" w:hAnsi="Leelawadee UI" w:eastAsia="Leelawadee UI" w:cs="Leelawadee UI"/>
        </w:rPr>
        <w:t>នៅកម្រិតមូលដ្ឋាន</w:t>
      </w:r>
      <w:r>
        <w:rPr>
          <w:rFonts w:ascii="Times New Roman" w:hAnsi="Times New Roman" w:eastAsia="Times New Roman" w:cs="Times New Roman"/>
        </w:rPr>
        <w:t xml:space="preserve"> </w:t>
      </w:r>
      <w:r>
        <w:rPr>
          <w:rFonts w:ascii="Leelawadee UI" w:hAnsi="Leelawadee UI" w:eastAsia="Leelawadee UI" w:cs="Leelawadee UI"/>
        </w:rPr>
        <w:t>ការអនុវត្តរបស់ពួកគេគឺត្រឹមត្រូវ</w:t>
      </w:r>
      <w:r>
        <w:rPr>
          <w:rFonts w:ascii="Times New Roman" w:hAnsi="Times New Roman" w:eastAsia="Times New Roman" w:cs="Times New Roman"/>
        </w:rPr>
        <w:t xml:space="preserve"> </w:t>
      </w:r>
      <w:r>
        <w:rPr>
          <w:rFonts w:ascii="Leelawadee UI" w:hAnsi="Leelawadee UI" w:eastAsia="Leelawadee UI" w:cs="Leelawadee UI"/>
        </w:rPr>
        <w:t>ប៉ុន្តែមិនទាន់ពេញលេញទេ</w:t>
      </w:r>
      <w:r>
        <w:rPr>
          <w:rFonts w:ascii="Times New Roman" w:hAnsi="Times New Roman" w:eastAsia="Times New Roman" w:cs="Times New Roman"/>
        </w:rPr>
        <w:t xml:space="preserve"> </w:t>
      </w:r>
      <w:r>
        <w:rPr>
          <w:rFonts w:ascii="Leelawadee UI" w:hAnsi="Leelawadee UI" w:eastAsia="Leelawadee UI" w:cs="Leelawadee UI"/>
        </w:rPr>
        <w:t>ពីព្រោះការយោងដំបូងអំពីនគរទាំងឡាយក្នុងទំនាយនៃព្រះគម្ពីរ</w:t>
      </w:r>
      <w:r>
        <w:rPr>
          <w:rFonts w:ascii="Times New Roman" w:hAnsi="Times New Roman" w:eastAsia="Times New Roman" w:cs="Times New Roman"/>
        </w:rPr>
        <w:t xml:space="preserve"> </w:t>
      </w:r>
      <w:r>
        <w:rPr>
          <w:rFonts w:ascii="Leelawadee UI" w:hAnsi="Leelawadee UI" w:eastAsia="Leelawadee UI" w:cs="Leelawadee UI"/>
        </w:rPr>
        <w:t>ត្រូវតែស្របគ្នានឹងការយោងចុងក្រោយអំពីនគរទាំងឡាយក្នុងទំនាយនៃព្រះគម្ពីរ</w:t>
      </w:r>
      <w:r>
        <w:rPr>
          <w:rFonts w:ascii="Times New Roman" w:hAnsi="Times New Roman" w:eastAsia="Times New Roman" w:cs="Times New Roman"/>
        </w:rPr>
        <w:t xml:space="preserve"> </w:t>
      </w:r>
      <w:r>
        <w:rPr>
          <w:rFonts w:ascii="Leelawadee UI" w:hAnsi="Leelawadee UI" w:eastAsia="Leelawadee UI" w:cs="Leelawadee UI"/>
        </w:rPr>
        <w:t>ដ្បិតព្រះយេស៊ូវ</w:t>
      </w:r>
      <w:r>
        <w:rPr>
          <w:rFonts w:ascii="Times New Roman" w:hAnsi="Times New Roman" w:eastAsia="Times New Roman" w:cs="Times New Roman"/>
        </w:rPr>
        <w:t xml:space="preserve"> </w:t>
      </w:r>
      <w:r>
        <w:rPr>
          <w:rFonts w:ascii="Leelawadee UI" w:hAnsi="Leelawadee UI" w:eastAsia="Leelawadee UI" w:cs="Leelawadee UI"/>
        </w:rPr>
        <w:t>ក្នុងនាមជាអាល់ហ្វា</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តែងតែបង្ហាញចុងបញ្ចប់ដោយការចាប់ផ្ដើម។</w:t>
      </w:r>
      <w:r>
        <w:rPr>
          <w:rFonts w:ascii="Times New Roman" w:hAnsi="Times New Roman" w:eastAsia="Times New Roman" w:cs="Times New Roman"/>
        </w:rPr>
        <w:t xml:space="preserve"> </w:t>
      </w:r>
      <w:r>
        <w:rPr>
          <w:rFonts w:ascii="Leelawadee UI" w:hAnsi="Leelawadee UI" w:eastAsia="Leelawadee UI" w:cs="Leelawadee UI"/>
        </w:rPr>
        <w:t>ការមិនអាចមើលឃើញភាពខុសគ្នារវាងនគរពីរដែលបន្តគ្នា</w:t>
      </w:r>
      <w:r>
        <w:rPr>
          <w:rFonts w:ascii="Times New Roman" w:hAnsi="Times New Roman" w:eastAsia="Times New Roman" w:cs="Times New Roman"/>
        </w:rPr>
        <w:t xml:space="preserve"> </w:t>
      </w:r>
      <w:r>
        <w:rPr>
          <w:rFonts w:ascii="Leelawadee UI" w:hAnsi="Leelawadee UI" w:eastAsia="Leelawadee UI" w:cs="Leelawadee UI"/>
        </w:rPr>
        <w:t>បានធ្វើឲ្យមីល្លឺរមិនអាចទទួលស្គាល់ថា</w:t>
      </w:r>
      <w:r>
        <w:rPr>
          <w:rFonts w:ascii="Times New Roman" w:hAnsi="Times New Roman" w:eastAsia="Times New Roman" w:cs="Times New Roman"/>
        </w:rPr>
        <w:t xml:space="preserve"> </w:t>
      </w:r>
      <w:r>
        <w:rPr>
          <w:rFonts w:ascii="Leelawadee UI" w:hAnsi="Leelawadee UI" w:eastAsia="Leelawadee UI" w:cs="Leelawadee UI"/>
        </w:rPr>
        <w:t>វិវរណៈជំពូកទីដប់ពីរ</w:t>
      </w:r>
      <w:r>
        <w:rPr>
          <w:rFonts w:ascii="Times New Roman" w:hAnsi="Times New Roman" w:eastAsia="Times New Roman" w:cs="Times New Roman"/>
        </w:rPr>
        <w:t xml:space="preserve"> </w:t>
      </w:r>
      <w:r>
        <w:rPr>
          <w:rFonts w:ascii="Leelawadee UI" w:hAnsi="Leelawadee UI" w:eastAsia="Leelawadee UI" w:cs="Leelawadee UI"/>
        </w:rPr>
        <w:t>កំពុងកំណត់អត្តសញ្ញាណសាសនាព្រេងនិយម</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ហើយសត្វពីសមុទ្រក្នុងវិវរណៈជំពូកទីដប់បី</w:t>
      </w:r>
      <w:r>
        <w:rPr>
          <w:rFonts w:ascii="Times New Roman" w:hAnsi="Times New Roman" w:eastAsia="Times New Roman" w:cs="Times New Roman"/>
        </w:rPr>
        <w:t xml:space="preserve"> </w:t>
      </w:r>
      <w:r>
        <w:rPr>
          <w:rFonts w:ascii="Leelawadee UI" w:hAnsi="Leelawadee UI" w:eastAsia="Leelawadee UI" w:cs="Leelawadee UI"/>
        </w:rPr>
        <w:t>ជាសាសនាប៉ាប</w:t>
      </w:r>
      <w:r>
        <w:rPr>
          <w:rFonts w:ascii="Times New Roman" w:hAnsi="Times New Roman" w:eastAsia="Times New Roman" w:cs="Times New Roman"/>
        </w:rPr>
        <w:t xml:space="preserve"> (</w:t>
      </w:r>
      <w:r>
        <w:rPr>
          <w:rFonts w:ascii="Leelawadee UI" w:hAnsi="Leelawadee UI" w:eastAsia="Leelawadee UI" w:cs="Leelawadee UI"/>
        </w:rPr>
        <w:t>សត្វ</w:t>
      </w:r>
      <w:r>
        <w:rPr>
          <w:rFonts w:ascii="Times New Roman" w:hAnsi="Times New Roman" w:eastAsia="Times New Roman" w:cs="Times New Roman"/>
        </w:rPr>
        <w:t xml:space="preserve">) </w:t>
      </w:r>
      <w:r>
        <w:rPr>
          <w:rFonts w:ascii="Leelawadee UI" w:hAnsi="Leelawadee UI" w:eastAsia="Leelawadee UI" w:cs="Leelawadee UI"/>
        </w:rPr>
        <w:t>និងសត្វពីផែនដីក្នុងវិវរណៈជំពូកទីដប់បី</w:t>
      </w:r>
      <w:r>
        <w:rPr>
          <w:rFonts w:ascii="Times New Roman" w:hAnsi="Times New Roman" w:eastAsia="Times New Roman" w:cs="Times New Roman"/>
        </w:rPr>
        <w:t xml:space="preserve"> </w:t>
      </w:r>
      <w:r>
        <w:rPr>
          <w:rFonts w:ascii="Leelawadee UI" w:hAnsi="Leelawadee UI" w:eastAsia="Leelawadee UI" w:cs="Leelawadee UI"/>
        </w:rPr>
        <w:t>ជាប្រូតេស្តង់ក្បត់ជំនឿ</w:t>
      </w:r>
      <w:r>
        <w:rPr>
          <w:rFonts w:ascii="Times New Roman" w:hAnsi="Times New Roman" w:eastAsia="Times New Roman" w:cs="Times New Roman"/>
        </w:rPr>
        <w:t xml:space="preserve"> (</w:t>
      </w:r>
      <w:r>
        <w:rPr>
          <w:rFonts w:ascii="Leelawadee UI" w:hAnsi="Leelawadee UI" w:eastAsia="Leelawadee UI" w:cs="Leelawadee UI"/>
        </w:rPr>
        <w:t>ហោរាក្លែងក្លាយ</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Miller konnte den Drachen, das Tier und den falschen Propheten in den Kapiteln zwölf und dreizehn der Offenbarung nicht als drei aufeinanderfolgende Königreiche erkennen und sah sich daher durch seine prophetische Logik gezwungen, anzunehmen, dass die beiden Kapitel keine fortlaufende Darstellung der drei Mächte seien, die die Welt nach Harmagedon führen. Das Licht, das Miller gegeben wurde, war das vollkommene Licht für seine Generation, und seine Generation wurde durch dieses Licht geprüft.</w:t>
      </w:r>
    </w:p>
    <w:p>
      <w:pPr>
        <w:pStyle w:val="ArticleBody"/>
        <w:jc w:val="left"/>
      </w:pPr>
      <w:r>
        <w:rPr>
          <w:rFonts w:ascii="Times New Roman" w:hAnsi="Times New Roman" w:eastAsia="Times New Roman" w:cs="Times New Roman"/>
        </w:rPr>
        <w:t>Imbaraga z’amatongo eshatu (ikiyoka, inyamaswa n’umuhanuzi w’ibinyoma), zatanzwe kuri Future for America mu “gihe cy’imperuka,” mu mwaka wa 1989. Umurongo wa Daniyeli wafunguwe igihe Leta Zunze Ubumwe z’Abasoviyeti zasenyukaga, mu isohozwa rya Daniyeli igice cya cumi na kimwe, umurongo wa mirongo ine, ni wo wari umucyo w’umumarayika wa gatatu, naho Miller akaba yari yarahawe umucyo w’umumarayika wa mbere. Imirongo itandatu ya nyuma ya Daniyeli igice cya cumi na kimwe, yabonetse ko ari yo rufatiro n’inkingi nkuru by’umuryango wa Future for America, kandi umurongo wa mirongo ine wo muri Daniyeli igice cya cumi na kimwe uhuza muri make uwo mucyo, nk’uko imirongo ya cumi na gatatu na cumi na kane yo muri Daniyeli igice cya munani yahuje muri make umucyo wafunguwe mu rugendo rw’Abamillerite.</w:t>
      </w:r>
    </w:p>
    <w:p>
      <w:pPr>
        <w:pStyle w:val="ArticleScripture"/>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w:t>
      </w:r>
      <w:r>
        <w:rPr>
          <w:rFonts w:ascii="Times New Roman" w:hAnsi="Times New Roman" w:eastAsia="Times New Roman" w:cs="Times New Roman"/>
        </w:rPr>
        <w:t xml:space="preserve"> </w:t>
      </w:r>
      <w:r>
        <w:rPr>
          <w:rFonts w:ascii="Nirmala UI" w:hAnsi="Nirmala UI" w:eastAsia="Nirmala UI" w:cs="Nirmala UI"/>
        </w:rPr>
        <w:t>सुनले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धक्का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रथ</w:t>
      </w:r>
      <w:r>
        <w:rPr>
          <w:rFonts w:ascii="Times New Roman" w:hAnsi="Times New Roman" w:eastAsia="Times New Roman" w:cs="Times New Roman"/>
        </w:rPr>
        <w:t xml:space="preserve">, </w:t>
      </w:r>
      <w:r>
        <w:rPr>
          <w:rFonts w:ascii="Nirmala UI" w:hAnsi="Nirmala UI" w:eastAsia="Nirmala UI" w:cs="Nirmala UI"/>
        </w:rPr>
        <w:t>घुड़सवार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जहाजन</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बवंडर</w:t>
      </w:r>
      <w:r>
        <w:rPr>
          <w:rFonts w:ascii="Times New Roman" w:hAnsi="Times New Roman" w:eastAsia="Times New Roman" w:cs="Times New Roman"/>
        </w:rPr>
        <w:t xml:space="preserve"> </w:t>
      </w:r>
      <w:r>
        <w:rPr>
          <w:rFonts w:ascii="Nirmala UI" w:hAnsi="Nirmala UI" w:eastAsia="Nirmala UI" w:cs="Nirmala UI"/>
        </w:rPr>
        <w:t>नियन</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w:t>
      </w:r>
      <w:r>
        <w:rPr>
          <w:rFonts w:ascii="Times New Roman" w:hAnsi="Times New Roman" w:eastAsia="Times New Roman" w:cs="Times New Roman"/>
        </w:rPr>
        <w:t xml:space="preserve"> </w:t>
      </w:r>
      <w:r>
        <w:rPr>
          <w:rFonts w:ascii="Nirmala UI" w:hAnsi="Nirmala UI" w:eastAsia="Nirmala UI" w:cs="Nirmala UI"/>
        </w:rPr>
        <w:t>अइहें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देशन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जइहें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उमड़त</w:t>
      </w:r>
      <w:r>
        <w:rPr>
          <w:rFonts w:ascii="Times New Roman" w:hAnsi="Times New Roman" w:eastAsia="Times New Roman" w:cs="Times New Roman"/>
        </w:rPr>
        <w:t>-</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जइहें।</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11:40.</w:t>
      </w:r>
    </w:p>
    <w:p>
      <w:pPr>
        <w:pStyle w:val="ArticleBody"/>
        <w:jc w:val="left"/>
      </w:pPr>
      <w:r>
        <w:rPr>
          <w:rFonts w:ascii="Times New Roman" w:hAnsi="Times New Roman" w:eastAsia="Times New Roman" w:cs="Times New Roman"/>
        </w:rPr>
        <w:t>A estrofe identifica uma guerra que começou no “tempo do fim”, em 1798, entre o rei do sul e o rei do norte. O rei do sul representava a França ateísta, que naquele mesmo ano infligiu à supremacia papal a ferida mortal. O papado é ali representado como o rei do norte. A França, profeticamente em 1798, era um décimo dos dez reinos de Daniel capítulo sete. Esses dez reinos representam a Roma pagã, e a Roma pagã representa o dragão. O papado (o rei do norte) representa a besta. A estrofe identifica que o rei do norte (o papado), ao qual havia sido infligida sua ferida mortal na abertura da estrofe, por fim retaliaria contra o rei do sul (o rei do ateísmo). Quando o papado de fato retaliou, o rei do ateísmo havia se transferido da nação da França para a confederação da União Soviética. A França era uma só nação; contudo, quando o papado retaliou contra o rei do sul na estrofe, o rei do sul foi identificado como “países”, como ocorria com a antiga União Soviética.</w:t>
      </w:r>
    </w:p>
    <w:p>
      <w:pPr>
        <w:pStyle w:val="ArticleBody"/>
        <w:jc w:val="left"/>
      </w:pPr>
      <w:r>
        <w:rPr>
          <w:rFonts w:ascii="Times New Roman" w:hAnsi="Times New Roman" w:eastAsia="Times New Roman" w:cs="Times New Roman"/>
        </w:rPr>
        <w:t>هڤتالا اتوڠارا (الڤاپاسي) ممبالس، ا منداتڠكن برسرتا “كريتا ڤرانݢ”، “ڤنغندا كودا” دان “باڽق كاپل.” كريتا ڤرانݢ دان ڤنغندا كودا اداله لمباڠ كekuatan كنتنتراان، دان كاپل اداله لمباڠ كekuatan ايكونومي. كواس يڠ ممبنتوق ڤرسكوتوان يڠ تيدق كدوس دڠن الڤاپاسي دمي مروبوهن كساتوان سوڤييت ialه امريكا شريكت، دان دوا كekuatan امريكا شريكت دالم وحي فاصل تيݢ بلس ديكنل ڤستي سباݢاي كبيولهـنڽ ممكسا دنيا منريما تندا كواسا الڤاپاسي مللوي كekuatan سڠجاتا دان ايكونومي. منوسيا اكن ديلارن ممبلي اتاو منجوال تنڤا تندا ايت، دان كمودين لبيه جاوه لاݢي، تنڤا تندا ايت، منوسيا اكن دبوهن.</w:t>
      </w:r>
    </w:p>
    <w:p>
      <w:pPr>
        <w:pStyle w:val="ArticleBody"/>
        <w:jc w:val="left"/>
      </w:pPr>
      <w:r>
        <w:rPr>
          <w:rFonts w:ascii="Times New Roman" w:hAnsi="Times New Roman" w:eastAsia="Times New Roman" w:cs="Times New Roman"/>
        </w:rPr>
        <w:t>أربعون الآية تُعرِّف على نحو مباشر التنينَ (ملكَ الجنوب)، والوحشَ (البابوية)، والنبيَّ الكذّابَ (الولايات المتحدة). فالآيةُ التأسيسيةُ لـ «وقت النهاية» في عام 1989 تُحدِّد القوى الثلاث المُخرِّبة التي تقود العالم إلى هرمجدون، تمامًا كما حدَّدت الآياتُ التأسيسيةُ للحركة الميلرية القوتين المُخرِّبتين: الوثنيةَ، تتبعها البابوية.</w:t>
      </w:r>
    </w:p>
    <w:p>
      <w:pPr>
        <w:pStyle w:val="ArticleBody"/>
        <w:jc w:val="left"/>
      </w:pPr>
      <w:r>
        <w:rPr>
          <w:rFonts w:ascii="Times New Roman" w:hAnsi="Times New Roman" w:eastAsia="Times New Roman" w:cs="Times New Roman"/>
        </w:rPr>
        <w:t>Le verset commence par un combat entre le roi du sud et le roi du nord. Au début du verset (1798), le roi du sud l’emporte, mais dans le verset, le roi du nord riposte et l’emporte sur le roi du sud. Le début du verset marque le combat entre le roi du nord et le roi du sud, et dans la conclusion du message contenu dans le verset, ce même combat entre les rois du nord et du sud est illustré, mais avec des résultats opposés. Le commencement a marqué le « temps de la fin » en 1798, et le combat final marque le « temps de la fin » en 1989. Le verset contient, dans son témoignage écrit, la signature Alpha et Oméga, le commencement et la fin.</w:t>
      </w:r>
    </w:p>
    <w:p>
      <w:pPr>
        <w:pStyle w:val="ArticleBody"/>
        <w:jc w:val="left"/>
      </w:pPr>
      <w:r>
        <w:rPr>
          <w:rFonts w:ascii="Times New Roman" w:hAnsi="Times New Roman" w:eastAsia="Times New Roman" w:cs="Times New Roman"/>
        </w:rPr>
        <w:t>L’histoire réelle du verset se poursuit au-delà de l’effondrement de l’Union soviétique en 1989, jusqu’à la loi du dimanche du verset quarante et un. À la loi du dimanche, l’union tripartite de la Babylone moderne est amenée à l’existence par une série d’événements rapides. Le verset quarante commence donc lorsque la blessure mortelle est infligée en 1798 et que la prostituée de Tyr est oubliée. L’histoire représentée par le verset s’achève entièrement à la loi du dimanche du verset quarante et un, où la blessure mortelle est guérie et où la prostituée de Tyr est rappelée. La marque distinctive du commencement et de la fin est inscrite non seulement dans le texte que l’on trouve dans le verset, mais aussi dans l’histoire complète représentée par le verset. Le verset identifie le cadre prophétique qui repose non pas simplement sur le paganisme (le dragon) et le papisme (la bête), mais il met en évidence la structure des trois puissances dévastatrices qui conduisent le monde à Armageddon.</w:t>
      </w:r>
    </w:p>
    <w:p>
      <w:pPr>
        <w:pStyle w:val="ArticleBody"/>
        <w:jc w:val="left"/>
      </w:pPr>
      <w:r>
        <w:rPr>
          <w:rFonts w:ascii="Times New Roman" w:hAnsi="Times New Roman" w:eastAsia="Times New Roman" w:cs="Times New Roman"/>
        </w:rPr>
        <w:t>Le cadre prophétique de Miller annonçait l’arrivée du jugement investigatif de Dieu, et le cadre prophétique de Future for America annonce l’arrivée du jugement exécutif de Dieu. Au « temps de la fin », en 1989, un processus de mise à l’épreuve et de purification en trois étapes commença lorsque les six derniers versets de Daniel onze furent descellés lors de l’effondrement de l’Union soviétique. La particularité de Miller, qui ne voyait que le paganisme et la papauté, et ne voyait pas le protestantisme apostat, doit être comprise afin de comprendre correctement la vision du fleuve Ulaï, qui fut descellée en 1798.</w:t>
      </w:r>
    </w:p>
    <w:p>
      <w:pPr>
        <w:pStyle w:val="ArticleBody"/>
        <w:jc w:val="left"/>
      </w:pPr>
      <w:r>
        <w:rPr>
          <w:rFonts w:ascii="Times New Roman" w:hAnsi="Times New Roman" w:eastAsia="Times New Roman" w:cs="Times New Roman"/>
        </w:rPr>
        <w:t>Nous poursuivrons cet examen dans le prochain article.</w:t>
      </w:r>
    </w:p>
    <w:p>
      <w:pPr>
        <w:pStyle w:val="ArticleScripture"/>
        <w:jc w:val="left"/>
      </w:pPr>
      <w:r>
        <w:rPr>
          <w:rFonts w:ascii="Times New Roman" w:hAnsi="Times New Roman" w:eastAsia="Times New Roman" w:cs="Times New Roman"/>
        </w:rPr>
        <w:t>“Chúng ta không có thời giờ để đánh mất. Những thời kỳ hoạn nạn ở ngay trước mặt chúng ta. Thế gian đang bị khuấy động bởi tinh thần chiến tranh. Chẳng bao lâu nữa, những cảnh tượng hoạn nạn đã được nói đến trong các lời tiên tri sẽ xảy ra. Lời tiên tri trong chương mười một sách Đa-ni-ên đã gần đạt đến sự ứng nghiệm trọn vẹn. Phần lớn lịch sử đã diễn ra để ứng nghiệm lời tiên tri này sẽ được lặp lại.”</w:t>
      </w:r>
    </w:p>
    <w:p>
      <w:pPr>
        <w:pStyle w:val="ArticleScripture"/>
        <w:jc w:val="left"/>
      </w:pPr>
      <w:r>
        <w:rPr>
          <w:rFonts w:ascii="Times New Roman" w:hAnsi="Times New Roman" w:eastAsia="Times New Roman" w:cs="Times New Roman"/>
        </w:rPr>
        <w:t>“Sa ikatlumpung talata ay binanggit ang isang kapangyarihan na ‘verses 30 through thirty-six quoted.’”</w:t>
      </w:r>
    </w:p>
    <w:p>
      <w:pPr>
        <w:pStyle w:val="ArticleScripture"/>
        <w:jc w:val="left"/>
      </w:pPr>
      <w:r>
        <w:rPr>
          <w:rFonts w:ascii="Times New Roman" w:hAnsi="Times New Roman" w:eastAsia="Times New Roman" w:cs="Times New Roman"/>
        </w:rPr>
        <w:t>«</w:t>
      </w:r>
      <w:r>
        <w:rPr>
          <w:rFonts w:ascii="Ebrima" w:hAnsi="Ebrima" w:eastAsia="Ebrima" w:cs="Ebrima"/>
        </w:rPr>
        <w:t>ከእነዚህ</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ከተገለጹት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የሆኑ</w:t>
      </w:r>
      <w:r>
        <w:rPr>
          <w:rFonts w:ascii="Times New Roman" w:hAnsi="Times New Roman" w:eastAsia="Times New Roman" w:cs="Times New Roman"/>
        </w:rPr>
        <w:t xml:space="preserve"> </w:t>
      </w:r>
      <w:r>
        <w:rPr>
          <w:rFonts w:ascii="Ebrima" w:hAnsi="Ebrima" w:eastAsia="Ebrima" w:cs="Ebrima"/>
        </w:rPr>
        <w:t>ትዕይንቶች</w:t>
      </w:r>
      <w:r>
        <w:rPr>
          <w:rFonts w:ascii="Times New Roman" w:hAnsi="Times New Roman" w:eastAsia="Times New Roman" w:cs="Times New Roman"/>
        </w:rPr>
        <w:t xml:space="preserve"> </w:t>
      </w:r>
      <w:r>
        <w:rPr>
          <w:rFonts w:ascii="Ebrima" w:hAnsi="Ebrima" w:eastAsia="Ebrima" w:cs="Ebrima"/>
        </w:rPr>
        <w:t>ይፈጸማሉ።</w:t>
      </w:r>
      <w:r>
        <w:rPr>
          <w:rFonts w:ascii="Times New Roman" w:hAnsi="Times New Roman" w:eastAsia="Times New Roman" w:cs="Times New Roman"/>
        </w:rPr>
        <w:t xml:space="preserve">» Manuscript Releases, </w:t>
      </w:r>
      <w:r>
        <w:rPr>
          <w:rFonts w:ascii="Ebrima" w:hAnsi="Ebrima" w:eastAsia="Ebrima" w:cs="Ebrima"/>
        </w:rPr>
        <w:t>ቁጥር</w:t>
      </w:r>
      <w:r>
        <w:rPr>
          <w:rFonts w:ascii="Times New Roman" w:hAnsi="Times New Roman" w:eastAsia="Times New Roman" w:cs="Times New Roman"/>
        </w:rPr>
        <w:t xml:space="preserve">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trente-cinq</dc:title>
  <dc:subject>Dévoilement du cadre prophétique : la compréhension de William Miller et les trois puissances dévastatrices conduisant à Armageddon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