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Tiga Puluh Enam</w:t>
      </w:r>
    </w:p>
    <w:p>
      <w:pPr>
        <w:pStyle w:val="ArticleSubtitle"/>
        <w:jc w:val="left"/>
      </w:pPr>
      <w:r>
        <w:rPr>
          <w:rFonts w:ascii="Arial" w:hAnsi="Arial" w:eastAsia="Arial" w:cs="Arial"/>
        </w:rPr>
        <w:t>Nebucadneţar’ın Peygamberlik Sembolizmi: Millerit Hareketi’nin Tarihî Yol İşaretlerinin ve Ulai Irmağı’nın Mühürlü Görümünün Açığa Çıkarılması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 chapitre un représente l’histoire des premier et deuxième anges du 11 août 1840 jusqu’au 22 octobre 1844. Daniel chapitre quatre traite également de l’histoire des premier et deuxième anges depuis 723 av. J.-C. jusqu’au 22 octobre 1844. Bien entendu, il est impossible de voir cela sans la méthodologie de la pluie de l’arrière-saison, « précepte sur précepte ».</w:t>
      </w:r>
    </w:p>
    <w:p>
      <w:pPr>
        <w:pStyle w:val="ArticleBody"/>
        <w:jc w:val="left"/>
      </w:pPr>
      <w:r>
        <w:rPr>
          <w:rFonts w:ascii="Nirmala UI" w:hAnsi="Nirmala UI" w:eastAsia="Nirmala UI" w:cs="Nirmala UI"/>
        </w:rPr>
        <w:t>নবূখদনেজর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জটিল</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উলাই</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গুরুত্বপূর্ণ।</w:t>
      </w:r>
      <w:r>
        <w:rPr>
          <w:rFonts w:ascii="Times New Roman" w:hAnsi="Times New Roman" w:eastAsia="Times New Roman" w:cs="Times New Roman"/>
        </w:rPr>
        <w:t xml:space="preserve"> </w:t>
      </w:r>
      <w:r>
        <w:rPr>
          <w:rFonts w:ascii="Nirmala UI" w:hAnsi="Nirmala UI" w:eastAsia="Nirmala UI" w:cs="Nirmala UI"/>
        </w:rPr>
        <w:t>নবূখদনেজরের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স্বপ্ন</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স্বপ্নের</w:t>
      </w:r>
      <w:r>
        <w:rPr>
          <w:rFonts w:ascii="Times New Roman" w:hAnsi="Times New Roman" w:eastAsia="Times New Roman" w:cs="Times New Roman"/>
        </w:rPr>
        <w:t xml:space="preserve"> </w:t>
      </w:r>
      <w:r>
        <w:rPr>
          <w:rFonts w:ascii="Nirmala UI" w:hAnsi="Nirmala UI" w:eastAsia="Nirmala UI" w:cs="Nirmala UI"/>
        </w:rPr>
        <w:t>অনুরূপ</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পুস্তককে</w:t>
      </w:r>
      <w:r>
        <w:rPr>
          <w:rFonts w:ascii="Times New Roman" w:hAnsi="Times New Roman" w:eastAsia="Times New Roman" w:cs="Times New Roman"/>
        </w:rPr>
        <w:t xml:space="preserve"> </w:t>
      </w:r>
      <w:r>
        <w:rPr>
          <w:rFonts w:ascii="Nirmala UI" w:hAnsi="Nirmala UI" w:eastAsia="Nirmala UI" w:cs="Nirmala UI"/>
        </w:rPr>
        <w:t>একসূত্রে</w:t>
      </w:r>
      <w:r>
        <w:rPr>
          <w:rFonts w:ascii="Times New Roman" w:hAnsi="Times New Roman" w:eastAsia="Times New Roman" w:cs="Times New Roman"/>
        </w:rPr>
        <w:t xml:space="preserve"> </w:t>
      </w:r>
      <w:r>
        <w:rPr>
          <w:rFonts w:ascii="Nirmala UI" w:hAnsi="Nirmala UI" w:eastAsia="Nirmala UI" w:cs="Nirmala UI"/>
        </w:rPr>
        <w:t>গেঁথে</w:t>
      </w:r>
      <w:r>
        <w:rPr>
          <w:rFonts w:ascii="Times New Roman" w:hAnsi="Times New Roman" w:eastAsia="Times New Roman" w:cs="Times New Roman"/>
        </w:rPr>
        <w:t xml:space="preserve"> </w:t>
      </w:r>
      <w:r>
        <w:rPr>
          <w:rFonts w:ascii="Nirmala UI" w:hAnsi="Nirmala UI" w:eastAsia="Nirmala UI" w:cs="Nirmala UI"/>
        </w:rPr>
        <w:t>রেখেছে।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নবূখদনেজরের</w:t>
      </w:r>
      <w:r>
        <w:rPr>
          <w:rFonts w:ascii="Times New Roman" w:hAnsi="Times New Roman" w:eastAsia="Times New Roman" w:cs="Times New Roman"/>
        </w:rPr>
        <w:t xml:space="preserve"> </w:t>
      </w:r>
      <w:r>
        <w:rPr>
          <w:rFonts w:ascii="Nirmala UI" w:hAnsi="Nirmala UI" w:eastAsia="Nirmala UI" w:cs="Nirmala UI"/>
        </w:rPr>
        <w:t>স্বপ্নের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বার্তাটির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শেষকালে</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Lorsque le jugement dont Nebucadnetsar avait été averti arriva, cette venue préfigurait le 22 octobre 1844, lorsque le jugement d’instruction commença. Dans le chapitre quatre, tant le message d’avertissement donné par Daniel que l’arrivée du jugement lié à ce message d’avertissement étaient représentés par le mot « heure ». L’« heure » du jugement de Nebucadnetsar représentait l’« heure » du jugement de Dieu dans le message du premier ange. Elle préfigurait aussi l’« heure » de la loi du dimanche, lorsque le jugement exécutif de Dieu commence. La portion du chapitre quatre de Daniel qui représente l’arrivée du message du premier ange en 1798, et l’arrivée du troisième ange le 22 octobre 1844, laquelle est symbolisée par le mot « heure », est ensuite répétée et développée. La méthode de répétition et d’amplification est une méthode prophétique qui revient à maintes reprises dans la prophétie, mais tout particulièrement dans le livre de Daniel.</w:t>
      </w:r>
    </w:p>
    <w:p>
      <w:pPr>
        <w:pStyle w:val="ArticleBody"/>
        <w:jc w:val="left"/>
      </w:pPr>
      <w:r>
        <w:rPr>
          <w:rFonts w:ascii="Leelawadee UI" w:hAnsi="Leelawadee UI" w:eastAsia="Leelawadee UI" w:cs="Leelawadee UI"/>
        </w:rPr>
        <w:t>เมื่อเนบูคัดเนสซาร์มาถึง</w:t>
      </w:r>
      <w:r>
        <w:rPr>
          <w:rFonts w:ascii="Times New Roman" w:hAnsi="Times New Roman" w:eastAsia="Times New Roman" w:cs="Times New Roman"/>
        </w:rPr>
        <w:t xml:space="preserve"> “</w:t>
      </w:r>
      <w:r>
        <w:rPr>
          <w:rFonts w:ascii="Leelawadee UI" w:hAnsi="Leelawadee UI" w:eastAsia="Leelawadee UI" w:cs="Leelawadee UI"/>
        </w:rPr>
        <w:t>ชั่วโมง</w:t>
      </w:r>
      <w:r>
        <w:rPr>
          <w:rFonts w:ascii="Times New Roman" w:hAnsi="Times New Roman" w:eastAsia="Times New Roman" w:cs="Times New Roman"/>
        </w:rPr>
        <w:t xml:space="preserve">” </w:t>
      </w:r>
      <w:r>
        <w:rPr>
          <w:rFonts w:ascii="Leelawadee UI" w:hAnsi="Leelawadee UI" w:eastAsia="Leelawadee UI" w:cs="Leelawadee UI"/>
        </w:rPr>
        <w:t>แห่งการพิพากษาแล้ว</w:t>
      </w:r>
      <w:r>
        <w:rPr>
          <w:rFonts w:ascii="Times New Roman" w:hAnsi="Times New Roman" w:eastAsia="Times New Roman" w:cs="Times New Roman"/>
        </w:rPr>
        <w:t xml:space="preserve"> “</w:t>
      </w:r>
      <w:r>
        <w:rPr>
          <w:rFonts w:ascii="Leelawadee UI" w:hAnsi="Leelawadee UI" w:eastAsia="Leelawadee UI" w:cs="Leelawadee UI"/>
        </w:rPr>
        <w:t>เจ็ดกาลเวลา</w:t>
      </w:r>
      <w:r>
        <w:rPr>
          <w:rFonts w:ascii="Times New Roman" w:hAnsi="Times New Roman" w:eastAsia="Times New Roman" w:cs="Times New Roman"/>
        </w:rPr>
        <w:t xml:space="preserve">” </w:t>
      </w:r>
      <w:r>
        <w:rPr>
          <w:rFonts w:ascii="Leelawadee UI" w:hAnsi="Leelawadee UI" w:eastAsia="Leelawadee UI" w:cs="Leelawadee UI"/>
        </w:rPr>
        <w:t>ซึ่งเป็นการพิพากษาของเขาก็เริ่มต้นขึ้น</w:t>
      </w:r>
      <w:r>
        <w:rPr>
          <w:rFonts w:ascii="Times New Roman" w:hAnsi="Times New Roman" w:eastAsia="Times New Roman" w:cs="Times New Roman"/>
        </w:rPr>
        <w:t xml:space="preserve"> </w:t>
      </w:r>
      <w:r>
        <w:rPr>
          <w:rFonts w:ascii="Leelawadee UI" w:hAnsi="Leelawadee UI" w:eastAsia="Leelawadee UI" w:cs="Leelawadee UI"/>
        </w:rPr>
        <w:t>และในฐานะกษัตริย์แห่งฝ่ายเหนือ</w:t>
      </w:r>
      <w:r>
        <w:rPr>
          <w:rFonts w:ascii="Times New Roman" w:hAnsi="Times New Roman" w:eastAsia="Times New Roman" w:cs="Times New Roman"/>
        </w:rPr>
        <w:t xml:space="preserve"> </w:t>
      </w:r>
      <w:r>
        <w:rPr>
          <w:rFonts w:ascii="Leelawadee UI" w:hAnsi="Leelawadee UI" w:eastAsia="Leelawadee UI" w:cs="Leelawadee UI"/>
        </w:rPr>
        <w:t>เขาจึงเป็นตัวแทนของการพิพากษาที่นำมาสู่ราชอาณาจักรฝ่ายเหนือของอิสราเอลในปี</w:t>
      </w:r>
      <w:r>
        <w:rPr>
          <w:rFonts w:ascii="Times New Roman" w:hAnsi="Times New Roman" w:eastAsia="Times New Roman" w:cs="Times New Roman"/>
        </w:rPr>
        <w:t xml:space="preserve"> 723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เขาได้รับจิตใจของสัตว์ร้าย</w:t>
      </w:r>
      <w:r>
        <w:rPr>
          <w:rFonts w:ascii="Times New Roman" w:hAnsi="Times New Roman" w:eastAsia="Times New Roman" w:cs="Times New Roman"/>
        </w:rPr>
        <w:t xml:space="preserve"> </w:t>
      </w:r>
      <w:r>
        <w:rPr>
          <w:rFonts w:ascii="Leelawadee UI" w:hAnsi="Leelawadee UI" w:eastAsia="Leelawadee UI" w:cs="Leelawadee UI"/>
        </w:rPr>
        <w:t>และสัตว์ร้ายในคำพยากรณ์แห่งพระคัมภีร์หมายถึงอาณาจักรหนึ่ง</w:t>
      </w:r>
      <w:r>
        <w:rPr>
          <w:rFonts w:ascii="Times New Roman" w:hAnsi="Times New Roman" w:eastAsia="Times New Roman" w:cs="Times New Roman"/>
        </w:rPr>
        <w:t xml:space="preserve"> </w:t>
      </w:r>
      <w:r>
        <w:rPr>
          <w:rFonts w:ascii="Leelawadee UI" w:hAnsi="Leelawadee UI" w:eastAsia="Leelawadee UI" w:cs="Leelawadee UI"/>
        </w:rPr>
        <w:t>และตั้งแต่ปี</w:t>
      </w:r>
      <w:r>
        <w:rPr>
          <w:rFonts w:ascii="Times New Roman" w:hAnsi="Times New Roman" w:eastAsia="Times New Roman" w:cs="Times New Roman"/>
        </w:rPr>
        <w:t xml:space="preserve"> 723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จนถึงปี</w:t>
      </w:r>
      <w:r>
        <w:rPr>
          <w:rFonts w:ascii="Times New Roman" w:hAnsi="Times New Roman" w:eastAsia="Times New Roman" w:cs="Times New Roman"/>
        </w:rPr>
        <w:t xml:space="preserve"> 1798 </w:t>
      </w:r>
      <w:r>
        <w:rPr>
          <w:rFonts w:ascii="Leelawadee UI" w:hAnsi="Leelawadee UI" w:eastAsia="Leelawadee UI" w:cs="Leelawadee UI"/>
        </w:rPr>
        <w:t>เขาเป็นตัวแทนของลัทธินอกศาสนาสองรูปแบบซึ่งมักเป็นหัวข้อสำคัญของพระธรรมดาเนียลอย่างยิ่งยวด</w:t>
      </w:r>
    </w:p>
    <w:p>
      <w:pPr>
        <w:pStyle w:val="ArticleBody"/>
        <w:jc w:val="left"/>
      </w:pPr>
      <w:r>
        <w:rPr>
          <w:rFonts w:ascii="Times New Roman" w:hAnsi="Times New Roman" w:eastAsia="Times New Roman" w:cs="Times New Roman"/>
        </w:rPr>
        <w:t>Pendant mille deux cent soixante jours, représentant mille deux cent soixante années, il représenta la puissance dévastatrice païenne; puis, durant encore mille deux cent soixante jours, symbolisant mille deux cent soixante années, il représenta la puissance dévastatrice papale. Le cœur de ces deux puissances dévastatrices était le même, car le papalisme n’est rien d’autre que le paganisme revêtu de la profession du christianisme.</w:t>
      </w:r>
    </w:p>
    <w:p>
      <w:pPr>
        <w:pStyle w:val="ArticleBody"/>
        <w:jc w:val="left"/>
      </w:pPr>
      <w:r>
        <w:rPr>
          <w:rFonts w:ascii="Times New Roman" w:hAnsi="Times New Roman" w:eastAsia="Times New Roman" w:cs="Times New Roman"/>
        </w:rPr>
        <w:t>Na “conclusão dos dias”, que é um símbolo identificado em Daniel capítulo doze, o qual representa o “tempo do fim” em 1798, o seu reino lhe foi restituído. O testemunho de Daniel 4, e o Espírito de Profecia, identificam que, quando o seu reino lhe foi restituído na “conclusão dos dias”, ele era um homem convertido. Ele então se torna um símbolo profético de quatro verdades significativas. Ele se torna o elo profético entre o poder do dragão do paganismo, que ele representou na primeira metade dos seus “sete tempos”, e o poder da besta, que ele representou na última metade dos seus “sete tempos”. Como símbolo desses dois poderes, permanecendo como um reino restaurado em 1798, ele então representa o terceiro poder assolador (o falso profeta), que deveria reinar por setenta anos simbólicos, enquanto a prostituta de Tiro era esquecida. Como rei de Babilônia, Nabucodonosor representa o elo profético entre os três poderes que se tornariam a Babilônia moderna nos últimos dias, a qual então conduz o mundo ao Armagedom.</w:t>
      </w:r>
    </w:p>
    <w:p>
      <w:pPr>
        <w:pStyle w:val="ArticleBody"/>
        <w:jc w:val="left"/>
      </w:pP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जन्मलाई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थुमाजस्तो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गर्नुहुन्थ्यो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गणतन्त्रवाद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शक्तिलाई</w:t>
      </w:r>
      <w:r>
        <w:rPr>
          <w:rFonts w:ascii="Times New Roman" w:hAnsi="Times New Roman" w:eastAsia="Times New Roman" w:cs="Times New Roman"/>
        </w:rPr>
        <w:t xml:space="preserve"> </w:t>
      </w:r>
      <w:r>
        <w:rPr>
          <w:rFonts w:ascii="Nirmala UI" w:hAnsi="Nirmala UI" w:eastAsia="Nirmala UI" w:cs="Nirmala UI"/>
        </w:rPr>
        <w:t>जनाउँथ्यो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अनुगृहित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तुल्यायो।</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गणतन्त्रवाद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हुनेथिए।</w:t>
      </w:r>
      <w:r>
        <w:rPr>
          <w:rFonts w:ascii="Times New Roman" w:hAnsi="Times New Roman" w:eastAsia="Times New Roman" w:cs="Times New Roman"/>
        </w:rPr>
        <w:t xml:space="preserve"> </w:t>
      </w:r>
      <w:r>
        <w:rPr>
          <w:rFonts w:ascii="Nirmala UI" w:hAnsi="Nirmala UI" w:eastAsia="Nirmala UI" w:cs="Nirmala UI"/>
        </w:rPr>
        <w:t>गणतन्त्रवादको</w:t>
      </w:r>
      <w:r>
        <w:rPr>
          <w:rFonts w:ascii="Times New Roman" w:hAnsi="Times New Roman" w:eastAsia="Times New Roman" w:cs="Times New Roman"/>
        </w:rPr>
        <w:t xml:space="preserve"> </w:t>
      </w:r>
      <w:r>
        <w:rPr>
          <w:rFonts w:ascii="Nirmala UI" w:hAnsi="Nirmala UI" w:eastAsia="Nirmala UI" w:cs="Nirmala UI"/>
        </w:rPr>
        <w:t>सिङमा</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सिद्धान्तहरूलाई</w:t>
      </w:r>
      <w:r>
        <w:rPr>
          <w:rFonts w:ascii="Times New Roman" w:hAnsi="Times New Roman" w:eastAsia="Times New Roman" w:cs="Times New Roman"/>
        </w:rPr>
        <w:t xml:space="preserve"> </w:t>
      </w:r>
      <w:r>
        <w:rPr>
          <w:rFonts w:ascii="Nirmala UI" w:hAnsi="Nirmala UI" w:eastAsia="Nirmala UI" w:cs="Nirmala UI"/>
        </w:rPr>
        <w:t>खुलेआम</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डेमोक्र्याटिक</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रक्षक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पक्षधर</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सिद्धान्तहरूलाई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दस्तावेजभित्रका</w:t>
      </w:r>
      <w:r>
        <w:rPr>
          <w:rFonts w:ascii="Times New Roman" w:hAnsi="Times New Roman" w:eastAsia="Times New Roman" w:cs="Times New Roman"/>
        </w:rPr>
        <w:t xml:space="preserve"> </w:t>
      </w:r>
      <w:r>
        <w:rPr>
          <w:rFonts w:ascii="Nirmala UI" w:hAnsi="Nirmala UI" w:eastAsia="Nirmala UI" w:cs="Nirmala UI"/>
        </w:rPr>
        <w:t>सिद्धान्तहरूभन्दा</w:t>
      </w:r>
      <w:r>
        <w:rPr>
          <w:rFonts w:ascii="Times New Roman" w:hAnsi="Times New Roman" w:eastAsia="Times New Roman" w:cs="Times New Roman"/>
        </w:rPr>
        <w:t xml:space="preserve"> </w:t>
      </w:r>
      <w:r>
        <w:rPr>
          <w:rFonts w:ascii="Nirmala UI" w:hAnsi="Nirmala UI" w:eastAsia="Nirmala UI" w:cs="Nirmala UI"/>
        </w:rPr>
        <w:t>परम्परा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चलनलाई</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हुनेथियो।</w:t>
      </w:r>
    </w:p>
    <w:p>
      <w:pPr>
        <w:pStyle w:val="ArticleBody"/>
        <w:jc w:val="left"/>
      </w:pPr>
      <w:r>
        <w:rPr>
          <w:rFonts w:ascii="Times New Roman" w:hAnsi="Times New Roman" w:eastAsia="Times New Roman" w:cs="Times New Roman"/>
        </w:rPr>
        <w:t>اے دو جماعتاں مسیح دے زمانے وچ صدوقیاں تے فریسیاں دے وسیلے نال پیشگی طور تے ظاہر کیتیاں گئیاں سن۔ صدوقیاں تے فریسیاں دی روح مرتد پروٹسٹنٹ ازم دے سینگ وچ وی ظاہر ہووے گی، جتھے اک طبقہ اتوار دی عبادت نوں قائم رکھے گا تے دوجا سبت دی عبادت نوں۔ نبوکدنضر دی «دِنّاں دے آخر» وچ، یعنی 1798 وچ، تبدیل شدہ حالت، موزوں طور اُتے ریاستہائے متحدہ دی نمائندگی کردی اے، تے زمین دے حیوان دے دوناں سینگاں دی وی۔ اے تِنوں نشانیاں—زمین دا حیوان تے اُہدے دو سینگ—برّے توں اژدہے وچ بدلّن لئی مقرر سَن۔</w:t>
      </w:r>
    </w:p>
    <w:p>
      <w:pPr>
        <w:pStyle w:val="ArticleBody"/>
        <w:jc w:val="left"/>
      </w:pPr>
      <w:r>
        <w:rPr>
          <w:rFonts w:ascii="Microsoft YaHei" w:hAnsi="Microsoft YaHei" w:eastAsia="Microsoft YaHei" w:cs="Microsoft YaHei"/>
        </w:rPr>
        <w:t>尼布甲尼撒在他</w:t>
      </w:r>
      <w:r>
        <w:rPr>
          <w:rFonts w:ascii="Times New Roman" w:hAnsi="Times New Roman" w:eastAsia="Times New Roman" w:cs="Times New Roman"/>
        </w:rPr>
        <w:t>“</w:t>
      </w:r>
      <w:r>
        <w:rPr>
          <w:rFonts w:ascii="Microsoft YaHei" w:hAnsi="Microsoft YaHei" w:eastAsia="Microsoft YaHei" w:cs="Microsoft YaHei"/>
        </w:rPr>
        <w:t>七期</w:t>
      </w:r>
      <w:r>
        <w:rPr>
          <w:rFonts w:ascii="Times New Roman" w:hAnsi="Times New Roman" w:eastAsia="Times New Roman" w:cs="Times New Roman"/>
        </w:rPr>
        <w:t>”</w:t>
      </w:r>
      <w:r>
        <w:rPr>
          <w:rFonts w:ascii="Microsoft YaHei" w:hAnsi="Microsoft YaHei" w:eastAsia="Microsoft YaHei" w:cs="Microsoft YaHei"/>
        </w:rPr>
        <w:t>的末了</w:t>
      </w:r>
      <w:r>
        <w:rPr>
          <w:rFonts w:ascii="Times New Roman" w:hAnsi="Times New Roman" w:eastAsia="Times New Roman" w:cs="Times New Roman"/>
        </w:rPr>
        <w:t>,</w:t>
      </w:r>
      <w:r>
        <w:rPr>
          <w:rFonts w:ascii="Microsoft YaHei" w:hAnsi="Microsoft YaHei" w:eastAsia="Microsoft YaHei" w:cs="Microsoft YaHei"/>
        </w:rPr>
        <w:t>代表了那一联系</w:t>
      </w:r>
      <w:r>
        <w:rPr>
          <w:rFonts w:ascii="Times New Roman" w:hAnsi="Times New Roman" w:eastAsia="Times New Roman" w:cs="Times New Roman"/>
        </w:rPr>
        <w:t>,</w:t>
      </w:r>
      <w:r>
        <w:rPr>
          <w:rFonts w:ascii="Microsoft YaHei" w:hAnsi="Microsoft YaHei" w:eastAsia="Microsoft YaHei" w:cs="Microsoft YaHei"/>
        </w:rPr>
        <w:t>藉此表明他字面的巴比伦国度</w:t>
      </w:r>
      <w:r>
        <w:rPr>
          <w:rFonts w:ascii="Times New Roman" w:hAnsi="Times New Roman" w:eastAsia="Times New Roman" w:cs="Times New Roman"/>
        </w:rPr>
        <w:t>,</w:t>
      </w:r>
      <w:r>
        <w:rPr>
          <w:rFonts w:ascii="Microsoft YaHei" w:hAnsi="Microsoft YaHei" w:eastAsia="Microsoft YaHei" w:cs="Microsoft YaHei"/>
        </w:rPr>
        <w:t>乃是末后日子现代巴比伦的表号</w:t>
      </w:r>
      <w:r>
        <w:rPr>
          <w:rFonts w:ascii="Times New Roman" w:hAnsi="Times New Roman" w:eastAsia="Times New Roman" w:cs="Times New Roman"/>
        </w:rPr>
        <w:t>;</w:t>
      </w:r>
      <w:r>
        <w:rPr>
          <w:rFonts w:ascii="Microsoft YaHei" w:hAnsi="Microsoft YaHei" w:eastAsia="Microsoft YaHei" w:cs="Microsoft YaHei"/>
        </w:rPr>
        <w:t>这现代巴比伦乃由龙、兽和假先知构成</w:t>
      </w:r>
      <w:r>
        <w:rPr>
          <w:rFonts w:ascii="Times New Roman" w:hAnsi="Times New Roman" w:eastAsia="Times New Roman" w:cs="Times New Roman"/>
        </w:rPr>
        <w:t>.</w:t>
      </w:r>
      <w:r>
        <w:rPr>
          <w:rFonts w:ascii="Microsoft YaHei" w:hAnsi="Microsoft YaHei" w:eastAsia="Microsoft YaHei" w:cs="Microsoft YaHei"/>
        </w:rPr>
        <w:t>他也代表了那由两角之地兽所表征的三个预言性实体</w:t>
      </w:r>
      <w:r>
        <w:rPr>
          <w:rFonts w:ascii="Times New Roman" w:hAnsi="Times New Roman" w:eastAsia="Times New Roman" w:cs="Times New Roman"/>
        </w:rPr>
        <w:t>;</w:t>
      </w:r>
      <w:r>
        <w:rPr>
          <w:rFonts w:ascii="Microsoft YaHei" w:hAnsi="Microsoft YaHei" w:eastAsia="Microsoft YaHei" w:cs="Microsoft YaHei"/>
        </w:rPr>
        <w:t>这地兽在推罗妓女被忘记的七十象征性年间</w:t>
      </w:r>
      <w:r>
        <w:rPr>
          <w:rFonts w:ascii="Times New Roman" w:hAnsi="Times New Roman" w:eastAsia="Times New Roman" w:cs="Times New Roman"/>
        </w:rPr>
        <w:t>,</w:t>
      </w:r>
      <w:r>
        <w:rPr>
          <w:rFonts w:ascii="Microsoft YaHei" w:hAnsi="Microsoft YaHei" w:eastAsia="Microsoft YaHei" w:cs="Microsoft YaHei"/>
        </w:rPr>
        <w:t>由羔羊转变为龙</w:t>
      </w:r>
      <w:r>
        <w:rPr>
          <w:rFonts w:ascii="Times New Roman" w:hAnsi="Times New Roman" w:eastAsia="Times New Roman" w:cs="Times New Roman"/>
        </w:rPr>
        <w:t>.</w:t>
      </w:r>
      <w:r>
        <w:rPr>
          <w:rFonts w:ascii="Microsoft YaHei" w:hAnsi="Microsoft YaHei" w:eastAsia="Microsoft YaHei" w:cs="Microsoft YaHei"/>
        </w:rPr>
        <w:t>值得深思的是</w:t>
      </w:r>
      <w:r>
        <w:rPr>
          <w:rFonts w:ascii="Times New Roman" w:hAnsi="Times New Roman" w:eastAsia="Times New Roman" w:cs="Times New Roman"/>
        </w:rPr>
        <w:t>,</w:t>
      </w:r>
      <w:r>
        <w:rPr>
          <w:rFonts w:ascii="Microsoft YaHei" w:hAnsi="Microsoft YaHei" w:eastAsia="Microsoft YaHei" w:cs="Microsoft YaHei"/>
        </w:rPr>
        <w:t>他那字面的国度</w:t>
      </w:r>
      <w:r>
        <w:rPr>
          <w:rFonts w:ascii="Times New Roman" w:hAnsi="Times New Roman" w:eastAsia="Times New Roman" w:cs="Times New Roman"/>
        </w:rPr>
        <w:t>,</w:t>
      </w:r>
      <w:r>
        <w:rPr>
          <w:rFonts w:ascii="Microsoft YaHei" w:hAnsi="Microsoft YaHei" w:eastAsia="Microsoft YaHei" w:cs="Microsoft YaHei"/>
        </w:rPr>
        <w:t>正是那预表统治七十象征性年之国度的国度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מח</w:t>
      </w:r>
      <w:r>
        <w:rPr>
          <w:rFonts w:ascii="Microsoft YaHei" w:hAnsi="Microsoft YaHei" w:eastAsia="Microsoft YaHei" w:cs="Microsoft YaHei"/>
        </w:rPr>
        <w:t>章</w:t>
      </w:r>
      <w:r>
        <w:rPr>
          <w:rFonts w:ascii="Sylfaen" w:hAnsi="Sylfaen" w:eastAsia="Sylfaen" w:cs="Sylfaen"/>
        </w:rPr>
        <w:t>აროთხის</w:t>
      </w:r>
      <w:r>
        <w:rPr>
          <w:rFonts w:ascii="Times New Roman" w:hAnsi="Times New Roman" w:eastAsia="Times New Roman" w:cs="Times New Roman"/>
        </w:rPr>
        <w:t xml:space="preserve"> </w:t>
      </w:r>
      <w:r>
        <w:rPr>
          <w:rFonts w:ascii="Sylfaen" w:hAnsi="Sylfaen" w:eastAsia="Sylfaen" w:cs="Sylfaen"/>
        </w:rPr>
        <w:t>ნაბუქოდონოსორის</w:t>
      </w:r>
      <w:r>
        <w:rPr>
          <w:rFonts w:ascii="Times New Roman" w:hAnsi="Times New Roman" w:eastAsia="Times New Roman" w:cs="Times New Roman"/>
        </w:rPr>
        <w:t xml:space="preserve"> </w:t>
      </w:r>
      <w:r>
        <w:rPr>
          <w:rFonts w:ascii="Sylfaen" w:hAnsi="Sylfaen" w:eastAsia="Sylfaen" w:cs="Sylfaen"/>
        </w:rPr>
        <w:t>სიმბოლიზმი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დაედოს</w:t>
      </w:r>
      <w:r>
        <w:rPr>
          <w:rFonts w:ascii="Times New Roman" w:hAnsi="Times New Roman" w:eastAsia="Times New Roman" w:cs="Times New Roman"/>
        </w:rPr>
        <w:t xml:space="preserve"> </w:t>
      </w:r>
      <w:r>
        <w:rPr>
          <w:rFonts w:ascii="Sylfaen" w:hAnsi="Sylfaen" w:eastAsia="Sylfaen" w:cs="Sylfaen"/>
        </w:rPr>
        <w:t>პირველ</w:t>
      </w:r>
      <w:r>
        <w:rPr>
          <w:rFonts w:ascii="Times New Roman" w:hAnsi="Times New Roman" w:eastAsia="Times New Roman" w:cs="Times New Roman"/>
        </w:rPr>
        <w:t xml:space="preserve"> </w:t>
      </w:r>
      <w:r>
        <w:rPr>
          <w:rFonts w:ascii="Sylfaen" w:hAnsi="Sylfaen" w:eastAsia="Sylfaen" w:cs="Sylfaen"/>
        </w:rPr>
        <w:t>თავს</w:t>
      </w:r>
      <w:r>
        <w:rPr>
          <w:rFonts w:ascii="Times New Roman" w:hAnsi="Times New Roman" w:eastAsia="Times New Roman" w:cs="Times New Roman"/>
        </w:rPr>
        <w:t xml:space="preserve"> </w:t>
      </w:r>
      <w:r>
        <w:rPr>
          <w:rFonts w:ascii="Sylfaen" w:hAnsi="Sylfaen" w:eastAsia="Sylfaen" w:cs="Sylfaen"/>
        </w:rPr>
        <w:t>ზემოდან</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გამოყენება</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აერთიანებს</w:t>
      </w:r>
      <w:r>
        <w:rPr>
          <w:rFonts w:ascii="Times New Roman" w:hAnsi="Times New Roman" w:eastAsia="Times New Roman" w:cs="Times New Roman"/>
        </w:rPr>
        <w:t xml:space="preserve"> </w:t>
      </w:r>
      <w:r>
        <w:rPr>
          <w:rFonts w:ascii="Sylfaen" w:hAnsi="Sylfaen" w:eastAsia="Sylfaen" w:cs="Sylfaen"/>
        </w:rPr>
        <w:t>მილერიტთა</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სასაზღვრო</w:t>
      </w:r>
      <w:r>
        <w:rPr>
          <w:rFonts w:ascii="Times New Roman" w:hAnsi="Times New Roman" w:eastAsia="Times New Roman" w:cs="Times New Roman"/>
        </w:rPr>
        <w:t xml:space="preserve"> </w:t>
      </w:r>
      <w:r>
        <w:rPr>
          <w:rFonts w:ascii="Sylfaen" w:hAnsi="Sylfaen" w:eastAsia="Sylfaen" w:cs="Sylfaen"/>
        </w:rPr>
        <w:t>ნიშნულებს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ადასტურებს</w:t>
      </w:r>
      <w:r>
        <w:rPr>
          <w:rFonts w:ascii="Times New Roman" w:hAnsi="Times New Roman" w:eastAsia="Times New Roman" w:cs="Times New Roman"/>
        </w:rPr>
        <w:t xml:space="preserve"> </w:t>
      </w:r>
      <w:r>
        <w:rPr>
          <w:rFonts w:ascii="Sylfaen" w:hAnsi="Sylfaen" w:eastAsia="Sylfaen" w:cs="Sylfaen"/>
        </w:rPr>
        <w:t>ულაის</w:t>
      </w:r>
      <w:r>
        <w:rPr>
          <w:rFonts w:ascii="Times New Roman" w:hAnsi="Times New Roman" w:eastAsia="Times New Roman" w:cs="Times New Roman"/>
        </w:rPr>
        <w:t xml:space="preserve"> </w:t>
      </w:r>
      <w:r>
        <w:rPr>
          <w:rFonts w:ascii="Sylfaen" w:hAnsi="Sylfaen" w:eastAsia="Sylfaen" w:cs="Sylfaen"/>
        </w:rPr>
        <w:t>მდინარის</w:t>
      </w:r>
      <w:r>
        <w:rPr>
          <w:rFonts w:ascii="Times New Roman" w:hAnsi="Times New Roman" w:eastAsia="Times New Roman" w:cs="Times New Roman"/>
        </w:rPr>
        <w:t xml:space="preserve"> </w:t>
      </w:r>
      <w:r>
        <w:rPr>
          <w:rFonts w:ascii="Sylfaen" w:hAnsi="Sylfaen" w:eastAsia="Sylfaen" w:cs="Sylfaen"/>
        </w:rPr>
        <w:t>ხილვის</w:t>
      </w:r>
      <w:r>
        <w:rPr>
          <w:rFonts w:ascii="Times New Roman" w:hAnsi="Times New Roman" w:eastAsia="Times New Roman" w:cs="Times New Roman"/>
        </w:rPr>
        <w:t xml:space="preserve"> </w:t>
      </w:r>
      <w:r>
        <w:rPr>
          <w:rFonts w:ascii="Sylfaen" w:hAnsi="Sylfaen" w:eastAsia="Sylfaen" w:cs="Sylfaen"/>
        </w:rPr>
        <w:t>რამდენიმე</w:t>
      </w:r>
      <w:r>
        <w:rPr>
          <w:rFonts w:ascii="Times New Roman" w:hAnsi="Times New Roman" w:eastAsia="Times New Roman" w:cs="Times New Roman"/>
        </w:rPr>
        <w:t xml:space="preserve"> </w:t>
      </w:r>
      <w:r>
        <w:rPr>
          <w:rFonts w:ascii="Sylfaen" w:hAnsi="Sylfaen" w:eastAsia="Sylfaen" w:cs="Sylfaen"/>
        </w:rPr>
        <w:t>ჭეშმარიტებას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გაიხსნა</w:t>
      </w:r>
      <w:r>
        <w:rPr>
          <w:rFonts w:ascii="Times New Roman" w:hAnsi="Times New Roman" w:eastAsia="Times New Roman" w:cs="Times New Roman"/>
        </w:rPr>
        <w:t xml:space="preserve">. </w:t>
      </w:r>
      <w:r>
        <w:rPr>
          <w:rFonts w:ascii="Sylfaen" w:hAnsi="Sylfaen" w:eastAsia="Sylfaen" w:cs="Sylfaen"/>
        </w:rPr>
        <w:t>მილერიტთა</w:t>
      </w:r>
      <w:r>
        <w:rPr>
          <w:rFonts w:ascii="Times New Roman" w:hAnsi="Times New Roman" w:eastAsia="Times New Roman" w:cs="Times New Roman"/>
        </w:rPr>
        <w:t xml:space="preserve"> </w:t>
      </w:r>
      <w:r>
        <w:rPr>
          <w:rFonts w:ascii="Sylfaen" w:hAnsi="Sylfaen" w:eastAsia="Sylfaen" w:cs="Sylfaen"/>
        </w:rPr>
        <w:t>მოძრაობის</w:t>
      </w:r>
      <w:r>
        <w:rPr>
          <w:rFonts w:ascii="Times New Roman" w:hAnsi="Times New Roman" w:eastAsia="Times New Roman" w:cs="Times New Roman"/>
        </w:rPr>
        <w:t xml:space="preserve"> </w:t>
      </w:r>
      <w:r>
        <w:rPr>
          <w:rFonts w:ascii="Sylfaen" w:hAnsi="Sylfaen" w:eastAsia="Sylfaen" w:cs="Sylfaen"/>
        </w:rPr>
        <w:t>საფუძველი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ცენტრალური</w:t>
      </w:r>
      <w:r>
        <w:rPr>
          <w:rFonts w:ascii="Times New Roman" w:hAnsi="Times New Roman" w:eastAsia="Times New Roman" w:cs="Times New Roman"/>
        </w:rPr>
        <w:t xml:space="preserve"> </w:t>
      </w:r>
      <w:r>
        <w:rPr>
          <w:rFonts w:ascii="Sylfaen" w:hAnsi="Sylfaen" w:eastAsia="Sylfaen" w:cs="Sylfaen"/>
        </w:rPr>
        <w:t>სვეტი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კერძოდ</w:t>
      </w:r>
      <w:r>
        <w:rPr>
          <w:rFonts w:ascii="Times New Roman" w:hAnsi="Times New Roman" w:eastAsia="Times New Roman" w:cs="Times New Roman"/>
        </w:rPr>
        <w:t xml:space="preserve">, </w:t>
      </w:r>
      <w:r>
        <w:rPr>
          <w:rFonts w:ascii="Sylfaen" w:hAnsi="Sylfaen" w:eastAsia="Sylfaen" w:cs="Sylfaen"/>
        </w:rPr>
        <w:t>მეცამეტე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მეთოთხმეტე</w:t>
      </w:r>
      <w:r>
        <w:rPr>
          <w:rFonts w:ascii="Times New Roman" w:hAnsi="Times New Roman" w:eastAsia="Times New Roman" w:cs="Times New Roman"/>
        </w:rPr>
        <w:t xml:space="preserve"> </w:t>
      </w:r>
      <w:r>
        <w:rPr>
          <w:rFonts w:ascii="Sylfaen" w:hAnsi="Sylfaen" w:eastAsia="Sylfaen" w:cs="Sylfaen"/>
        </w:rPr>
        <w:t>მუხლების</w:t>
      </w:r>
      <w:r>
        <w:rPr>
          <w:rFonts w:ascii="Times New Roman" w:hAnsi="Times New Roman" w:eastAsia="Times New Roman" w:cs="Times New Roman"/>
        </w:rPr>
        <w:t xml:space="preserve"> </w:t>
      </w:r>
      <w:r>
        <w:rPr>
          <w:rFonts w:ascii="Sylfaen" w:hAnsi="Sylfaen" w:eastAsia="Sylfaen" w:cs="Sylfaen"/>
        </w:rPr>
        <w:t>კითხვა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პასუხი</w:t>
      </w:r>
      <w:r>
        <w:rPr>
          <w:rFonts w:ascii="Times New Roman" w:hAnsi="Times New Roman" w:eastAsia="Times New Roman" w:cs="Times New Roman"/>
        </w:rPr>
        <w:t xml:space="preserve">. </w:t>
      </w:r>
      <w:r>
        <w:rPr>
          <w:rFonts w:ascii="Sylfaen" w:hAnsi="Sylfaen" w:eastAsia="Sylfaen" w:cs="Sylfaen"/>
        </w:rPr>
        <w:t>კითხვა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w:t>
      </w:r>
      <w:r>
        <w:rPr>
          <w:rFonts w:ascii="Sylfaen" w:hAnsi="Sylfaen" w:eastAsia="Sylfaen" w:cs="Sylfaen"/>
        </w:rPr>
        <w:t>როდემდე</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ხილვა</w:t>
      </w:r>
      <w:r>
        <w:rPr>
          <w:rFonts w:ascii="Times New Roman" w:hAnsi="Times New Roman" w:eastAsia="Times New Roman" w:cs="Times New Roman"/>
        </w:rPr>
        <w:t xml:space="preserve"> </w:t>
      </w:r>
      <w:r>
        <w:rPr>
          <w:rFonts w:ascii="Sylfaen" w:hAnsi="Sylfaen" w:eastAsia="Sylfaen" w:cs="Sylfaen"/>
        </w:rPr>
        <w:t>მუდმივი</w:t>
      </w:r>
      <w:r>
        <w:rPr>
          <w:rFonts w:ascii="Times New Roman" w:hAnsi="Times New Roman" w:eastAsia="Times New Roman" w:cs="Times New Roman"/>
        </w:rPr>
        <w:t xml:space="preserve"> </w:t>
      </w:r>
      <w:r>
        <w:rPr>
          <w:rFonts w:ascii="Sylfaen" w:hAnsi="Sylfaen" w:eastAsia="Sylfaen" w:cs="Sylfaen"/>
        </w:rPr>
        <w:t>მსხვერპლის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გამაპარტახებელი</w:t>
      </w:r>
      <w:r>
        <w:rPr>
          <w:rFonts w:ascii="Times New Roman" w:hAnsi="Times New Roman" w:eastAsia="Times New Roman" w:cs="Times New Roman"/>
        </w:rPr>
        <w:t xml:space="preserve"> </w:t>
      </w:r>
      <w:r>
        <w:rPr>
          <w:rFonts w:ascii="Sylfaen" w:hAnsi="Sylfaen" w:eastAsia="Sylfaen" w:cs="Sylfaen"/>
        </w:rPr>
        <w:t>ურჯულოების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საწმიდარიც</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მხედრობაც</w:t>
      </w:r>
      <w:r>
        <w:rPr>
          <w:rFonts w:ascii="Times New Roman" w:hAnsi="Times New Roman" w:eastAsia="Times New Roman" w:cs="Times New Roman"/>
        </w:rPr>
        <w:t xml:space="preserve"> </w:t>
      </w:r>
      <w:r>
        <w:rPr>
          <w:rFonts w:ascii="Sylfaen" w:hAnsi="Sylfaen" w:eastAsia="Sylfaen" w:cs="Sylfaen"/>
        </w:rPr>
        <w:t>ფეხქვეშ</w:t>
      </w:r>
      <w:r>
        <w:rPr>
          <w:rFonts w:ascii="Times New Roman" w:hAnsi="Times New Roman" w:eastAsia="Times New Roman" w:cs="Times New Roman"/>
        </w:rPr>
        <w:t xml:space="preserve"> </w:t>
      </w:r>
      <w:r>
        <w:rPr>
          <w:rFonts w:ascii="Sylfaen" w:hAnsi="Sylfaen" w:eastAsia="Sylfaen" w:cs="Sylfaen"/>
        </w:rPr>
        <w:t>გათელილ</w:t>
      </w:r>
      <w:r>
        <w:rPr>
          <w:rFonts w:ascii="Times New Roman" w:hAnsi="Times New Roman" w:eastAsia="Times New Roman" w:cs="Times New Roman"/>
        </w:rPr>
        <w:t xml:space="preserve"> </w:t>
      </w:r>
      <w:r>
        <w:rPr>
          <w:rFonts w:ascii="Sylfaen" w:hAnsi="Sylfaen" w:eastAsia="Sylfaen" w:cs="Sylfaen"/>
        </w:rPr>
        <w:t>იქნეს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Kutoka katika mamia, kama si maelfu, ya maneno yaliyoongezwa katika Biblia, ni neno lililoongezwa “sadaka” pekee ambalo uvuvio hulitambua kuwa si sehemu ya maandishi. Neno hilo linapoondolewa kwa usahihi, huonyesha wazi kwamba “ya daima na uasi” ni mamlaka mbili tofauti ziletazo ukiwa. Dada White anatambua waziwazi kwamba neno “sadaka” liliongezwa kwa hekima ya kibinadamu na halihusu maandishi hayo, na katika kifungu hicho hicho anatambua pia kwamba Wamillerite walikuwa sahihi kwa kuitambua “ya daima” kuwa ni upagani. Istilahi za kisarufi zilizo ndani ya swali la aya ya kumi na tatu zilitambuliwa kwa uangalifu na Kristo kupitia maandishi ya Dada White, na zinapotawaliwa na maandiko na maelekezo ya uvuvio yaliyoongezwa, swali ni hili: “Hata lini itakuwa njozi kuhusu mamlaka hizo mbili ziletazo ukiwa za upagani na upapa, ambazo zilipaswa kukanyaga chini patakatifu pamoja na watu wa Mungu?”</w:t>
      </w:r>
    </w:p>
    <w:p>
      <w:pPr>
        <w:pStyle w:val="ArticleBody"/>
        <w:jc w:val="left"/>
      </w:pPr>
      <w:r>
        <w:rPr>
          <w:rFonts w:ascii="Times New Roman" w:hAnsi="Times New Roman" w:eastAsia="Times New Roman" w:cs="Times New Roman"/>
        </w:rPr>
        <w:t>Kwa hiyo, wakati Nebukadneza anawekwa katika “wakati wa mwisho,” mwaka 1798, anawakilisha mtu aliyeongoka, na kwa hiyo anawakilisha “wenye hekima” ambao wangeelewa nguzo kuu na msingi wa Uadventista. Kuongoka kwake kunawatambulisha “wenye hekima” wanaoelewa “kuongezeka kwa maarifa” kulikofunuliwa wakati huo, lakini ishara yake mwenyewe ya kiunabii inaonyesha moja kwa moja historia ambayo ndiyo kiini cha swali hili: “maono ya nguvu ya uharibifu ya upagani na upapa, ambayo yangewakanyaga watu wa Mungu (jeshi), na patakatifu pa Mungu, yangedumu kwa muda gani?” Akiwa ishara ya “bikira mwenye hekima” anayeelewa “kuongezeka kwa maarifa,” anamwakilisha William Miller, kwa maana Miller ni ishara ya wale waliokuwa “wenye hekima” katika historia iliyoanza katika “wakati wa mwisho,” mwaka 1798.</w:t>
      </w:r>
    </w:p>
    <w:p>
      <w:pPr>
        <w:pStyle w:val="ArticleBody"/>
        <w:jc w:val="left"/>
      </w:pPr>
      <w:r>
        <w:rPr>
          <w:rFonts w:ascii="Times New Roman" w:hAnsi="Times New Roman" w:eastAsia="Times New Roman" w:cs="Times New Roman"/>
        </w:rPr>
        <w:t>Nebuchadnezzar ni ishara ya alama ya njia ya “wakati wa mwisho,” na inapowekwa juu ya sura ya kwanza, yeye pia anawakilisha kuwasili kwa malaika wa kwanza katika wakati huo, kwa sababu katika sura ya nne, “saa” ambayo Danieli anampa Nebukadneza ujumbe wa onyo, inaashiria wakati malaika wa kwanza alipowasili, na huo ulikuwa mwaka 1798. “Saa” ambayo hukumu ya Nebukadneza ilifika, iliwakilisha “saa” ya mwanzo wa hukumu ya uchunguzi ya Mungu mnamo Oktoba 22, 1844. Alama za njia zinazozalishwa na ishara ya Nebukadneza katika sura ya nne ni 723 KK, 538, 1798 (wakati wa mwisho) na Oktoba 22, 1844.</w:t>
      </w:r>
    </w:p>
    <w:p>
      <w:pPr>
        <w:pStyle w:val="ArticleBody"/>
        <w:jc w:val="left"/>
      </w:pPr>
      <w:r>
        <w:rPr>
          <w:rFonts w:ascii="Times New Roman" w:hAnsi="Times New Roman" w:eastAsia="Times New Roman" w:cs="Times New Roman"/>
        </w:rPr>
        <w:t>Akwụkwọ akara nke akụkọ ndị Millerite n’isi nke mbụ nke Daniel na-amalite site n’aka Jehoiakim, onye bụ ihe nnọchianya nke inye ike ozi mbụ ahụ nke bịarutere n’“oge ọgwụgwụ,” n’afọ 1798. Inye ike ozi mbụ ahụ, nke Jehoiakim na-anọchi anya ya, na-akara August 11, 1840. Mmeri e meriri Jehoiakim na-amalite afọ iri asaa nke ọchịchị Babilọn, nke na-ejedebe na iwu Saịrọs. Isi nke mbụ nke Daniel na-egosi usoro ọnwụnwa nke nzọụkwụ atọ, nke a na-anọchi anya ya dịka ọnwụnwa nri, nke na-esochi ya bụ ọnwụnwa anya nke na-ejedebe na ọnwụnwa litmus. Ọnwụnwa atọ ndị a na-anọchi anya August 11, 1840, mgbe mmụọ ozi dị ike ahụ, onye na-erughị ịdị onye ọzọ ma e wezụga Jisọs Kraịst, si n’eluigwe rịdata na obere akwụkwọ, nke ndị Chineke n’oge ahụ ga-eri, dịka Daniel na ndị ikom nsọ atọ họọrọ iri nri akwukwo nri, kama iri nri Babilọn.</w:t>
      </w:r>
    </w:p>
    <w:p>
      <w:pPr>
        <w:pStyle w:val="ArticleBody"/>
        <w:jc w:val="left"/>
      </w:pPr>
      <w:r>
        <w:rPr>
          <w:rFonts w:ascii="Times New Roman" w:hAnsi="Times New Roman" w:eastAsia="Times New Roman" w:cs="Times New Roman"/>
        </w:rPr>
        <w:t>Le second test de ce processus représenta la manifestation du rejet, par les Églises protestantes, du message de Miller (le message du premier ange), lorsqu’une distinction put alors être observée entre le mouvement millérite et les Églises protestantes qui commencèrent alors leur rôle prophétique en tant que protestantisme apostat. La distinction entre ces deux catégories était aussi marquée que l’était l’apparence de Daniel et des trois jeunes Hébreux, dont la chair paraissait plus belle et plus grasse pour avoir mangé la nourriture céleste, au lieu du régime babylonien. Cette distinction fut marquée à la fin de l’année biblique 1843 (19 avril 1844), lorsque arriva le temps de délai de la parabole des dix vierges.</w:t>
      </w:r>
    </w:p>
    <w:p>
      <w:pPr>
        <w:pStyle w:val="ArticleBody"/>
        <w:jc w:val="left"/>
      </w:pPr>
      <w:r>
        <w:rPr>
          <w:rFonts w:ascii="Nirmala UI" w:hAnsi="Nirmala UI" w:eastAsia="Nirmala UI" w:cs="Nirmala UI"/>
        </w:rPr>
        <w:t>আতৃতীয়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লিটমাস</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ঘণ্টা</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নেবূখদ্নেজর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মহামূল্যবান</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জ্ঞানীদের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শ্রেষ্ঠ।</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আরোপ</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পথচিহ্নসমূহ</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শেষকালের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ক্ষমতাপ্রাপ্তি</w:t>
      </w:r>
      <w:r>
        <w:rPr>
          <w:rFonts w:ascii="Times New Roman" w:hAnsi="Times New Roman" w:eastAsia="Times New Roman" w:cs="Times New Roman"/>
        </w:rPr>
        <w:t xml:space="preserve">; </w:t>
      </w:r>
      <w:r>
        <w:rPr>
          <w:rFonts w:ascii="Nirmala UI" w:hAnsi="Nirmala UI" w:eastAsia="Nirmala UI" w:cs="Nirmala UI"/>
        </w:rPr>
        <w:t>১৯</w:t>
      </w:r>
      <w:r>
        <w:rPr>
          <w:rFonts w:ascii="Times New Roman" w:hAnsi="Times New Roman" w:eastAsia="Times New Roman" w:cs="Times New Roman"/>
        </w:rPr>
        <w:t xml:space="preserve"> </w:t>
      </w:r>
      <w:r>
        <w:rPr>
          <w:rFonts w:ascii="Nirmala UI" w:hAnsi="Nirmala UI" w:eastAsia="Nirmala UI" w:cs="Nirmala UI"/>
        </w:rPr>
        <w:t>এপ্রিল</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নিরাশা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নিরাশা।</w:t>
      </w:r>
    </w:p>
    <w:p>
      <w:pPr>
        <w:pStyle w:val="ArticleBody"/>
        <w:jc w:val="left"/>
      </w:pPr>
      <w:r>
        <w:rPr>
          <w:rFonts w:ascii="Times New Roman" w:hAnsi="Times New Roman" w:eastAsia="Times New Roman" w:cs="Times New Roman"/>
        </w:rPr>
        <w:t>Millerit tarixining muayyan yo‘l belgilarini aniqlashdan tashqari, bu ikki bob, “satr ustiga satr” tarzida birlashtirilganda, birinchi farishtaning xabarini namoyon etadi, ikki ming uch yuz kun haqidagi asosiy ta’limotning mavzusi bo‘lgan ikki vayron qiluvchi qudratni aniqlaydi, shuningdek, Doniyor o‘n ikkinchi bobdagi va Doniyor kitobi muhrdan yechilganda har doim sodir bo‘ladigan uch bosqichli sinov jarayonini ham ko‘rsatadi.</w:t>
      </w:r>
    </w:p>
    <w:p>
      <w:pPr>
        <w:pStyle w:val="ArticleBody"/>
        <w:jc w:val="left"/>
      </w:pPr>
      <w:r>
        <w:rPr>
          <w:rFonts w:ascii="Times New Roman" w:hAnsi="Times New Roman" w:eastAsia="Times New Roman" w:cs="Times New Roman"/>
        </w:rPr>
        <w:t>Ils identifient également que Nebucadnetsar, en tant que symbole des sages en 1798, en lien avec son second songe au chapitre quatre, représente William Miller, dont le mouvement devait devenir la véritable corne protestante. L’œuvre de William Miller, qui représente les vérités fondamentales de l’adventisme, est représentée sur les deux tables d’Habacuc, et Dieu a dirigé la réalisation de ces deux tables sacrées.</w:t>
      </w:r>
    </w:p>
    <w:p>
      <w:pPr>
        <w:pStyle w:val="ArticleBody"/>
        <w:jc w:val="left"/>
      </w:pPr>
      <w:r>
        <w:rPr>
          <w:rFonts w:ascii="Times New Roman" w:hAnsi="Times New Roman" w:eastAsia="Times New Roman" w:cs="Times New Roman"/>
        </w:rPr>
        <w:t>Miller ne vit pas correctement plusieurs vérités prophétiques, parce que sa position dans l’histoire prophétique ne lui permettait pas de reconnaître qu’il existe trois puissances désolatrices : non seulement le paganisme (le dragon), le papisme (la bête), mais aussi le protestantisme apostat (le faux prophète). Dans la providence de Dieu, ces compréhensions prophétiques de Miller, limitées par sa position dans l’histoire, ne furent pas représentées sur les deux tables sacrées d’Habacuc.</w:t>
      </w:r>
    </w:p>
    <w:p>
      <w:pPr>
        <w:pStyle w:val="ArticleBody"/>
        <w:jc w:val="left"/>
      </w:pPr>
      <w:r>
        <w:rPr>
          <w:rFonts w:ascii="Times New Roman" w:hAnsi="Times New Roman" w:eastAsia="Times New Roman" w:cs="Times New Roman"/>
        </w:rPr>
        <w:t>Daniyel’in dördüncü bölümündeki Nebukadnetsar’ın ikinci düşü, William Miller’ın ikinci düşünü temsil eder. Her iki düş de “yedi vakit”e değinir ve Miller’ın düşü, 1863’te başlayan ve Gece Yarısı Feryadı’na kadar giderek şiddetlenen, onun işinin reddedilişini tanımlar. Her iki düş de, dağılma döneminden sonra yeniden kurulmuş bir egemenlikle son bulur. Bu nedenle, 1798’de mührü açılan Ulay Irmağı görümünü doğrudan ele almadan önce, Miller’ın ikinci düşünü inceleyeceğiz.</w:t>
      </w:r>
    </w:p>
    <w:p>
      <w:pPr>
        <w:pStyle w:val="ArticleScripture"/>
        <w:jc w:val="left"/>
      </w:pPr>
      <w:r>
        <w:rPr>
          <w:rFonts w:ascii="Times New Roman" w:hAnsi="Times New Roman" w:eastAsia="Times New Roman" w:cs="Times New Roman"/>
        </w:rPr>
        <w:t>“Mi somniis, ke Dio, per un mano invisibile, me inviava un cofanetto finemente lavorato, de circa dece pollices de longitudine e sex in quadro, facite de ebeno e perlas subtilmente incrustate. Al cofanetto esseva attachate un clave. Io immediatemente prendeva le clave e aperiva le cofanetto; alora, con meraviglia e stupor, io trovava lo plen de omne sorta e dimension de joyas, diamantes, petras preciose, e moneta de auro e argento de omne grandor e valor, bellissimemente disponite in lor respective locos in le cofanetto; e assi disponite, illos reflecteva un lumine e un gloria equalate solmente al sol.”</w:t>
      </w:r>
    </w:p>
    <w:p>
      <w:pPr>
        <w:pStyle w:val="ArticleScripture"/>
        <w:jc w:val="left"/>
      </w:pPr>
      <w:r>
        <w:rPr>
          <w:rFonts w:ascii="Times New Roman" w:hAnsi="Times New Roman" w:eastAsia="Times New Roman" w:cs="Times New Roman"/>
        </w:rPr>
        <w:t>«من فکر کردم که بهره‌مند شدن از این منظر شگفت‌انگیز تنها برای خودم وظیفهٔ من نیست، هرچند دلم از درخشندگی، زیبایی و ارزش محتویات آن سرشار از شادی بود. ازاین‌رو آن را بر میزی در وسط اتاقم نهادم و خبر دادم که هر کس اشتیاقی دارد، می‌تواند بیاید و باشکوه‌ترین و درخشان‌ترین منظره‌ای را که انسان در این زندگی دیده است، مشاهده کند.</w:t>
      </w:r>
    </w:p>
    <w:p>
      <w:pPr>
        <w:pStyle w:val="ArticleScripture"/>
        <w:jc w:val="left"/>
      </w:pP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আহিবলৈ</w:t>
      </w:r>
      <w:r>
        <w:rPr>
          <w:rFonts w:ascii="Times New Roman" w:hAnsi="Times New Roman" w:eastAsia="Times New Roman" w:cs="Times New Roman"/>
        </w:rPr>
        <w:t xml:space="preserve"> </w:t>
      </w:r>
      <w:r>
        <w:rPr>
          <w:rFonts w:ascii="Nirmala UI" w:hAnsi="Nirmala UI" w:eastAsia="Nirmala UI" w:cs="Nirmala UI"/>
        </w:rPr>
        <w:t>ধৰিলে</w:t>
      </w:r>
      <w:r>
        <w:rPr>
          <w:rFonts w:ascii="Times New Roman" w:hAnsi="Times New Roman" w:eastAsia="Times New Roman" w:cs="Times New Roman"/>
        </w:rPr>
        <w:t>—</w:t>
      </w:r>
      <w:r>
        <w:rPr>
          <w:rFonts w:ascii="Nirmala UI" w:hAnsi="Nirmala UI" w:eastAsia="Nirmala UI" w:cs="Nirmala UI"/>
        </w:rPr>
        <w:t>প্ৰথমে</w:t>
      </w:r>
      <w:r>
        <w:rPr>
          <w:rFonts w:ascii="Times New Roman" w:hAnsi="Times New Roman" w:eastAsia="Times New Roman" w:cs="Times New Roman"/>
        </w:rPr>
        <w:t xml:space="preserve"> </w:t>
      </w:r>
      <w:r>
        <w:rPr>
          <w:rFonts w:ascii="Nirmala UI" w:hAnsi="Nirmala UI" w:eastAsia="Nirmala UI" w:cs="Nirmala UI"/>
        </w:rPr>
        <w:t>সংখ্যাত</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ক্ৰমে</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ভিৰলৈ</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প্ৰথমে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কেছকেটখনৰ</w:t>
      </w:r>
      <w:r>
        <w:rPr>
          <w:rFonts w:ascii="Times New Roman" w:hAnsi="Times New Roman" w:eastAsia="Times New Roman" w:cs="Times New Roman"/>
        </w:rPr>
        <w:t xml:space="preserve"> </w:t>
      </w:r>
      <w:r>
        <w:rPr>
          <w:rFonts w:ascii="Nirmala UI" w:hAnsi="Nirmala UI" w:eastAsia="Nirmala UI" w:cs="Nirmala UI"/>
        </w:rPr>
        <w:t>ভিতৰলৈ</w:t>
      </w:r>
      <w:r>
        <w:rPr>
          <w:rFonts w:ascii="Times New Roman" w:hAnsi="Times New Roman" w:eastAsia="Times New Roman" w:cs="Times New Roman"/>
        </w:rPr>
        <w:t xml:space="preserve"> </w:t>
      </w:r>
      <w:r>
        <w:rPr>
          <w:rFonts w:ascii="Nirmala UI" w:hAnsi="Nirmala UI" w:eastAsia="Nirmala UI" w:cs="Nirmala UI"/>
        </w:rPr>
        <w:t>চাইছিল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আনন্দত</w:t>
      </w:r>
      <w:r>
        <w:rPr>
          <w:rFonts w:ascii="Times New Roman" w:hAnsi="Times New Roman" w:eastAsia="Times New Roman" w:cs="Times New Roman"/>
        </w:rPr>
        <w:t xml:space="preserve"> </w:t>
      </w:r>
      <w:r>
        <w:rPr>
          <w:rFonts w:ascii="Nirmala UI" w:hAnsi="Nirmala UI" w:eastAsia="Nirmala UI" w:cs="Nirmala UI"/>
        </w:rPr>
        <w:t>উচ্চস্বৰে</w:t>
      </w:r>
      <w:r>
        <w:rPr>
          <w:rFonts w:ascii="Times New Roman" w:hAnsi="Times New Roman" w:eastAsia="Times New Roman" w:cs="Times New Roman"/>
        </w:rPr>
        <w:t xml:space="preserve"> </w:t>
      </w:r>
      <w:r>
        <w:rPr>
          <w:rFonts w:ascii="Nirmala UI" w:hAnsi="Nirmala UI" w:eastAsia="Nirmala UI" w:cs="Nirmala UI"/>
        </w:rPr>
        <w:t>চিঞৰি</w:t>
      </w:r>
      <w:r>
        <w:rPr>
          <w:rFonts w:ascii="Times New Roman" w:hAnsi="Times New Roman" w:eastAsia="Times New Roman" w:cs="Times New Roman"/>
        </w:rPr>
        <w:t xml:space="preserve"> </w:t>
      </w:r>
      <w:r>
        <w:rPr>
          <w:rFonts w:ascii="Nirmala UI" w:hAnsi="Nirmala UI" w:eastAsia="Nirmala UI" w:cs="Nirmala UI"/>
        </w:rPr>
        <w:t>উঠিছিল।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দৰ্শকসকল</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পোৱাত</w:t>
      </w:r>
      <w:r>
        <w:rPr>
          <w:rFonts w:ascii="Times New Roman" w:hAnsi="Times New Roman" w:eastAsia="Times New Roman" w:cs="Times New Roman"/>
        </w:rPr>
        <w:t xml:space="preserve">, </w:t>
      </w:r>
      <w:r>
        <w:rPr>
          <w:rFonts w:ascii="Nirmala UI" w:hAnsi="Nirmala UI" w:eastAsia="Nirmala UI" w:cs="Nirmala UI"/>
        </w:rPr>
        <w:t>সকলোৱে</w:t>
      </w:r>
      <w:r>
        <w:rPr>
          <w:rFonts w:ascii="Times New Roman" w:hAnsi="Times New Roman" w:eastAsia="Times New Roman" w:cs="Times New Roman"/>
        </w:rPr>
        <w:t xml:space="preserve"> </w:t>
      </w:r>
      <w:r>
        <w:rPr>
          <w:rFonts w:ascii="Nirmala UI" w:hAnsi="Nirmala UI" w:eastAsia="Nirmala UI" w:cs="Nirmala UI"/>
        </w:rPr>
        <w:t>মণি</w:t>
      </w:r>
      <w:r>
        <w:rPr>
          <w:rFonts w:ascii="Times New Roman" w:hAnsi="Times New Roman" w:eastAsia="Times New Roman" w:cs="Times New Roman"/>
        </w:rPr>
        <w:t>-</w:t>
      </w:r>
      <w:r>
        <w:rPr>
          <w:rFonts w:ascii="Nirmala UI" w:hAnsi="Nirmala UI" w:eastAsia="Nirmala UI" w:cs="Nirmala UI"/>
        </w:rPr>
        <w:t>মুকুতাবোৰ</w:t>
      </w:r>
      <w:r>
        <w:rPr>
          <w:rFonts w:ascii="Times New Roman" w:hAnsi="Times New Roman" w:eastAsia="Times New Roman" w:cs="Times New Roman"/>
        </w:rPr>
        <w:t xml:space="preserve"> </w:t>
      </w:r>
      <w:r>
        <w:rPr>
          <w:rFonts w:ascii="Nirmala UI" w:hAnsi="Nirmala UI" w:eastAsia="Nirmala UI" w:cs="Nirmala UI"/>
        </w:rPr>
        <w:t>লৰচৰ</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সেইবোৰ</w:t>
      </w:r>
      <w:r>
        <w:rPr>
          <w:rFonts w:ascii="Times New Roman" w:hAnsi="Times New Roman" w:eastAsia="Times New Roman" w:cs="Times New Roman"/>
        </w:rPr>
        <w:t xml:space="preserve"> </w:t>
      </w:r>
      <w:r>
        <w:rPr>
          <w:rFonts w:ascii="Nirmala UI" w:hAnsi="Nirmala UI" w:eastAsia="Nirmala UI" w:cs="Nirmala UI"/>
        </w:rPr>
        <w:t>কেছকেটখনৰ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উলিয়াই</w:t>
      </w:r>
      <w:r>
        <w:rPr>
          <w:rFonts w:ascii="Times New Roman" w:hAnsi="Times New Roman" w:eastAsia="Times New Roman" w:cs="Times New Roman"/>
        </w:rPr>
        <w:t xml:space="preserve"> </w:t>
      </w:r>
      <w:r>
        <w:rPr>
          <w:rFonts w:ascii="Nirmala UI" w:hAnsi="Nirmala UI" w:eastAsia="Nirmala UI" w:cs="Nirmala UI"/>
        </w:rPr>
        <w:t>টেবুলৰ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পেলালে।</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ভাবিবলৈ</w:t>
      </w:r>
      <w:r>
        <w:rPr>
          <w:rFonts w:ascii="Times New Roman" w:hAnsi="Times New Roman" w:eastAsia="Times New Roman" w:cs="Times New Roman"/>
        </w:rPr>
        <w:t xml:space="preserve"> </w:t>
      </w:r>
      <w:r>
        <w:rPr>
          <w:rFonts w:ascii="Nirmala UI" w:hAnsi="Nirmala UI" w:eastAsia="Nirmala UI" w:cs="Nirmala UI"/>
        </w:rPr>
        <w:t>ধৰিলোঁ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পুনৰ</w:t>
      </w:r>
      <w:r>
        <w:rPr>
          <w:rFonts w:ascii="Times New Roman" w:hAnsi="Times New Roman" w:eastAsia="Times New Roman" w:cs="Times New Roman"/>
        </w:rPr>
        <w:t xml:space="preserve"> </w:t>
      </w:r>
      <w:r>
        <w:rPr>
          <w:rFonts w:ascii="Nirmala UI" w:hAnsi="Nirmala UI" w:eastAsia="Nirmala UI" w:cs="Nirmala UI"/>
        </w:rPr>
        <w:t>কেছকেটখন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মণি</w:t>
      </w:r>
      <w:r>
        <w:rPr>
          <w:rFonts w:ascii="Times New Roman" w:hAnsi="Times New Roman" w:eastAsia="Times New Roman" w:cs="Times New Roman"/>
        </w:rPr>
        <w:t>-</w:t>
      </w:r>
      <w:r>
        <w:rPr>
          <w:rFonts w:ascii="Nirmala UI" w:hAnsi="Nirmala UI" w:eastAsia="Nirmala UI" w:cs="Nirmala UI"/>
        </w:rPr>
        <w:t>মুকুতাবোৰ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হাতৰ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বিচাৰিব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সেইবোৰ</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পেলাবলৈ</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আগৰ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কেতিয়াও</w:t>
      </w:r>
      <w:r>
        <w:rPr>
          <w:rFonts w:ascii="Times New Roman" w:hAnsi="Times New Roman" w:eastAsia="Times New Roman" w:cs="Times New Roman"/>
        </w:rPr>
        <w:t xml:space="preserve"> </w:t>
      </w:r>
      <w:r>
        <w:rPr>
          <w:rFonts w:ascii="Nirmala UI" w:hAnsi="Nirmala UI" w:eastAsia="Nirmala UI" w:cs="Nirmala UI"/>
        </w:rPr>
        <w:t>সেইবোৰ</w:t>
      </w:r>
      <w:r>
        <w:rPr>
          <w:rFonts w:ascii="Times New Roman" w:hAnsi="Times New Roman" w:eastAsia="Times New Roman" w:cs="Times New Roman"/>
        </w:rPr>
        <w:t xml:space="preserve"> </w:t>
      </w:r>
      <w:r>
        <w:rPr>
          <w:rFonts w:ascii="Nirmala UI" w:hAnsi="Nirmala UI" w:eastAsia="Nirmala UI" w:cs="Nirmala UI"/>
        </w:rPr>
        <w:t>পুনৰ</w:t>
      </w:r>
      <w:r>
        <w:rPr>
          <w:rFonts w:ascii="Times New Roman" w:hAnsi="Times New Roman" w:eastAsia="Times New Roman" w:cs="Times New Roman"/>
        </w:rPr>
        <w:t xml:space="preserve"> </w:t>
      </w:r>
      <w:r>
        <w:rPr>
          <w:rFonts w:ascii="Nirmala UI" w:hAnsi="Nirmala UI" w:eastAsia="Nirmala UI" w:cs="Nirmala UI"/>
        </w:rPr>
        <w:t>কেছকেটখনত</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ঠাইত</w:t>
      </w:r>
      <w:r>
        <w:rPr>
          <w:rFonts w:ascii="Times New Roman" w:hAnsi="Times New Roman" w:eastAsia="Times New Roman" w:cs="Times New Roman"/>
        </w:rPr>
        <w:t xml:space="preserve"> </w:t>
      </w:r>
      <w:r>
        <w:rPr>
          <w:rFonts w:ascii="Nirmala UI" w:hAnsi="Nirmala UI" w:eastAsia="Nirmala UI" w:cs="Nirmala UI"/>
        </w:rPr>
        <w:t>ৰাখিব</w:t>
      </w:r>
      <w:r>
        <w:rPr>
          <w:rFonts w:ascii="Times New Roman" w:hAnsi="Times New Roman" w:eastAsia="Times New Roman" w:cs="Times New Roman"/>
        </w:rPr>
        <w:t xml:space="preserve"> </w:t>
      </w:r>
      <w:r>
        <w:rPr>
          <w:rFonts w:ascii="Nirmala UI" w:hAnsi="Nirmala UI" w:eastAsia="Nirmala UI" w:cs="Nirmala UI"/>
        </w:rPr>
        <w:t>নোৱাৰিম</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অনুভৱ</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কেতিয়াও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জবাবদিহিতাৰ</w:t>
      </w:r>
      <w:r>
        <w:rPr>
          <w:rFonts w:ascii="Times New Roman" w:hAnsi="Times New Roman" w:eastAsia="Times New Roman" w:cs="Times New Roman"/>
        </w:rPr>
        <w:t xml:space="preserve"> </w:t>
      </w:r>
      <w:r>
        <w:rPr>
          <w:rFonts w:ascii="Nirmala UI" w:hAnsi="Nirmala UI" w:eastAsia="Nirmala UI" w:cs="Nirmala UI"/>
        </w:rPr>
        <w:t>সন্মুখীন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নোৱাৰিম</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অপাৰ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ওচৰত</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ধৰিলোঁ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সেইবোৰ</w:t>
      </w:r>
      <w:r>
        <w:rPr>
          <w:rFonts w:ascii="Times New Roman" w:hAnsi="Times New Roman" w:eastAsia="Times New Roman" w:cs="Times New Roman"/>
        </w:rPr>
        <w:t xml:space="preserve"> </w:t>
      </w:r>
      <w:r>
        <w:rPr>
          <w:rFonts w:ascii="Nirmala UI" w:hAnsi="Nirmala UI" w:eastAsia="Nirmala UI" w:cs="Nirmala UI"/>
        </w:rPr>
        <w:t>স্পৰ্শ</w:t>
      </w:r>
      <w:r>
        <w:rPr>
          <w:rFonts w:ascii="Times New Roman" w:hAnsi="Times New Roman" w:eastAsia="Times New Roman" w:cs="Times New Roman"/>
        </w:rPr>
        <w:t xml:space="preserve"> </w:t>
      </w:r>
      <w:r>
        <w:rPr>
          <w:rFonts w:ascii="Nirmala UI" w:hAnsi="Nirmala UI" w:eastAsia="Nirmala UI" w:cs="Nirmala UI"/>
        </w:rPr>
        <w:t>নকৰক</w:t>
      </w:r>
      <w:r>
        <w:rPr>
          <w:rFonts w:ascii="Times New Roman" w:hAnsi="Times New Roman" w:eastAsia="Times New Roman" w:cs="Times New Roman"/>
        </w:rPr>
        <w:t xml:space="preserve">, </w:t>
      </w:r>
      <w:r>
        <w:rPr>
          <w:rFonts w:ascii="Nirmala UI" w:hAnsi="Nirmala UI" w:eastAsia="Nirmala UI" w:cs="Nirmala UI"/>
        </w:rPr>
        <w:t>নাইবা</w:t>
      </w:r>
      <w:r>
        <w:rPr>
          <w:rFonts w:ascii="Times New Roman" w:hAnsi="Times New Roman" w:eastAsia="Times New Roman" w:cs="Times New Roman"/>
        </w:rPr>
        <w:t xml:space="preserve"> </w:t>
      </w:r>
      <w:r>
        <w:rPr>
          <w:rFonts w:ascii="Nirmala UI" w:hAnsi="Nirmala UI" w:eastAsia="Nirmala UI" w:cs="Nirmala UI"/>
        </w:rPr>
        <w:t>কেছকেটখনৰ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উলিয়াই</w:t>
      </w:r>
      <w:r>
        <w:rPr>
          <w:rFonts w:ascii="Times New Roman" w:hAnsi="Times New Roman" w:eastAsia="Times New Roman" w:cs="Times New Roman"/>
        </w:rPr>
        <w:t xml:space="preserve"> </w:t>
      </w:r>
      <w:r>
        <w:rPr>
          <w:rFonts w:ascii="Nirmala UI" w:hAnsi="Nirmala UI" w:eastAsia="Nirmala UI" w:cs="Nirmala UI"/>
        </w:rPr>
        <w:t>ননিয়াওক</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যিমানেই</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সিমানেই</w:t>
      </w:r>
      <w:r>
        <w:rPr>
          <w:rFonts w:ascii="Times New Roman" w:hAnsi="Times New Roman" w:eastAsia="Times New Roman" w:cs="Times New Roman"/>
        </w:rPr>
        <w:t xml:space="preserve"> </w:t>
      </w:r>
      <w:r>
        <w:rPr>
          <w:rFonts w:ascii="Nirmala UI" w:hAnsi="Nirmala UI" w:eastAsia="Nirmala UI" w:cs="Nirmala UI"/>
        </w:rPr>
        <w:t>বেছি</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পেলাইছিল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এতিয়া</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সেইবোৰ</w:t>
      </w:r>
      <w:r>
        <w:rPr>
          <w:rFonts w:ascii="Times New Roman" w:hAnsi="Times New Roman" w:eastAsia="Times New Roman" w:cs="Times New Roman"/>
        </w:rPr>
        <w:t xml:space="preserve"> </w:t>
      </w:r>
      <w:r>
        <w:rPr>
          <w:rFonts w:ascii="Nirmala UI" w:hAnsi="Nirmala UI" w:eastAsia="Nirmala UI" w:cs="Nirmala UI"/>
        </w:rPr>
        <w:t>সমগ্ৰ</w:t>
      </w:r>
      <w:r>
        <w:rPr>
          <w:rFonts w:ascii="Times New Roman" w:hAnsi="Times New Roman" w:eastAsia="Times New Roman" w:cs="Times New Roman"/>
        </w:rPr>
        <w:t xml:space="preserve"> </w:t>
      </w:r>
      <w:r>
        <w:rPr>
          <w:rFonts w:ascii="Nirmala UI" w:hAnsi="Nirmala UI" w:eastAsia="Nirmala UI" w:cs="Nirmala UI"/>
        </w:rPr>
        <w:t>কোঠাটো</w:t>
      </w:r>
      <w:r>
        <w:rPr>
          <w:rFonts w:ascii="Times New Roman" w:hAnsi="Times New Roman" w:eastAsia="Times New Roman" w:cs="Times New Roman"/>
        </w:rPr>
        <w:t xml:space="preserve"> </w:t>
      </w:r>
      <w:r>
        <w:rPr>
          <w:rFonts w:ascii="Nirmala UI" w:hAnsi="Nirmala UI" w:eastAsia="Nirmala UI" w:cs="Nirmala UI"/>
        </w:rPr>
        <w:t>জুৰি</w:t>
      </w:r>
      <w:r>
        <w:rPr>
          <w:rFonts w:ascii="Times New Roman" w:hAnsi="Times New Roman" w:eastAsia="Times New Roman" w:cs="Times New Roman"/>
        </w:rPr>
        <w:t xml:space="preserve">, </w:t>
      </w:r>
      <w:r>
        <w:rPr>
          <w:rFonts w:ascii="Nirmala UI" w:hAnsi="Nirmala UI" w:eastAsia="Nirmala UI" w:cs="Nirmala UI"/>
        </w:rPr>
        <w:t>মজিয়াত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কোঠাটোৰ</w:t>
      </w:r>
      <w:r>
        <w:rPr>
          <w:rFonts w:ascii="Times New Roman" w:hAnsi="Times New Roman" w:eastAsia="Times New Roman" w:cs="Times New Roman"/>
        </w:rPr>
        <w:t xml:space="preserve"> </w:t>
      </w:r>
      <w:r>
        <w:rPr>
          <w:rFonts w:ascii="Nirmala UI" w:hAnsi="Nirmala UI" w:eastAsia="Nirmala UI" w:cs="Nirmala UI"/>
        </w:rPr>
        <w:t>প্ৰতিটো</w:t>
      </w:r>
      <w:r>
        <w:rPr>
          <w:rFonts w:ascii="Times New Roman" w:hAnsi="Times New Roman" w:eastAsia="Times New Roman" w:cs="Times New Roman"/>
        </w:rPr>
        <w:t xml:space="preserve"> </w:t>
      </w:r>
      <w:r>
        <w:rPr>
          <w:rFonts w:ascii="Nirmala UI" w:hAnsi="Nirmala UI" w:eastAsia="Nirmala UI" w:cs="Nirmala UI"/>
        </w:rPr>
        <w:t>আসবাবৰ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পেলোৱা</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w:t>
      </w:r>
      <w:r>
        <w:rPr>
          <w:rFonts w:ascii="Nirmala UI" w:hAnsi="Nirmala UI" w:eastAsia="Nirmala UI" w:cs="Nirmala UI"/>
        </w:rPr>
        <w:t>ল।</w:t>
      </w:r>
    </w:p>
    <w:p>
      <w:pPr>
        <w:pStyle w:val="ArticleScripture"/>
        <w:jc w:val="left"/>
      </w:pPr>
      <w:r>
        <w:rPr>
          <w:rFonts w:ascii="Times New Roman" w:hAnsi="Times New Roman" w:eastAsia="Times New Roman" w:cs="Times New Roman"/>
        </w:rPr>
        <w:t>“آن‌گاه دیدم که در میان جواهرات و سکه‌های اصیلی که داشتند، مقدار بی‌شماری جواهرات تقلبی و سکه‌های جعلی پراکنده کرده بودند. از کردار پست و ناسپاسیِ ایشان سخت برآشفته شدم، و ایشان را به سبب آن توبیخ و سرزنش کردم؛ اما هرچه بیشتر توبیخ می‌کردم، بیشتر جواهرات تقلبی و سکه‌های جعلی را در میان جواهرات و سکه‌های اصیل پراکنده می‌ساختند.”</w:t>
      </w:r>
    </w:p>
    <w:p>
      <w:pPr>
        <w:pStyle w:val="ArticleScripture"/>
        <w:jc w:val="left"/>
      </w:pPr>
      <w:r>
        <w:rPr>
          <w:rFonts w:ascii="Times New Roman" w:hAnsi="Times New Roman" w:eastAsia="Times New Roman" w:cs="Times New Roman"/>
        </w:rPr>
        <w:t>«Тогда душа моя в телесном состоянии исполнилась досады, и я начал употреблять физическую силу, чтобы вытеснить их из комнаты; но пока я выталкивал одного, входили ещё трое и вносили грязь, стружки, песок и всякого рода сор, пока не покрыли все подлинные драгоценности, алмазы и монеты, так что они совершенно скрылись из виду. Они также разорвали мой ларец на части и разбросали его среди сора. Мне казалось, что никто не внимает ни моей скорби, ни моему гневу. Я совершенно пал духом и впал в уныние, сел и заплакал.</w:t>
      </w:r>
    </w:p>
    <w:p>
      <w:pPr>
        <w:pStyle w:val="ArticleScripture"/>
        <w:jc w:val="left"/>
      </w:pPr>
      <w:r>
        <w:rPr>
          <w:rFonts w:ascii="Times New Roman" w:hAnsi="Times New Roman" w:eastAsia="Times New Roman" w:cs="Times New Roman"/>
        </w:rPr>
        <w:t>« Lorsque je pleurais et me lamentais ainsi sur ma grande perte et sur la responsabilité qui m’incombait, je me souvins de Dieu et je Le priai instamment de m’envoyer du secours. Aussitôt la porte s’ouvrit, et un homme entra dans la pièce ; alors tous les gens la quittèrent. Lui, tenant à la main une brosse pour enlever la poussière, ouvrit les fenêtres et se mit à balayer hors de la pièce la poussière et les ordures. »</w:t>
      </w:r>
    </w:p>
    <w:p>
      <w:pPr>
        <w:pStyle w:val="ArticleScripture"/>
        <w:jc w:val="left"/>
      </w:pPr>
      <w:r>
        <w:rPr>
          <w:rFonts w:ascii="Times New Roman" w:hAnsi="Times New Roman" w:eastAsia="Times New Roman" w:cs="Times New Roman"/>
        </w:rPr>
        <w:t>“Mikriisuutte isattiif iyyadhe; sababni isaas, faayidaa hin qabne sana gidduutti dhagaa gatii guddaa qaban tokko tokko bittinnaa’anii turan.</w:t>
      </w:r>
    </w:p>
    <w:p>
      <w:pPr>
        <w:pStyle w:val="ArticleScripture"/>
        <w:jc w:val="left"/>
      </w:pPr>
      <w:r>
        <w:rPr>
          <w:rFonts w:ascii="Times New Roman" w:hAnsi="Times New Roman" w:eastAsia="Times New Roman" w:cs="Times New Roman"/>
        </w:rPr>
        <w:t>Na agaka m ka m ghara “ịtụ egwu,” n’ihi na ọ ga-“elekọta ha.”</w:t>
      </w:r>
    </w:p>
    <w:p>
      <w:pPr>
        <w:pStyle w:val="ArticleScripture"/>
        <w:jc w:val="left"/>
      </w:pPr>
      <w:r>
        <w:rPr>
          <w:rFonts w:ascii="Times New Roman" w:hAnsi="Times New Roman" w:eastAsia="Times New Roman" w:cs="Times New Roman"/>
        </w:rPr>
        <w:t>“Na, a fele ne hohoroa te eruee i te repo e te pehu, te mau ofai faufaa haavare e te moni haavare, ua tia a‘era te mau mea atoa e ua haere atu na roto i te haamaramarama mai te hoê ata ra, e na te mata‘i ratou i amo atu. I roto i taua vevehe ra, ua opani au i to‘u mata no te hoê taime poto; e i to‘u faatara-faahou-raa i te reira, ua ore roa a‘era te pehu atoa. Te mau ofai faufaa mau, te mau daimane, te mau moni auro e te moni ario, te taoto haraatea noa ra i roto i te rahi i te mau vahi atoa o te piha.”</w:t>
      </w:r>
    </w:p>
    <w:p>
      <w:pPr>
        <w:pStyle w:val="ArticleScripture"/>
        <w:jc w:val="left"/>
      </w:pPr>
      <w:r>
        <w:rPr>
          <w:rFonts w:ascii="Times New Roman" w:hAnsi="Times New Roman" w:eastAsia="Times New Roman" w:cs="Times New Roman"/>
        </w:rPr>
        <w:t>Il posa alors sur la table un coffret, beaucoup plus grand et plus beau que le premier, puis il ramassa les joyaux, les diamants et les pièces de monnaie à pleines poignées, et les jeta dans le coffret, jusqu’à ce qu’il n’en restât pas un seul, bien que certains des diamants ne fussent pas plus gros que la pointe d’une épingle.</w:t>
      </w:r>
    </w:p>
    <w:p>
      <w:pPr>
        <w:pStyle w:val="ArticleScripture"/>
        <w:jc w:val="left"/>
      </w:pPr>
      <w:r>
        <w:rPr>
          <w:rFonts w:ascii="Times New Roman" w:hAnsi="Times New Roman" w:eastAsia="Times New Roman" w:cs="Times New Roman"/>
        </w:rPr>
        <w:t>“He then called upon me to ‘come and see.’</w:t>
      </w:r>
    </w:p>
    <w:p>
      <w:pPr>
        <w:pStyle w:val="ArticleScripture"/>
        <w:jc w:val="left"/>
      </w:pPr>
      <w:r>
        <w:rPr>
          <w:rFonts w:ascii="Times New Roman" w:hAnsi="Times New Roman" w:eastAsia="Times New Roman" w:cs="Times New Roman"/>
        </w:rPr>
        <w:t>„Я взглянула в ковчег, но глаза мои были ослеплены этим зрелищем. Они сияли в десять раз ярче прежней своей славы. Я подумала, что они были очищены песком под ногами тех нечестивых людей, которые рассыпали их и попирали в прах. Они были уложены в ковчеге в прекрасном порядке, каждый на своём месте, без каких-либо видимых следов усилий того мужа, который бросил их туда. Я воскликнула от самой радости, и этот возглас разбудил меня“. Early Writings, 81–83.</w:t>
      </w:r>
    </w:p>
    <w:p>
      <w:pPr>
        <w:pStyle w:val="ArticleBody"/>
        <w:jc w:val="left"/>
      </w:pPr>
      <w:r>
        <w:rPr>
          <w:rFonts w:ascii="Times New Roman" w:hAnsi="Times New Roman" w:eastAsia="Times New Roman" w:cs="Times New Roman"/>
        </w:rPr>
        <w:t>Nous traiterons le rêve de Miller dans l’article suivant.</w:t>
      </w:r>
    </w:p>
    <w:p>
      <w:pPr>
        <w:pStyle w:val="ArticleBody"/>
        <w:jc w:val="left"/>
      </w:pPr>
      <w:r>
        <w:rPr>
          <w:rFonts w:ascii="Times New Roman" w:hAnsi="Times New Roman" w:eastAsia="Times New Roman" w:cs="Times New Roman"/>
        </w:rPr>
        <w:t>Lo siguiente es una introducción al segundo sueño de William Miller, escrita por James White cuando publicó el sueño de Miller en el Advent Herald.</w:t>
      </w:r>
    </w:p>
    <w:p>
      <w:pPr>
        <w:pStyle w:val="ArticleScripture"/>
        <w:jc w:val="left"/>
      </w:pPr>
      <w:r>
        <w:rPr>
          <w:rFonts w:ascii="Times New Roman" w:hAnsi="Times New Roman" w:eastAsia="Times New Roman" w:cs="Times New Roman"/>
        </w:rPr>
        <w:t>«Le rêve suivant a été publié dans l’Advent Herald il y a plus de deux ans. Je vis alors qu’il retraçait clairement notre expérience passée relative au second avènement, et que Dieu avait donné ce rêve pour le bien du troupeau dispersé. »</w:t>
      </w:r>
    </w:p>
    <w:p>
      <w:pPr>
        <w:pStyle w:val="ArticleScripture"/>
        <w:jc w:val="left"/>
      </w:pPr>
      <w:r>
        <w:rPr>
          <w:rFonts w:ascii="Times New Roman" w:hAnsi="Times New Roman" w:eastAsia="Times New Roman" w:cs="Times New Roman"/>
        </w:rPr>
        <w:t>«</w:t>
      </w:r>
      <w:r>
        <w:rPr>
          <w:rFonts w:ascii="Nirmala UI" w:hAnsi="Nirmala UI" w:eastAsia="Nirmala UI" w:cs="Nirmala UI"/>
        </w:rPr>
        <w:t>ਨਜ਼ਦੀਕ</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ਭਿਆਨਕ</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2:28–31;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ਕਰਤੱਬ</w:t>
      </w:r>
      <w:r>
        <w:rPr>
          <w:rFonts w:ascii="Times New Roman" w:hAnsi="Times New Roman" w:eastAsia="Times New Roman" w:cs="Times New Roman"/>
        </w:rPr>
        <w:t xml:space="preserve"> 2:17–20</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ਤਰੀਕਿਆਂ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w:t>
      </w:r>
      <w:r>
        <w:rPr>
          <w:rFonts w:ascii="Nirmala UI" w:hAnsi="Nirmala UI" w:eastAsia="Nirmala UI" w:cs="Nirmala UI"/>
        </w:rPr>
        <w:t>ਵਿਹਾਰ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ਉਪਦੇਸ਼ਕ</w:t>
      </w:r>
      <w:r>
        <w:rPr>
          <w:rFonts w:ascii="Times New Roman" w:hAnsi="Times New Roman" w:eastAsia="Times New Roman" w:cs="Times New Roman"/>
        </w:rPr>
        <w:t xml:space="preserve"> 5:3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ਦੇਖ</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8:1–5; </w:t>
      </w:r>
      <w:r>
        <w:rPr>
          <w:rFonts w:ascii="Nirmala UI" w:hAnsi="Nirmala UI" w:eastAsia="Nirmala UI" w:cs="Nirmala UI"/>
        </w:rPr>
        <w:t>ਯਿਰਮਿਯਾਹ</w:t>
      </w:r>
      <w:r>
        <w:rPr>
          <w:rFonts w:ascii="Times New Roman" w:hAnsi="Times New Roman" w:eastAsia="Times New Roman" w:cs="Times New Roman"/>
        </w:rPr>
        <w:t xml:space="preserve"> 23:25–28; 27:9; 29:8; </w:t>
      </w:r>
      <w:r>
        <w:rPr>
          <w:rFonts w:ascii="Nirmala UI" w:hAnsi="Nirmala UI" w:eastAsia="Nirmala UI" w:cs="Nirmala UI"/>
        </w:rPr>
        <w:t>ਜ਼ਕਰਯਾਹ</w:t>
      </w:r>
      <w:r>
        <w:rPr>
          <w:rFonts w:ascii="Times New Roman" w:hAnsi="Times New Roman" w:eastAsia="Times New Roman" w:cs="Times New Roman"/>
        </w:rPr>
        <w:t xml:space="preserve"> 10:2; </w:t>
      </w:r>
      <w:r>
        <w:rPr>
          <w:rFonts w:ascii="Nirmala UI" w:hAnsi="Nirmala UI" w:eastAsia="Nirmala UI" w:cs="Nirmala UI"/>
        </w:rPr>
        <w:t>ਯਹੂਦਾ</w:t>
      </w:r>
      <w:r>
        <w:rPr>
          <w:rFonts w:ascii="Times New Roman" w:hAnsi="Times New Roman" w:eastAsia="Times New Roman" w:cs="Times New Roman"/>
        </w:rPr>
        <w:t xml:space="preserve"> 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ਸੁਪਨਿਆਂ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ਸਿਖਾਇਆ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ਸਿਖਾਉਂਦਾ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ਲੈਣਗੇ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ਸੁਪਨਿਆਂ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ਖਾ</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ਭਟਕਾਏ</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भन्नुभयो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अगमवक्ता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दर्शनमा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उससँग</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12:6</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याकूबले</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बोल्नुभयो।</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31:2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रातिको</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सिरियाली</w:t>
      </w:r>
      <w:r>
        <w:rPr>
          <w:rFonts w:ascii="Times New Roman" w:hAnsi="Times New Roman" w:eastAsia="Times New Roman" w:cs="Times New Roman"/>
        </w:rPr>
        <w:t xml:space="preserve"> </w:t>
      </w:r>
      <w:r>
        <w:rPr>
          <w:rFonts w:ascii="Nirmala UI" w:hAnsi="Nirmala UI" w:eastAsia="Nirmala UI" w:cs="Nirmala UI"/>
        </w:rPr>
        <w:t>लाबानकहाँ</w:t>
      </w:r>
      <w:r>
        <w:rPr>
          <w:rFonts w:ascii="Times New Roman" w:hAnsi="Times New Roman" w:eastAsia="Times New Roman" w:cs="Times New Roman"/>
        </w:rPr>
        <w:t xml:space="preserve"> </w:t>
      </w:r>
      <w:r>
        <w:rPr>
          <w:rFonts w:ascii="Nirmala UI" w:hAnsi="Nirmala UI" w:eastAsia="Nirmala UI" w:cs="Nirmala UI"/>
        </w:rPr>
        <w:t>आउनुभयो।</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31:24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यूसुफका</w:t>
      </w:r>
      <w:r>
        <w:rPr>
          <w:rFonts w:ascii="Times New Roman" w:hAnsi="Times New Roman" w:eastAsia="Times New Roman" w:cs="Times New Roman"/>
        </w:rPr>
        <w:t xml:space="preserve"> </w:t>
      </w:r>
      <w:r>
        <w:rPr>
          <w:rFonts w:ascii="Nirmala UI" w:hAnsi="Nirmala UI" w:eastAsia="Nirmala UI" w:cs="Nirmala UI"/>
        </w:rPr>
        <w:t>सपनाहरू</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37:5–9]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मिस्रमा</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रोचक</w:t>
      </w:r>
      <w:r>
        <w:rPr>
          <w:rFonts w:ascii="Times New Roman" w:hAnsi="Times New Roman" w:eastAsia="Times New Roman" w:cs="Times New Roman"/>
        </w:rPr>
        <w:t xml:space="preserve"> </w:t>
      </w:r>
      <w:r>
        <w:rPr>
          <w:rFonts w:ascii="Nirmala UI" w:hAnsi="Nirmala UI" w:eastAsia="Nirmala UI" w:cs="Nirmala UI"/>
        </w:rPr>
        <w:t>वृत्तान्त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गिबोनमा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रातिको</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सुलैमानकहाँ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हुनुभयो।</w:t>
      </w:r>
      <w:r>
        <w:rPr>
          <w:rFonts w:ascii="Times New Roman" w:hAnsi="Times New Roman" w:eastAsia="Times New Roman" w:cs="Times New Roman"/>
        </w:rPr>
        <w:t xml:space="preserve">’ 1 </w:t>
      </w:r>
      <w:r>
        <w:rPr>
          <w:rFonts w:ascii="Nirmala UI" w:hAnsi="Nirmala UI" w:eastAsia="Nirmala UI" w:cs="Nirmala UI"/>
        </w:rPr>
        <w:t>राजा</w:t>
      </w:r>
      <w:r>
        <w:rPr>
          <w:rFonts w:ascii="Times New Roman" w:hAnsi="Times New Roman" w:eastAsia="Times New Roman" w:cs="Times New Roman"/>
        </w:rPr>
        <w:t xml:space="preserve"> 3:5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हेरोदले</w:t>
      </w:r>
      <w:r>
        <w:rPr>
          <w:rFonts w:ascii="Times New Roman" w:hAnsi="Times New Roman" w:eastAsia="Times New Roman" w:cs="Times New Roman"/>
        </w:rPr>
        <w:t xml:space="preserve"> </w:t>
      </w:r>
      <w:r>
        <w:rPr>
          <w:rFonts w:ascii="Nirmala UI" w:hAnsi="Nirmala UI" w:eastAsia="Nirmala UI" w:cs="Nirmala UI"/>
        </w:rPr>
        <w:t>शिशु</w:t>
      </w:r>
      <w:r>
        <w:rPr>
          <w:rFonts w:ascii="Times New Roman" w:hAnsi="Times New Roman" w:eastAsia="Times New Roman" w:cs="Times New Roman"/>
        </w:rPr>
        <w:t xml:space="preserve"> </w:t>
      </w:r>
      <w:r>
        <w:rPr>
          <w:rFonts w:ascii="Nirmala UI" w:hAnsi="Nirmala UI" w:eastAsia="Nirmala UI" w:cs="Nirmala UI"/>
        </w:rPr>
        <w:t>मुक्तिदातालाई</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खोज्यो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यूसुफलाई</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मिस्रतिर</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2:13</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 будет в ПОСЛЕДНИЕ ДНИ, говорит Бог, излию от Духа Моего на всякую плоть; и будут пророчествовать сыны ваши и дочери ваши, и юноши ваши будут видеть видения, и старцы ваши сновидениями вразумляемы будут.’ Деяния 2:17.</w:t>
      </w:r>
    </w:p>
    <w:p>
      <w:pPr>
        <w:pStyle w:val="ArticleScripture"/>
        <w:jc w:val="left"/>
      </w:pPr>
      <w:r>
        <w:rPr>
          <w:rFonts w:ascii="Times New Roman" w:hAnsi="Times New Roman" w:eastAsia="Times New Roman" w:cs="Times New Roman"/>
        </w:rPr>
        <w:t>“Le don de prophétie, par des songes et des visions, est ici le fruit du Saint-Esprit, et, dans les derniers jours, il doit se manifester suffisamment pour constituer un signe. C’est l’un des dons de l’Église de l’Évangile. ”</w:t>
      </w:r>
    </w:p>
    <w:p>
      <w:pPr>
        <w:pStyle w:val="ArticleScripture"/>
        <w:jc w:val="left"/>
      </w:pPr>
      <w:r>
        <w:rPr>
          <w:rFonts w:ascii="Times New Roman" w:hAnsi="Times New Roman" w:eastAsia="Times New Roman" w:cs="Times New Roman"/>
        </w:rPr>
        <w:t>« Et il a donné les uns comme apôtres, les autres comme PROPHÈTES, les autres comme évangélistes, les autres comme pasteurs et docteurs, pour le perfectionnement des saints, pour l’œuvre du ministère, pour l’édification du corps de Christ. » Éphésiens 4:11–12.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ហើយព្រះជាម្ចាស់បានតាំងមនុស្សខ្លះក្នុងក្រុមជំនុំ</w:t>
      </w:r>
      <w:r>
        <w:rPr>
          <w:rFonts w:ascii="Times New Roman" w:hAnsi="Times New Roman" w:eastAsia="Times New Roman" w:cs="Times New Roman"/>
        </w:rPr>
        <w:t xml:space="preserve"> </w:t>
      </w:r>
      <w:r>
        <w:rPr>
          <w:rFonts w:ascii="Leelawadee UI" w:hAnsi="Leelawadee UI" w:eastAsia="Leelawadee UI" w:cs="Leelawadee UI"/>
        </w:rPr>
        <w:t>ជាមុនដំបូងជាសាវក</w:t>
      </w:r>
      <w:r>
        <w:rPr>
          <w:rFonts w:ascii="Times New Roman" w:hAnsi="Times New Roman" w:eastAsia="Times New Roman" w:cs="Times New Roman"/>
        </w:rPr>
        <w:t xml:space="preserve"> </w:t>
      </w:r>
      <w:r>
        <w:rPr>
          <w:rFonts w:ascii="Leelawadee UI" w:hAnsi="Leelawadee UI" w:eastAsia="Leelawadee UI" w:cs="Leelawadee UI"/>
        </w:rPr>
        <w:t>ទីពីរជាពួកហោរា</w:t>
      </w:r>
      <w:r>
        <w:rPr>
          <w:rFonts w:ascii="Times New Roman" w:hAnsi="Times New Roman" w:eastAsia="Times New Roman" w:cs="Times New Roman"/>
        </w:rPr>
        <w:t xml:space="preserve">,’ </w:t>
      </w:r>
      <w:r>
        <w:rPr>
          <w:rFonts w:ascii="Leelawadee UI" w:hAnsi="Leelawadee UI" w:eastAsia="Leelawadee UI" w:cs="Leelawadee UI"/>
        </w:rPr>
        <w:t>ជាដើម។</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កូរិនថូស</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w:t>
      </w:r>
      <w:r>
        <w:rPr>
          <w:rFonts w:ascii="Leelawadee UI" w:hAnsi="Leelawadee UI" w:eastAsia="Leelawadee UI" w:cs="Leelawadee UI"/>
        </w:rPr>
        <w:t>២៨។</w:t>
      </w:r>
      <w:r>
        <w:rPr>
          <w:rFonts w:ascii="Times New Roman" w:hAnsi="Times New Roman" w:eastAsia="Times New Roman" w:cs="Times New Roman"/>
        </w:rPr>
        <w:t xml:space="preserve"> ‘</w:t>
      </w:r>
      <w:r>
        <w:rPr>
          <w:rFonts w:ascii="Leelawadee UI" w:hAnsi="Leelawadee UI" w:eastAsia="Leelawadee UI" w:cs="Leelawadee UI"/>
        </w:rPr>
        <w:t>កុំមើលងាយការព្យាករណ៍ទាំងឡាយឡើយ។</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ថេស្សាឡូនិច</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w:t>
      </w:r>
      <w:r>
        <w:rPr>
          <w:rFonts w:ascii="Leelawadee UI" w:hAnsi="Leelawadee UI" w:eastAsia="Leelawadee UI" w:cs="Leelawadee UI"/>
        </w:rPr>
        <w:t>២០។</w:t>
      </w:r>
      <w:r>
        <w:rPr>
          <w:rFonts w:ascii="Times New Roman" w:hAnsi="Times New Roman" w:eastAsia="Times New Roman" w:cs="Times New Roman"/>
        </w:rPr>
        <w:t xml:space="preserve"> </w:t>
      </w:r>
      <w:r>
        <w:rPr>
          <w:rFonts w:ascii="Leelawadee UI" w:hAnsi="Leelawadee UI" w:eastAsia="Leelawadee UI" w:cs="Leelawadee UI"/>
        </w:rPr>
        <w:t>សូមមើលផងដែរ</w:t>
      </w:r>
      <w:r>
        <w:rPr>
          <w:rFonts w:ascii="Times New Roman" w:hAnsi="Times New Roman" w:eastAsia="Times New Roman" w:cs="Times New Roman"/>
        </w:rPr>
        <w:t xml:space="preserve"> </w:t>
      </w:r>
      <w:r>
        <w:rPr>
          <w:rFonts w:ascii="Leelawadee UI" w:hAnsi="Leelawadee UI" w:eastAsia="Leelawadee UI" w:cs="Leelawadee UI"/>
        </w:rPr>
        <w:t>កិច្ចការ</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២១</w:t>
      </w:r>
      <w:r>
        <w:rPr>
          <w:rFonts w:ascii="Times New Roman" w:hAnsi="Times New Roman" w:eastAsia="Times New Roman" w:cs="Times New Roman"/>
        </w:rPr>
        <w:t>:</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រ៉ូម</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w:t>
      </w:r>
      <w:r>
        <w:rPr>
          <w:rFonts w:ascii="Leelawadee UI" w:hAnsi="Leelawadee UI" w:eastAsia="Leelawadee UI" w:cs="Leelawadee UI"/>
        </w:rPr>
        <w:t>៦</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កូរិនថូស</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៣៩។</w:t>
      </w:r>
      <w:r>
        <w:rPr>
          <w:rFonts w:ascii="Times New Roman" w:hAnsi="Times New Roman" w:eastAsia="Times New Roman" w:cs="Times New Roman"/>
        </w:rPr>
        <w:t xml:space="preserve"> </w:t>
      </w:r>
      <w:r>
        <w:rPr>
          <w:rFonts w:ascii="Leelawadee UI" w:hAnsi="Leelawadee UI" w:eastAsia="Leelawadee UI" w:cs="Leelawadee UI"/>
        </w:rPr>
        <w:t>ពួកហោរា</w:t>
      </w:r>
      <w:r>
        <w:rPr>
          <w:rFonts w:ascii="Times New Roman" w:hAnsi="Times New Roman" w:eastAsia="Times New Roman" w:cs="Times New Roman"/>
        </w:rPr>
        <w:t xml:space="preserve"> </w:t>
      </w:r>
      <w:r>
        <w:rPr>
          <w:rFonts w:ascii="Leelawadee UI" w:hAnsi="Leelawadee UI" w:eastAsia="Leelawadee UI" w:cs="Leelawadee UI"/>
        </w:rPr>
        <w:t>ឬការព្យាករណ៍ទាំងឡាយ</w:t>
      </w:r>
      <w:r>
        <w:rPr>
          <w:rFonts w:ascii="Times New Roman" w:hAnsi="Times New Roman" w:eastAsia="Times New Roman" w:cs="Times New Roman"/>
        </w:rPr>
        <w:t xml:space="preserve"> </w:t>
      </w:r>
      <w:r>
        <w:rPr>
          <w:rFonts w:ascii="Leelawadee UI" w:hAnsi="Leelawadee UI" w:eastAsia="Leelawadee UI" w:cs="Leelawadee UI"/>
        </w:rPr>
        <w:t>គឺសម្រាប់ការកសាងក្រុមជំនុំរបស់ព្រះគ្រីស្ទ</w:t>
      </w:r>
      <w:r>
        <w:rPr>
          <w:rFonts w:ascii="Times New Roman" w:hAnsi="Times New Roman" w:eastAsia="Times New Roman" w:cs="Times New Roman"/>
        </w:rPr>
        <w:t xml:space="preserve">; </w:t>
      </w:r>
      <w:r>
        <w:rPr>
          <w:rFonts w:ascii="Leelawadee UI" w:hAnsi="Leelawadee UI" w:eastAsia="Leelawadee UI" w:cs="Leelawadee UI"/>
        </w:rPr>
        <w:t>ហើយគ្មានភស្តុតាងណាមួយដែលអាចយកមកបង្ហាញពីព្រះបន្ទូលរបស់ព្រះជាម្ចាស់បានថា</w:t>
      </w:r>
      <w:r>
        <w:rPr>
          <w:rFonts w:ascii="Times New Roman" w:hAnsi="Times New Roman" w:eastAsia="Times New Roman" w:cs="Times New Roman"/>
        </w:rPr>
        <w:t xml:space="preserve"> </w:t>
      </w:r>
      <w:r>
        <w:rPr>
          <w:rFonts w:ascii="Leelawadee UI" w:hAnsi="Leelawadee UI" w:eastAsia="Leelawadee UI" w:cs="Leelawadee UI"/>
        </w:rPr>
        <w:t>ពួកនោះត្រូវបញ្ឈប់មុនពេលអ្នកផ្សាយដំណឹងល្អ</w:t>
      </w:r>
      <w:r>
        <w:rPr>
          <w:rFonts w:ascii="Times New Roman" w:hAnsi="Times New Roman" w:eastAsia="Times New Roman" w:cs="Times New Roman"/>
        </w:rPr>
        <w:t xml:space="preserve"> </w:t>
      </w:r>
      <w:r>
        <w:rPr>
          <w:rFonts w:ascii="Leelawadee UI" w:hAnsi="Leelawadee UI" w:eastAsia="Leelawadee UI" w:cs="Leelawadee UI"/>
        </w:rPr>
        <w:t>គ្រូគង្វាល</w:t>
      </w:r>
      <w:r>
        <w:rPr>
          <w:rFonts w:ascii="Times New Roman" w:hAnsi="Times New Roman" w:eastAsia="Times New Roman" w:cs="Times New Roman"/>
        </w:rPr>
        <w:t xml:space="preserve"> </w:t>
      </w:r>
      <w:r>
        <w:rPr>
          <w:rFonts w:ascii="Leelawadee UI" w:hAnsi="Leelawadee UI" w:eastAsia="Leelawadee UI" w:cs="Leelawadee UI"/>
        </w:rPr>
        <w:t>និងគ្រូបង្រៀន</w:t>
      </w:r>
      <w:r>
        <w:rPr>
          <w:rFonts w:ascii="Times New Roman" w:hAnsi="Times New Roman" w:eastAsia="Times New Roman" w:cs="Times New Roman"/>
        </w:rPr>
        <w:t xml:space="preserve"> </w:t>
      </w:r>
      <w:r>
        <w:rPr>
          <w:rFonts w:ascii="Leelawadee UI" w:hAnsi="Leelawadee UI" w:eastAsia="Leelawadee UI" w:cs="Leelawadee UI"/>
        </w:rPr>
        <w:t>ត្រូវបញ្ឈប់នោះឡើយ។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អ្នកជំទាស់និយាយថា</w:t>
      </w:r>
      <w:r>
        <w:rPr>
          <w:rFonts w:ascii="Times New Roman" w:hAnsi="Times New Roman" w:eastAsia="Times New Roman" w:cs="Times New Roman"/>
        </w:rPr>
        <w:t xml:space="preserve"> ‘</w:t>
      </w:r>
      <w:r>
        <w:rPr>
          <w:rFonts w:ascii="Leelawadee UI" w:hAnsi="Leelawadee UI" w:eastAsia="Leelawadee UI" w:cs="Leelawadee UI"/>
        </w:rPr>
        <w:t>មាននិមិត្ត</w:t>
      </w:r>
      <w:r>
        <w:rPr>
          <w:rFonts w:ascii="Times New Roman" w:hAnsi="Times New Roman" w:eastAsia="Times New Roman" w:cs="Times New Roman"/>
        </w:rPr>
        <w:t xml:space="preserve"> </w:t>
      </w:r>
      <w:r>
        <w:rPr>
          <w:rFonts w:ascii="Leelawadee UI" w:hAnsi="Leelawadee UI" w:eastAsia="Leelawadee UI" w:cs="Leelawadee UI"/>
        </w:rPr>
        <w:t>និងសុបិនក្លែងក្លាយជាច្រើនណាស់</w:t>
      </w:r>
      <w:r>
        <w:rPr>
          <w:rFonts w:ascii="Times New Roman" w:hAnsi="Times New Roman" w:eastAsia="Times New Roman" w:cs="Times New Roman"/>
        </w:rPr>
        <w:t xml:space="preserve"> </w:t>
      </w:r>
      <w:r>
        <w:rPr>
          <w:rFonts w:ascii="Leelawadee UI" w:hAnsi="Leelawadee UI" w:eastAsia="Leelawadee UI" w:cs="Leelawadee UI"/>
        </w:rPr>
        <w:t>រហូតខ្ញុំមិនអាចមានទំនុកចិត្តលើអ្វីៗប្រភេទនោះបានឡើយ។</w:t>
      </w:r>
      <w:r>
        <w:rPr>
          <w:rFonts w:ascii="Times New Roman" w:hAnsi="Times New Roman" w:eastAsia="Times New Roman" w:cs="Times New Roman"/>
        </w:rPr>
        <w:t xml:space="preserve">’ </w:t>
      </w:r>
      <w:r>
        <w:rPr>
          <w:rFonts w:ascii="Leelawadee UI" w:hAnsi="Leelawadee UI" w:eastAsia="Leelawadee UI" w:cs="Leelawadee UI"/>
        </w:rPr>
        <w:t>នេះជាការពិតថា</w:t>
      </w:r>
      <w:r>
        <w:rPr>
          <w:rFonts w:ascii="Times New Roman" w:hAnsi="Times New Roman" w:eastAsia="Times New Roman" w:cs="Times New Roman"/>
        </w:rPr>
        <w:t xml:space="preserve"> </w:t>
      </w:r>
      <w:r>
        <w:rPr>
          <w:rFonts w:ascii="Leelawadee UI" w:hAnsi="Leelawadee UI" w:eastAsia="Leelawadee UI" w:cs="Leelawadee UI"/>
        </w:rPr>
        <w:t>សាតាំងមានរបស់ក្លែងក្លាយរបស់វា។</w:t>
      </w:r>
      <w:r>
        <w:rPr>
          <w:rFonts w:ascii="Times New Roman" w:hAnsi="Times New Roman" w:eastAsia="Times New Roman" w:cs="Times New Roman"/>
        </w:rPr>
        <w:t xml:space="preserve"> </w:t>
      </w:r>
      <w:r>
        <w:rPr>
          <w:rFonts w:ascii="Leelawadee UI" w:hAnsi="Leelawadee UI" w:eastAsia="Leelawadee UI" w:cs="Leelawadee UI"/>
        </w:rPr>
        <w:t>វាតែងតែមានហោរាក្លែងក្លាយជានិច្ច</w:t>
      </w:r>
      <w:r>
        <w:rPr>
          <w:rFonts w:ascii="Times New Roman" w:hAnsi="Times New Roman" w:eastAsia="Times New Roman" w:cs="Times New Roman"/>
        </w:rPr>
        <w:t xml:space="preserve"> </w:t>
      </w:r>
      <w:r>
        <w:rPr>
          <w:rFonts w:ascii="Leelawadee UI" w:hAnsi="Leelawadee UI" w:eastAsia="Leelawadee UI" w:cs="Leelawadee UI"/>
        </w:rPr>
        <w:t>ហើយពិតប្រាកដណាស់</w:t>
      </w:r>
      <w:r>
        <w:rPr>
          <w:rFonts w:ascii="Times New Roman" w:hAnsi="Times New Roman" w:eastAsia="Times New Roman" w:cs="Times New Roman"/>
        </w:rPr>
        <w:t xml:space="preserve"> </w:t>
      </w:r>
      <w:r>
        <w:rPr>
          <w:rFonts w:ascii="Leelawadee UI" w:hAnsi="Leelawadee UI" w:eastAsia="Leelawadee UI" w:cs="Leelawadee UI"/>
        </w:rPr>
        <w:t>យើងអាចរំពឹងថាមានពួកនោះឥឡូវនេះផងដែរ</w:t>
      </w:r>
      <w:r>
        <w:rPr>
          <w:rFonts w:ascii="Times New Roman" w:hAnsi="Times New Roman" w:eastAsia="Times New Roman" w:cs="Times New Roman"/>
        </w:rPr>
        <w:t xml:space="preserve"> </w:t>
      </w:r>
      <w:r>
        <w:rPr>
          <w:rFonts w:ascii="Leelawadee UI" w:hAnsi="Leelawadee UI" w:eastAsia="Leelawadee UI" w:cs="Leelawadee UI"/>
        </w:rPr>
        <w:t>ក្នុងម៉ោងចុងក្រោយនៃការបោកបញ្ឆោត</w:t>
      </w:r>
      <w:r>
        <w:rPr>
          <w:rFonts w:ascii="Times New Roman" w:hAnsi="Times New Roman" w:eastAsia="Times New Roman" w:cs="Times New Roman"/>
        </w:rPr>
        <w:t xml:space="preserve"> </w:t>
      </w:r>
      <w:r>
        <w:rPr>
          <w:rFonts w:ascii="Leelawadee UI" w:hAnsi="Leelawadee UI" w:eastAsia="Leelawadee UI" w:cs="Leelawadee UI"/>
        </w:rPr>
        <w:t>និងជ័យជម្នះរបស់វានេះ។</w:t>
      </w:r>
      <w:r>
        <w:rPr>
          <w:rFonts w:ascii="Times New Roman" w:hAnsi="Times New Roman" w:eastAsia="Times New Roman" w:cs="Times New Roman"/>
        </w:rPr>
        <w:t xml:space="preserve"> </w:t>
      </w:r>
      <w:r>
        <w:rPr>
          <w:rFonts w:ascii="Leelawadee UI" w:hAnsi="Leelawadee UI" w:eastAsia="Leelawadee UI" w:cs="Leelawadee UI"/>
        </w:rPr>
        <w:t>អស់អ្នកដែលបដិសេធវិវរណៈពិសេសបែបនេះ</w:t>
      </w:r>
      <w:r>
        <w:rPr>
          <w:rFonts w:ascii="Times New Roman" w:hAnsi="Times New Roman" w:eastAsia="Times New Roman" w:cs="Times New Roman"/>
        </w:rPr>
        <w:t xml:space="preserve"> </w:t>
      </w:r>
      <w:r>
        <w:rPr>
          <w:rFonts w:ascii="Leelawadee UI" w:hAnsi="Leelawadee UI" w:eastAsia="Leelawadee UI" w:cs="Leelawadee UI"/>
        </w:rPr>
        <w:t>ពីព្រោះរបស់ក្លែងក្លាយមានស្រាប់</w:t>
      </w:r>
      <w:r>
        <w:rPr>
          <w:rFonts w:ascii="Times New Roman" w:hAnsi="Times New Roman" w:eastAsia="Times New Roman" w:cs="Times New Roman"/>
        </w:rPr>
        <w:t xml:space="preserve"> </w:t>
      </w:r>
      <w:r>
        <w:rPr>
          <w:rFonts w:ascii="Leelawadee UI" w:hAnsi="Leelawadee UI" w:eastAsia="Leelawadee UI" w:cs="Leelawadee UI"/>
        </w:rPr>
        <w:t>នោះក៏អាចនិយាយឲ្យហួសទៅបន្តិចទៀតដោយសមហេតុផលដូចគ្នាថា</w:t>
      </w:r>
      <w:r>
        <w:rPr>
          <w:rFonts w:ascii="Times New Roman" w:hAnsi="Times New Roman" w:eastAsia="Times New Roman" w:cs="Times New Roman"/>
        </w:rPr>
        <w:t xml:space="preserve"> </w:t>
      </w:r>
      <w:r>
        <w:rPr>
          <w:rFonts w:ascii="Leelawadee UI" w:hAnsi="Leelawadee UI" w:eastAsia="Leelawadee UI" w:cs="Leelawadee UI"/>
        </w:rPr>
        <w:t>ព្រះជាម្ចាស់មិនដែលបានសម្ដែងអង្គទ្រង់ដល់មនុស្សក្នុងសុបិន</w:t>
      </w:r>
      <w:r>
        <w:rPr>
          <w:rFonts w:ascii="Times New Roman" w:hAnsi="Times New Roman" w:eastAsia="Times New Roman" w:cs="Times New Roman"/>
        </w:rPr>
        <w:t xml:space="preserve"> </w:t>
      </w:r>
      <w:r>
        <w:rPr>
          <w:rFonts w:ascii="Leelawadee UI" w:hAnsi="Leelawadee UI" w:eastAsia="Leelawadee UI" w:cs="Leelawadee UI"/>
        </w:rPr>
        <w:t>ឬក្នុងនិមិត្តណាមួយឡើយ</w:t>
      </w:r>
      <w:r>
        <w:rPr>
          <w:rFonts w:ascii="Times New Roman" w:hAnsi="Times New Roman" w:eastAsia="Times New Roman" w:cs="Times New Roman"/>
        </w:rPr>
        <w:t xml:space="preserve"> </w:t>
      </w:r>
      <w:r>
        <w:rPr>
          <w:rFonts w:ascii="Leelawadee UI" w:hAnsi="Leelawadee UI" w:eastAsia="Leelawadee UI" w:cs="Leelawadee UI"/>
        </w:rPr>
        <w:t>ពីព្រោះរបស់ក្លែងក្លាយតែងតែមានស្រាប់ដែរ។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“Les rêves et les visions sont le moyen par lequel Dieu s’est révélé à l’homme. C’est par ce moyen qu’il parla aux prophètes; il a placé le don de prophétie parmi les dons de l’Église de l’Évangile, et il a rangé les rêves et les visions parmi les autres signes des « DERNIERS JOURS ». Amen.</w:t>
      </w:r>
    </w:p>
    <w:p>
      <w:pPr>
        <w:pStyle w:val="ArticleScripture"/>
        <w:jc w:val="left"/>
      </w:pPr>
      <w:r>
        <w:rPr>
          <w:rFonts w:ascii="Times New Roman" w:hAnsi="Times New Roman" w:eastAsia="Times New Roman" w:cs="Times New Roman"/>
        </w:rPr>
        <w:t>“Lengo langu katika maelezo yaliyo hapo juu limekuwa kuondoa pingamizi kwa njia ya Kimaandiko, na kuandaa nia ya msomaji kwa ajili ya yafuatayo.”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Tiga Puluh Enam</dc:title>
  <dc:subject>Nebucadneţar’ın Peygamberlik Sembolizmi: Millerit Hareketi’nin Tarihî Yol İşaretlerinin ve Ulai Irmağı’nın Mühürlü Görümünün Açığa Çıkarılması</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