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Thelathini na Tisa</w:t>
      </w:r>
    </w:p>
    <w:p>
      <w:pPr>
        <w:pStyle w:val="ArticleSubtitle"/>
        <w:jc w:val="left"/>
      </w:pPr>
      <w:r>
        <w:rPr>
          <w:rFonts w:ascii="Arial" w:hAnsi="Arial" w:eastAsia="Arial" w:cs="Arial"/>
        </w:rPr>
        <w:t>Révélation de la tapisserie prophétique : le rêve de William Miller et la restauration des vérités fondamentales dans les derniers jours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Chanu, kan kachikij na'oj rech ri ruk'aslemal q'ij q'ij ri su'jkil ri xok pa ruk'ux William Miller pa ri q'ij q'ij k'isb'al, jawje' konojel ri q'ijq'ijil taq tz'ib'anïk kakiriq ri tz'aqät ruk'isib'äl. Ri su'jkil rech Miller nuk'ut ri kilitajem, ri ruya'ik pa ruwi', ri retzelaxik, ri rujulïk, chuqa' ri rutzolinik ri taq qitzij xe'riqitaj richin ri Adventismo, ri xkimol pa ri samaj rech Miller. Ri taq qitzij ri' xekik'utuj ri taq qitzij ri xejakätäj pa 1798. Ri taq qitzij ri' yekik'ut pa ri rutz'etoj ri ya' Ulai. Ri su'jkil rech Miller, achi'el ri tz'ib'atal pa ri wuj Early Writings, ja ri ruka'n su'jkil, chuqa' ri su'jkil ri' xb'an jun achi'el pa ri ruka'n su'jkil rech Nabucodonosor, achi'el chuqa' ri Miller mismo xk'ut jun achi'el pa Nabucodonosor.</w:t>
      </w:r>
    </w:p>
    <w:p>
      <w:pPr>
        <w:pStyle w:val="ArticleBody"/>
        <w:jc w:val="left"/>
      </w:pPr>
      <w:r>
        <w:rPr>
          <w:rFonts w:ascii="Times New Roman" w:hAnsi="Times New Roman" w:eastAsia="Times New Roman" w:cs="Times New Roman"/>
        </w:rPr>
        <w:t>Les articles précédents ont montré comment la conclusion de la période des « sept temps » de la vie de Nebucadnetsar, durant laquelle il vécut avec le cœur d’une bête, prit symboliquement fin en 1798. Son royaume lui fut alors rendu, et, pour la première fois, Nebucadnetsar représenta un homme pleinement converti. En ce qui concerne le « temps de la fin », en 1798, il représentait les « sages ». Nous avons également établi qu’en tant que premier roi de Babylone, le jugement des « sept temps » de Nebucadnetsar préfigurait le jugement des deux mille cinq cent vingt de Belshatsar (mene, mene, tekel, upharsin), lequel fut le dernier roi de Babylone.</w:t>
      </w:r>
    </w:p>
    <w:p>
      <w:pPr>
        <w:pStyle w:val="ArticleScripture"/>
        <w:jc w:val="left"/>
      </w:pPr>
      <w:r>
        <w:rPr>
          <w:rFonts w:ascii="Times New Roman" w:hAnsi="Times New Roman" w:eastAsia="Times New Roman" w:cs="Times New Roman"/>
        </w:rPr>
        <w:t>“Babylone a na ruɖuɖuŋlɔla mamlea si, abe alãme ene hã na eyama tsãtɔ la, Mawuga Kpɔla la ƒe ʋɔnudɔdrɔ va egbɔ be: ‘A fiã, … wogblɔe na wò; fiaɖuƒe la dzo le asiwò me.’ Daniel 4:31.” Prophets and Kings, 533.</w:t>
      </w:r>
    </w:p>
    <w:p>
      <w:pPr>
        <w:pStyle w:val="ArticleBody"/>
        <w:jc w:val="left"/>
      </w:pPr>
      <w:r>
        <w:rPr>
          <w:rFonts w:ascii="Times New Roman" w:hAnsi="Times New Roman" w:eastAsia="Times New Roman" w:cs="Times New Roman"/>
        </w:rPr>
        <w:t>Վայթ քույրը դատաստանի իր ժամին Բաղտասարին բնորոշեց որպես «անմիտ թագավոր»։ Նաբուգոդոնոսորի դատաստանի ժամի ավարտին նա ներկայացնում է «իմաստուն թագավորին», որովհետև նա օգուտ քաղեց «յոթ ժամանակների» դատաստանից, իսկ Բաղտասարը, թեև գիտեր այդ պատմությունը, հրաժարվեց դրանից օգուտ քաղել։</w:t>
      </w:r>
    </w:p>
    <w:p>
      <w:pPr>
        <w:pStyle w:val="ArticleScripture"/>
        <w:jc w:val="left"/>
      </w:pPr>
      <w:r>
        <w:rPr>
          <w:rFonts w:ascii="Times New Roman" w:hAnsi="Times New Roman" w:eastAsia="Times New Roman" w:cs="Times New Roman"/>
        </w:rPr>
        <w:t>«Por la amore de Belshazzar por divertimento e por auto-glorification effaciava le lectiones que ille nunquam deberea haber oblidate; e ille commetteva peccatos simile a illos que attinueva judicamentos signal super Nebuchadnezzar. Ille dissipava le opportunitates gratiosemente concedite a ille, negligente de usar le opportunitates a su portata pro devenir cognoscente del veritate. “Que debe io facer pro esser salvate?” esseva un question que le grande ma stolide rege passava indifferentemente.» Bible Echo, April 25, 1898.</w:t>
      </w:r>
    </w:p>
    <w:p>
      <w:pPr>
        <w:pStyle w:val="ArticleBody"/>
        <w:jc w:val="left"/>
      </w:pPr>
      <w:r>
        <w:rPr>
          <w:rFonts w:ascii="Times New Roman" w:hAnsi="Times New Roman" w:eastAsia="Times New Roman" w:cs="Times New Roman"/>
        </w:rPr>
        <w:t>Nebucadnetsar er et symbol på «de vise» i 1798, som forstår kunnskapens tilvekst ved endetiden.</w:t>
      </w:r>
    </w:p>
    <w:p>
      <w:pPr>
        <w:pStyle w:val="ArticleScripture"/>
        <w:jc w:val="left"/>
      </w:pPr>
      <w:r>
        <w:rPr>
          <w:rFonts w:ascii="Times New Roman" w:hAnsi="Times New Roman" w:eastAsia="Times New Roman" w:cs="Times New Roman"/>
        </w:rPr>
        <w:t>“Ha a i maboka voli na vosa ni dokadoka mai na tebenigusuna, sa qai rogo mai e dua na domo mai Lomalagi ka tukuna vua ni sa yaco mai na gauna ni veilewai sa lesia tu na Kalou. Ena dua ga na gauna lekaleka sa kau tani vua na nona vakasama, ka sa vaka e dua na manumanu. Me vitu na yabaki sa vakacacani vakaoqo kina. Ni sa cava na gauna oqori sa vakalesui tale vua na nona vakasama, ka ni sa qai rai cake ena yalomalumalumu vua na Kalou levu mai Lomalagi, sa kila kina na liga vakalou ena veivakanakuitataki oqo, ka sa vakalesui tale kina ki na nona tikotiko vakatui.</w:t>
      </w:r>
    </w:p>
    <w:p>
      <w:pPr>
        <w:pStyle w:val="ArticleScripture"/>
        <w:jc w:val="left"/>
      </w:pPr>
      <w:r>
        <w:rPr>
          <w:rFonts w:ascii="Times New Roman" w:hAnsi="Times New Roman" w:eastAsia="Times New Roman" w:cs="Times New Roman"/>
        </w:rPr>
        <w:t>“Waaqeffannaa uummataa keessatti, Mootiin Nebukadnezaar balleessaa isaa beekeera, akkasumas gara laafina guddaa Waaqaatiin deebi’ee dhaabamuu isaa amaneera. Kun akka Seenaa Qulqulluu keessatti galmeeffametti hojii isa jireenya isaa keessaa isa dhumaa ture.” Review and Herald, February 1, 1881.</w:t>
      </w:r>
    </w:p>
    <w:p>
      <w:pPr>
        <w:pStyle w:val="ArticleBody"/>
        <w:jc w:val="left"/>
      </w:pPr>
      <w:r>
        <w:rPr>
          <w:rFonts w:ascii="Times New Roman" w:hAnsi="Times New Roman" w:eastAsia="Times New Roman" w:cs="Times New Roman"/>
        </w:rPr>
        <w:t>Na nsuka ya “bantango nsambo” ya Nebukadanesala, asalaki maloba ya polele liboso ya bato nyonso, oyo ezalaki mpe na ndakisa ya kondima na ye liboso ya bato nyonso. Miller, lokola Nebukadanesala, azali elembo ya “bato ya bwanya” na 1798, oyo basosolaka bokóli ya boyebi na ntango ya nsuka. Bango mibale bazwaki bandoto mibale, mpe ndoto na bango ya mibale, moko na moko, ezali komonisa na elembo “bantango nsambo.” “Bantango nsambo” emonisamaki na mikanda ya kala ete ezali kotya elembo na esika ya mbongwana.</w:t>
      </w:r>
    </w:p>
    <w:p>
      <w:pPr>
        <w:pStyle w:val="ArticleBody"/>
        <w:jc w:val="left"/>
      </w:pPr>
      <w:r>
        <w:rPr>
          <w:rFonts w:ascii="Times New Roman" w:hAnsi="Times New Roman" w:eastAsia="Times New Roman" w:cs="Times New Roman"/>
        </w:rPr>
        <w:t>En 1798, Nebucodonosor marca una transición desde su condición de orgullo hasta la condición de los sabios. Esto incluyó su confesión pública. El año 1798 fue también el punto de transición entre el quinto y el sexto reinos de la profecía bíblica. También señaló la llegada del primer ángel, marcando así una nueva dispensación, pues la advertencia del juicio venidero no podía tener lugar hasta que el quinto reino de la profecía bíblica hubiese recibido su herida mortal.</w:t>
      </w:r>
    </w:p>
    <w:p>
      <w:pPr>
        <w:pStyle w:val="ArticleScripture"/>
        <w:jc w:val="left"/>
      </w:pP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डालता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प्रचारित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इधर</w:t>
      </w:r>
      <w:r>
        <w:rPr>
          <w:rFonts w:ascii="Times New Roman" w:hAnsi="Times New Roman" w:eastAsia="Times New Roman" w:cs="Times New Roman"/>
        </w:rPr>
        <w:t>-</w:t>
      </w:r>
      <w:r>
        <w:rPr>
          <w:rFonts w:ascii="Nirmala UI" w:hAnsi="Nirmala UI" w:eastAsia="Nirmala UI" w:cs="Nirmala UI"/>
        </w:rPr>
        <w:t>उधर</w:t>
      </w:r>
      <w:r>
        <w:rPr>
          <w:rFonts w:ascii="Times New Roman" w:hAnsi="Times New Roman" w:eastAsia="Times New Roman" w:cs="Times New Roman"/>
        </w:rPr>
        <w:t xml:space="preserve"> </w:t>
      </w:r>
      <w:r>
        <w:rPr>
          <w:rFonts w:ascii="Nirmala UI" w:hAnsi="Nirmala UI" w:eastAsia="Nirmala UI" w:cs="Nirmala UI"/>
        </w:rPr>
        <w:t>दौड़ेंगे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12:4.</w:t>
      </w:r>
    </w:p>
    <w:p>
      <w:pPr>
        <w:pStyle w:val="ArticleScripture"/>
        <w:jc w:val="left"/>
      </w:pPr>
      <w:r>
        <w:rPr>
          <w:rFonts w:ascii="Times New Roman" w:hAnsi="Times New Roman" w:eastAsia="Times New Roman" w:cs="Times New Roman"/>
        </w:rPr>
        <w:t>«Առաքյալ Պողոսը եկեղեցուն նախազգուշացնում էր, որ իր օրերում չսպասեն Քրիստոսի գալստյանը։ «Այդ օրը չի գա,— ասում է նա,— եթե նախ չգա հավատուրացությունը, և չհայտնվի մեղքի մարդը»։ 2 Թեսաղոնիկեցիներին 2:3։ Միայն մեծ ուրացությունից հետո և «մեղքի մարդու» իշխանության երկարատև ժամանակաշրջանից հետո կարող ենք սպասել մեր Տիրոջ գալստյանը։ «Մեղքի մարդը», որը նաև կոչվում է «անիրավության խորհուրդ», «կորստյան որդի» և «անօրենը», ներկայացնում է պապականությունը, որը, ինչպես մարգարեությամբ կանխասված էր, պիտի պահեր իր գերիշխանությունը 1260 տարի։ Այս ժամանակահատվածը ավարտվեց 1798 թվականին։ Քրիստոսի գալուստը չէր կարող տեղի ունենալ այդ ժամանակից առաջ։ Պողոսն իր նախազգուշացմամբ ընդգրկում է ամբողջ քրիստոնեական տնտեսությունը մինչև 1798 թվականը։ Հենց այդ ժամանակից հետո է, որ պետք է հռչակվի Քրիստոսի երկրորդ գալստյան լուրը»։</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过去的各世代中</w:t>
      </w:r>
      <w:r>
        <w:rPr>
          <w:rFonts w:ascii="Times New Roman" w:hAnsi="Times New Roman" w:eastAsia="Times New Roman" w:cs="Times New Roman"/>
        </w:rPr>
        <w:t>,</w:t>
      </w:r>
      <w:r>
        <w:rPr>
          <w:rFonts w:ascii="Microsoft YaHei" w:hAnsi="Microsoft YaHei" w:eastAsia="Microsoft YaHei" w:cs="Microsoft YaHei"/>
        </w:rPr>
        <w:t>从未传过这样的信息</w:t>
      </w:r>
      <w:r>
        <w:rPr>
          <w:rFonts w:ascii="Times New Roman" w:hAnsi="Times New Roman" w:eastAsia="Times New Roman" w:cs="Times New Roman"/>
        </w:rPr>
        <w:t>.</w:t>
      </w:r>
      <w:r>
        <w:rPr>
          <w:rFonts w:ascii="Microsoft YaHei" w:hAnsi="Microsoft YaHei" w:eastAsia="Microsoft YaHei" w:cs="Microsoft YaHei"/>
        </w:rPr>
        <w:t>正如我们所见</w:t>
      </w:r>
      <w:r>
        <w:rPr>
          <w:rFonts w:ascii="Times New Roman" w:hAnsi="Times New Roman" w:eastAsia="Times New Roman" w:cs="Times New Roman"/>
        </w:rPr>
        <w:t>,</w:t>
      </w:r>
      <w:r>
        <w:rPr>
          <w:rFonts w:ascii="Microsoft YaHei" w:hAnsi="Microsoft YaHei" w:eastAsia="Microsoft YaHei" w:cs="Microsoft YaHei"/>
        </w:rPr>
        <w:t>保罗并没有传讲这信息</w:t>
      </w:r>
      <w:r>
        <w:rPr>
          <w:rFonts w:ascii="Times New Roman" w:hAnsi="Times New Roman" w:eastAsia="Times New Roman" w:cs="Times New Roman"/>
        </w:rPr>
        <w:t>;</w:t>
      </w:r>
      <w:r>
        <w:rPr>
          <w:rFonts w:ascii="Microsoft YaHei" w:hAnsi="Microsoft YaHei" w:eastAsia="Microsoft YaHei" w:cs="Microsoft YaHei"/>
        </w:rPr>
        <w:t>他乃是把弟兄们的目光指向当时尚在遥远未来的主的降临</w:t>
      </w:r>
      <w:r>
        <w:rPr>
          <w:rFonts w:ascii="Times New Roman" w:hAnsi="Times New Roman" w:eastAsia="Times New Roman" w:cs="Times New Roman"/>
        </w:rPr>
        <w:t>.</w:t>
      </w:r>
      <w:r>
        <w:rPr>
          <w:rFonts w:ascii="Microsoft YaHei" w:hAnsi="Microsoft YaHei" w:eastAsia="Microsoft YaHei" w:cs="Microsoft YaHei"/>
        </w:rPr>
        <w:t>改教家们也没有宣告这信息</w:t>
      </w:r>
      <w:r>
        <w:rPr>
          <w:rFonts w:ascii="Times New Roman" w:hAnsi="Times New Roman" w:eastAsia="Times New Roman" w:cs="Times New Roman"/>
        </w:rPr>
        <w:t>.</w:t>
      </w:r>
      <w:r>
        <w:rPr>
          <w:rFonts w:ascii="Microsoft YaHei" w:hAnsi="Microsoft YaHei" w:eastAsia="Microsoft YaHei" w:cs="Microsoft YaHei"/>
        </w:rPr>
        <w:t>马丁</w:t>
      </w:r>
      <w:r>
        <w:rPr>
          <w:rFonts w:ascii="Times New Roman" w:hAnsi="Times New Roman" w:eastAsia="Times New Roman" w:cs="Times New Roman"/>
        </w:rPr>
        <w:t>·</w:t>
      </w:r>
      <w:r>
        <w:rPr>
          <w:rFonts w:ascii="Microsoft YaHei" w:hAnsi="Microsoft YaHei" w:eastAsia="Microsoft YaHei" w:cs="Microsoft YaHei"/>
        </w:rPr>
        <w:t>路德认为审判距他所处的时代约有三百年之遥</w:t>
      </w:r>
      <w:r>
        <w:rPr>
          <w:rFonts w:ascii="Times New Roman" w:hAnsi="Times New Roman" w:eastAsia="Times New Roman" w:cs="Times New Roman"/>
        </w:rPr>
        <w:t>.</w:t>
      </w:r>
      <w:r>
        <w:rPr>
          <w:rFonts w:ascii="Microsoft YaHei" w:hAnsi="Microsoft YaHei" w:eastAsia="Microsoft YaHei" w:cs="Microsoft YaHei"/>
        </w:rPr>
        <w:t>但自从</w:t>
      </w:r>
      <w:r>
        <w:rPr>
          <w:rFonts w:ascii="Times New Roman" w:hAnsi="Times New Roman" w:eastAsia="Times New Roman" w:cs="Times New Roman"/>
        </w:rPr>
        <w:t>1798</w:t>
      </w:r>
      <w:r>
        <w:rPr>
          <w:rFonts w:ascii="Microsoft YaHei" w:hAnsi="Microsoft YaHei" w:eastAsia="Microsoft YaHei" w:cs="Microsoft YaHei"/>
        </w:rPr>
        <w:t>年以来</w:t>
      </w:r>
      <w:r>
        <w:rPr>
          <w:rFonts w:ascii="Times New Roman" w:hAnsi="Times New Roman" w:eastAsia="Times New Roman" w:cs="Times New Roman"/>
        </w:rPr>
        <w:t>,</w:t>
      </w:r>
      <w:r>
        <w:rPr>
          <w:rFonts w:ascii="Microsoft YaHei" w:hAnsi="Microsoft YaHei" w:eastAsia="Microsoft YaHei" w:cs="Microsoft YaHei"/>
        </w:rPr>
        <w:t>但以理书已经开封</w:t>
      </w:r>
      <w:r>
        <w:rPr>
          <w:rFonts w:ascii="Times New Roman" w:hAnsi="Times New Roman" w:eastAsia="Times New Roman" w:cs="Times New Roman"/>
        </w:rPr>
        <w:t>,</w:t>
      </w:r>
      <w:r>
        <w:rPr>
          <w:rFonts w:ascii="Microsoft YaHei" w:hAnsi="Microsoft YaHei" w:eastAsia="Microsoft YaHei" w:cs="Microsoft YaHei"/>
        </w:rPr>
        <w:t>人对预言的知识增多了</w:t>
      </w:r>
      <w:r>
        <w:rPr>
          <w:rFonts w:ascii="Times New Roman" w:hAnsi="Times New Roman" w:eastAsia="Times New Roman" w:cs="Times New Roman"/>
        </w:rPr>
        <w:t>,</w:t>
      </w:r>
      <w:r>
        <w:rPr>
          <w:rFonts w:ascii="Microsoft YaHei" w:hAnsi="Microsoft YaHei" w:eastAsia="Microsoft YaHei" w:cs="Microsoft YaHei"/>
        </w:rPr>
        <w:t>并且许多人已经宣告那庄严的信息：审判近了</w:t>
      </w:r>
      <w:r>
        <w:rPr>
          <w:rFonts w:ascii="Times New Roman" w:hAnsi="Times New Roman" w:eastAsia="Times New Roman" w:cs="Times New Roman"/>
        </w:rPr>
        <w:t>.”«</w:t>
      </w:r>
      <w:r>
        <w:rPr>
          <w:rFonts w:ascii="Microsoft YaHei" w:hAnsi="Microsoft YaHei" w:eastAsia="Microsoft YaHei" w:cs="Microsoft YaHei"/>
        </w:rPr>
        <w:t>善恶之争</w:t>
      </w:r>
      <w:r>
        <w:rPr>
          <w:rFonts w:ascii="Times New Roman" w:hAnsi="Times New Roman" w:eastAsia="Times New Roman" w:cs="Times New Roman"/>
        </w:rPr>
        <w:t>»,356</w:t>
      </w:r>
      <w:r>
        <w:rPr>
          <w:rFonts w:ascii="Microsoft YaHei" w:hAnsi="Microsoft YaHei" w:eastAsia="Microsoft YaHei" w:cs="Microsoft YaHei"/>
        </w:rPr>
        <w:t>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Tamin’ny taona 1798, dia tonga ny fotoam-pitantanana vaovao amin’ny asan’ny famonjena, ary io fotoam-pitantanana vaovao io dia nanome fampitandremana momba ny fotoam-pitantanana iray hafa izay hanomboka amin’ny 1844. Tamin’izany fiovan’ny fotoam-pitantanana izany, dia hisy varavarana hikatona, ary hisy varavarana hisokatra.</w:t>
      </w:r>
    </w:p>
    <w:p>
      <w:pPr>
        <w:pStyle w:val="ArticleScripture"/>
        <w:jc w:val="left"/>
      </w:pPr>
      <w:r>
        <w:rPr>
          <w:rFonts w:ascii="Times New Roman" w:hAnsi="Times New Roman" w:eastAsia="Times New Roman" w:cs="Times New Roman"/>
        </w:rPr>
        <w:t>Nandikira umumarayika w’itorero ry’i Filadelifiya uti: Ibi ni byo avuga Uwera, Uw’ukuri, ufite urufunguzo rwa Dawidi, ufungura kandi nta muntu ushobora gukinga; kandi akinga, kandi nta muntu ushobora gufungura; nzi imirimo yawe: dore, nagushyize imbere umuryango ukinguye, kandi nta muntu ushobora kuwukinga: kuko ufite imbaraga nke, kandi wakomeje ijambo ryanjye, kandi ntiwahakanye izina ryanjye. Ibyahishuwe 3:7, 8.</w:t>
      </w:r>
    </w:p>
    <w:p>
      <w:pPr>
        <w:pStyle w:val="ArticleBody"/>
        <w:jc w:val="left"/>
      </w:pPr>
      <w:r>
        <w:rPr>
          <w:rFonts w:ascii="Times New Roman" w:hAnsi="Times New Roman" w:eastAsia="Times New Roman" w:cs="Times New Roman"/>
        </w:rPr>
        <w:t>Ohiami aponi no kyerɛ da foforo bi ase. Na ahenni ne nkrasɛm no mu da-sakra bi bae wɔ 1798, abufuw a edi kan no awiei, a wɔde fii ase yɛɛ no fi 723 A.Y.B. de kɔɔ 1798. Na da-sakra bi nso bae wɔ 1844, abufuw a etwa to no awiei, a wɔde fii ase yɛɛ no fi 677 A.Y.B. de kɔɔ 1844. Wɔ 1798 no, ɔbɔfo a odi kan no nkrasɛm no bere adu, ɛno na ɛbɔɔ atemmu a ɛrebɛn ho kɔkɔ. Wɔgyina hɔ ma Nebukadnesar ne Miller nyinaa sɛ “anyansafo” wɔ “awiei bere no mu,” bere a “apon no” buee mu maa ɔbɔfo a odi kan no nkrasɛm no mu da, ne maa akyi da-sakra a efi po mu aboa no so kɔ asase so aboa no so. Ɔbɔfo a odi kan no nkrasɛm no da no baa ne mmamu bere a wobuee apon no kɔɔ Kronkron Kronkron Mu no mu wɔ October 22, 1844, na ɔbɔfo a ɔto so abiɛsa no da, ne nhwehwɛmu atemmu no, durui.</w:t>
      </w:r>
    </w:p>
    <w:p>
      <w:pPr>
        <w:pStyle w:val="ArticleBody"/>
        <w:jc w:val="left"/>
      </w:pPr>
      <w:r>
        <w:rPr>
          <w:rFonts w:ascii="Times New Roman" w:hAnsi="Times New Roman" w:eastAsia="Times New Roman" w:cs="Times New Roman"/>
        </w:rPr>
        <w:t xml:space="preserve">Miller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संक्रमणकालीन</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स्थलीय</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अन्वेषणात्मक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1798 </w:t>
      </w:r>
      <w:r>
        <w:rPr>
          <w:rFonts w:ascii="Nirmala UI" w:hAnsi="Nirmala UI" w:eastAsia="Nirmala UI" w:cs="Nirmala UI"/>
        </w:rPr>
        <w:t>और</w:t>
      </w:r>
      <w:r>
        <w:rPr>
          <w:rFonts w:ascii="Times New Roman" w:hAnsi="Times New Roman" w:eastAsia="Times New Roman" w:cs="Times New Roman"/>
        </w:rPr>
        <w:t xml:space="preserve"> 1844,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कोपावस्थाओं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प्रतिपादित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1798 </w:t>
      </w:r>
      <w:r>
        <w:rPr>
          <w:rFonts w:ascii="Nirmala UI" w:hAnsi="Nirmala UI" w:eastAsia="Nirmala UI" w:cs="Nirmala UI"/>
        </w:rPr>
        <w:t>से</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22 </w:t>
      </w:r>
      <w:r>
        <w:rPr>
          <w:rFonts w:ascii="Nirmala UI" w:hAnsi="Nirmala UI" w:eastAsia="Nirmala UI" w:cs="Nirmala UI"/>
        </w:rPr>
        <w:t>अक्तूबर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महापवित्र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प्रविष्ट</w:t>
      </w:r>
      <w:r>
        <w:rPr>
          <w:rFonts w:ascii="Times New Roman" w:hAnsi="Times New Roman" w:eastAsia="Times New Roman" w:cs="Times New Roman"/>
        </w:rPr>
        <w:t xml:space="preserve"> </w:t>
      </w:r>
      <w:r>
        <w:rPr>
          <w:rFonts w:ascii="Nirmala UI" w:hAnsi="Nirmala UI" w:eastAsia="Nirmala UI" w:cs="Nirmala UI"/>
        </w:rPr>
        <w:t>हुआ।</w:t>
      </w:r>
    </w:p>
    <w:p>
      <w:pPr>
        <w:pStyle w:val="ArticleBody"/>
        <w:jc w:val="left"/>
      </w:pPr>
      <w:r>
        <w:rPr>
          <w:rFonts w:ascii="Times New Roman" w:hAnsi="Times New Roman" w:eastAsia="Times New Roman" w:cs="Times New Roman"/>
        </w:rPr>
        <w:t>1798 et 1844 désignent des transitions (plus d’une) marquées par les « sept temps ». La transition de l’adventisme millérite philadelphien à l’adventisme millérite laodicéen en 1856 fut également marquée par un accroissement de la connaissance des « sept temps », lequel fut ensuite rejeté en 1863. En 1798, il y avait eu un accroissement de la connaissance tirée du livre de Daniel, qui incluait les mêmes « sept temps » de Lévitique vingt-six, lesquels devaient être rejetés à la fin de l’adventisme millérite philadelphien.</w:t>
      </w:r>
    </w:p>
    <w:p>
      <w:pPr>
        <w:pStyle w:val="ArticleBody"/>
        <w:jc w:val="left"/>
      </w:pPr>
      <w:r>
        <w:rPr>
          <w:rFonts w:ascii="Times New Roman" w:hAnsi="Times New Roman" w:eastAsia="Times New Roman" w:cs="Times New Roman"/>
        </w:rPr>
        <w:t>Le passage du mouvement du premier ange de Philadelphie à Laodicée fut représenté par les sept années allant de 1856 à 1863. Le message laodicéen parvint en 1856, et durant sept années, la lumière nouvelle des « sept temps », qui avait été descellée, produisit un processus d’épreuve en trois étapes, auquel l’adventisme échoua en 1863. Sept années furent accordées afin que la lumière des « sept temps » fût soit reçue, soit rejetée. La transition du mouvement de l’adventisme millérite philadelphien à l’adventisme millérite laodicéen typifie le renversement de la séquence à la fin : le passage du mouvement laodicéen du troisième ange au mouvement philadelphien du troisième ange.</w:t>
      </w:r>
    </w:p>
    <w:p>
      <w:pPr>
        <w:pStyle w:val="ArticleBody"/>
        <w:jc w:val="left"/>
      </w:pPr>
      <w:r>
        <w:rPr>
          <w:rFonts w:ascii="Times New Roman" w:hAnsi="Times New Roman" w:eastAsia="Times New Roman" w:cs="Times New Roman"/>
        </w:rPr>
        <w:t>La prophétie de soixante-cinq ans d’Ésaïe marque le commencement de la première et de la dernière indignation de Dieu contre les royaumes du nord, puis du sud, d’Israël.</w:t>
      </w:r>
    </w:p>
    <w:p>
      <w:pPr>
        <w:pStyle w:val="ArticleScripture"/>
        <w:jc w:val="left"/>
      </w:pPr>
      <w:r>
        <w:rPr>
          <w:rFonts w:ascii="Times New Roman" w:hAnsi="Times New Roman" w:eastAsia="Times New Roman" w:cs="Times New Roman"/>
        </w:rPr>
        <w:t>Car le chef de la Syrie, c’est Damas, et le chef de Damas, c’est Retsin; et dans soixante-cinq ans, Éphraïm sera brisé, de sorte qu’il ne sera plus un peuple. Ésaïe 7:8.</w:t>
      </w:r>
    </w:p>
    <w:p>
      <w:pPr>
        <w:pStyle w:val="ArticleBody"/>
        <w:jc w:val="left"/>
      </w:pPr>
      <w:r>
        <w:rPr>
          <w:rFonts w:ascii="Times New Roman" w:hAnsi="Times New Roman" w:eastAsia="Times New Roman" w:cs="Times New Roman"/>
        </w:rPr>
        <w:t>La prophétie d’Ésaïe concernant soixante-cinq années fut donnée en 742 av. J.-C., et dans l’espace de soixante-cinq ans, le royaume du nord aurait disparu. Dix-neuf ans après 742 av. J.-C., en 723 av. J.-C., le royaume du nord fut emmené en captivité par l’Assyrie. À l’achèvement des soixante-cinq années, l’indignation du royaume du sud commença en 677 av. J.-C., lorsque Manassé fut emmené captif par les Babyloniens. Les soixante-cinq années représentent donc une période de dix-neuf ans jusqu’à la première captivité du royaume du nord, puis encore quarante-six ans jusqu’à la captivité de Manassé.</w:t>
      </w:r>
    </w:p>
    <w:p>
      <w:pPr>
        <w:pStyle w:val="ArticleBody"/>
        <w:jc w:val="left"/>
      </w:pPr>
      <w:r>
        <w:rPr>
          <w:rFonts w:ascii="Times New Roman" w:hAnsi="Times New Roman" w:eastAsia="Times New Roman" w:cs="Times New Roman"/>
        </w:rPr>
        <w:t>Nā wanana lā i hōʻea i ko lākou hoʻokō like ʻana ma 1798, 1844, a me 1863. Ma 1798, ua kū mai kekahi hoʻololi kūloko o ka ʻōlelo o ke ola ma ka hiki ʻana mai o ka ʻānela mua, a ua kū pū nō hoʻi kekahi hoʻololi kūwaho o nā aupuni o ka wanana Baibala. Ma 1844, ua kū mai kekahi hoʻololi kūloko o ka ʻōlelo o ke ola i ka wā i pani ʻia ai ka puka i ka Wahi Hemolele a hoʻomaka ka hoʻokolokolo nānā me ka hiki ʻana mai o ka ʻānela ʻekolu. Ma 1863, ua kū mai kekahi hoʻololi kūwaho i ka wā i māhele ʻia ai nā pepeiaohao ʻelua o ka holoholona o ka honua i ʻelua papa.</w:t>
      </w:r>
    </w:p>
    <w:p>
      <w:pPr>
        <w:pStyle w:val="ArticleBody"/>
        <w:jc w:val="left"/>
      </w:pPr>
      <w:r>
        <w:rPr>
          <w:rFonts w:ascii="Microsoft YaHei" w:hAnsi="Microsoft YaHei" w:eastAsia="Microsoft YaHei" w:cs="Microsoft YaHei"/>
        </w:rPr>
        <w:t>共和主义的角分裂为两个政党</w:t>
      </w:r>
      <w:r>
        <w:rPr>
          <w:rFonts w:ascii="Times New Roman" w:hAnsi="Times New Roman" w:eastAsia="Times New Roman" w:cs="Times New Roman"/>
        </w:rPr>
        <w:t>,</w:t>
      </w:r>
      <w:r>
        <w:rPr>
          <w:rFonts w:ascii="Microsoft YaHei" w:hAnsi="Microsoft YaHei" w:eastAsia="Microsoft YaHei" w:cs="Microsoft YaHei"/>
        </w:rPr>
        <w:t>此后二者一直主宰着这兽国在历史中的进程</w:t>
      </w:r>
      <w:r>
        <w:rPr>
          <w:rFonts w:ascii="Times New Roman" w:hAnsi="Times New Roman" w:eastAsia="Times New Roman" w:cs="Times New Roman"/>
        </w:rPr>
        <w:t>.</w:t>
      </w:r>
      <w:r>
        <w:rPr>
          <w:rFonts w:ascii="Microsoft YaHei" w:hAnsi="Microsoft YaHei" w:eastAsia="Microsoft YaHei" w:cs="Microsoft YaHei"/>
        </w:rPr>
        <w:t>新教的角分裂为两种背道的表现：一派自称为新教</w:t>
      </w:r>
      <w:r>
        <w:rPr>
          <w:rFonts w:ascii="Times New Roman" w:hAnsi="Times New Roman" w:eastAsia="Times New Roman" w:cs="Times New Roman"/>
        </w:rPr>
        <w:t>,</w:t>
      </w:r>
      <w:r>
        <w:rPr>
          <w:rFonts w:ascii="Microsoft YaHei" w:hAnsi="Microsoft YaHei" w:eastAsia="Microsoft YaHei" w:cs="Microsoft YaHei"/>
        </w:rPr>
        <w:t>并声称遵守第七日安息日</w:t>
      </w:r>
      <w:r>
        <w:rPr>
          <w:rFonts w:ascii="Times New Roman" w:hAnsi="Times New Roman" w:eastAsia="Times New Roman" w:cs="Times New Roman"/>
        </w:rPr>
        <w:t>;</w:t>
      </w:r>
      <w:r>
        <w:rPr>
          <w:rFonts w:ascii="Microsoft YaHei" w:hAnsi="Microsoft YaHei" w:eastAsia="Microsoft YaHei" w:cs="Microsoft YaHei"/>
        </w:rPr>
        <w:t>另一类也自称为新教</w:t>
      </w:r>
      <w:r>
        <w:rPr>
          <w:rFonts w:ascii="Times New Roman" w:hAnsi="Times New Roman" w:eastAsia="Times New Roman" w:cs="Times New Roman"/>
        </w:rPr>
        <w:t>,</w:t>
      </w:r>
      <w:r>
        <w:rPr>
          <w:rFonts w:ascii="Microsoft YaHei" w:hAnsi="Microsoft YaHei" w:eastAsia="Microsoft YaHei" w:cs="Microsoft YaHei"/>
        </w:rPr>
        <w:t>却拥立太阳之日为他们所拣选的敬拜之日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In jener Geschichte wurde das protestantische Horn, das aus dem finsteren Mittelalter hervorgegangen war, vom 11. August 1840 bis zum 22. Oktober 1844 geprüft; es bestand den Prüfungsprozess nicht und ging von dem sonntagsheiligenden protestantischen Volk zu dem sonntagsheiligenden abgefallenen protestantischen Volk über.</w:t>
      </w:r>
    </w:p>
    <w:p>
      <w:pPr>
        <w:pStyle w:val="ArticleBody"/>
        <w:jc w:val="left"/>
      </w:pPr>
      <w:r>
        <w:rPr>
          <w:rFonts w:ascii="Times New Roman" w:hAnsi="Times New Roman" w:eastAsia="Times New Roman" w:cs="Times New Roman"/>
        </w:rPr>
        <w:t>In der Geschichte des wahren protestantischen Horns, das 1844 aufgerichtet und gekennzeichnet wurde, fand von 1856 bis 1863 ein Prüfungsprozess statt. Danach vollzog das wahre sabbathaltende protestantische Horn sowohl den Übergang von Philadelphia nach Laodizea als auch von dem wahren sabbathaltenden protestantischen Volk zu dem sabbathaltenden abgefallenen protestantischen Horn. Die „sieben Zeiten“ stehen in Verbindung mit 1798, 1844, 1856 und 1863. Die „sieben Zeiten“ sind ein Symbol, das mit einem Übergangspunkt verbunden ist, und diese Wahrheit ist auf mehrere Zeugen gegründet.</w:t>
      </w:r>
    </w:p>
    <w:p>
      <w:pPr>
        <w:pStyle w:val="ArticleBody"/>
        <w:jc w:val="left"/>
      </w:pPr>
      <w:r>
        <w:rPr>
          <w:rFonts w:ascii="Times New Roman" w:hAnsi="Times New Roman" w:eastAsia="Times New Roman" w:cs="Times New Roman"/>
        </w:rPr>
        <w:t>An 1798, te gen yon ogmantasyon nan konesans konsènan “sèt tan yo,” paske premye pwofesi sou tan Miller te dekouvri a se te menm verite sa a. Rive an 1863, verite sa a te rejte, konsa sa idantifye konklizyon peryòd final swasant-senk ane pwofesi ki prezante nan Ezayi chapit sèt la.</w:t>
      </w:r>
    </w:p>
    <w:p>
      <w:pPr>
        <w:pStyle w:val="ArticleBody"/>
        <w:jc w:val="left"/>
      </w:pPr>
      <w:r>
        <w:rPr>
          <w:rFonts w:ascii="Times New Roman" w:hAnsi="Times New Roman" w:eastAsia="Times New Roman" w:cs="Times New Roman"/>
        </w:rPr>
        <w:t>Kikamilifu unabii wa miaka elfu mbili mia tano na ishirini una kipindi cha miaka sitini na mitano katika mwanzo wake na pia katika mwisho wake, kwa namna ya taswira iliyorudishwa nyuma, kama kioo. Katika mwanzo wa mwisho huo wa miaka sitini na mitano (1798), uliowakilishwa kwa mfano na mwanzo wa mwanzo wa miaka sitini na mitano mwaka 742 KK wakati unabii ulipotolewa, kulikuwapo ongezeko la maarifa juu ya “nyakati saba,” ambayo “wenye hekima” wa Kimileriti waliielewa na kuitangaza. Katika mwisho wa mwisho huo wa miaka sitini na mitano mwaka 1863, kulikuwapo tena ongezeko jingine la maarifa juu ya ukweli huohuo ambalo hatimaye lilikataliwa na “makuhani” waliokuwa wametiwa taji hivi karibuni wa pembe ya kweli ya Kiprotestanti.</w:t>
      </w:r>
    </w:p>
    <w:p>
      <w:pPr>
        <w:pStyle w:val="ArticleScripture"/>
        <w:jc w:val="left"/>
      </w:pPr>
      <w:r>
        <w:rPr>
          <w:rFonts w:ascii="Times New Roman" w:hAnsi="Times New Roman" w:eastAsia="Times New Roman" w:cs="Times New Roman"/>
        </w:rPr>
        <w:t>Mäi Vollek geet zougronn aus Mangel u Erkenntnis; wells du d’Erkenntnis verworf hues, wäert och ech dech verwerfen, sou datt s du mir kee Paschtouer méi bass; wells du d’Gesetz vun dengem Gott vergiess hues, wäert och ech deng Kanner vergiessen. Hosea 4:6.</w:t>
      </w:r>
    </w:p>
    <w:p>
      <w:pPr>
        <w:pStyle w:val="ArticleBody"/>
        <w:jc w:val="left"/>
      </w:pPr>
      <w:r>
        <w:rPr>
          <w:rFonts w:ascii="Times New Roman" w:hAnsi="Times New Roman" w:eastAsia="Times New Roman" w:cs="Times New Roman"/>
        </w:rPr>
        <w:t>Le flonement de la connessance, quand le livre de Daniel est descellé, est associé aux « sept temps » ; ainsi, il n’est pas seulement le symbole d’un point de transition, mais aussi de l’ouverture du message prophétique.</w:t>
      </w:r>
    </w:p>
    <w:p>
      <w:pPr>
        <w:pStyle w:val="ArticleBody"/>
        <w:jc w:val="left"/>
      </w:pPr>
      <w:r>
        <w:rPr>
          <w:rFonts w:ascii="Times New Roman" w:hAnsi="Times New Roman" w:eastAsia="Times New Roman" w:cs="Times New Roman"/>
        </w:rPr>
        <w:t>Kusintha kwina kunayamba pa Julayi 18, 2020, ndi kukhumudwa koyamba, komwe kunayambitsa “nthawi yodikirira” ndipo kunasonyeza chiyambi cha masiku atatu ndi hafu a m’chaputala cha khumi ndi chimodzi cha Chivumbulutso, pamene mboni ziwirizo zinali zitagona zakufa m’njira ya mzinda waukulu wa Sodomu ndi Iguputo.</w:t>
      </w:r>
    </w:p>
    <w:p>
      <w:pPr>
        <w:pStyle w:val="ArticleBody"/>
        <w:jc w:val="left"/>
      </w:pPr>
      <w:r>
        <w:rPr>
          <w:rFonts w:ascii="Microsoft Himalaya" w:hAnsi="Microsoft Himalaya" w:eastAsia="Microsoft Himalaya" w:cs="Microsoft Himalaya"/>
        </w:rPr>
        <w:t>ཕྱི་ལོ་</w:t>
      </w:r>
      <w:r>
        <w:rPr>
          <w:rFonts w:ascii="Times New Roman" w:hAnsi="Times New Roman" w:eastAsia="Times New Roman" w:cs="Times New Roman"/>
        </w:rPr>
        <w:t xml:space="preserve"> 2020 </w:t>
      </w:r>
      <w:r>
        <w:rPr>
          <w:rFonts w:ascii="Microsoft Himalaya" w:hAnsi="Microsoft Himalaya" w:eastAsia="Microsoft Himalaya" w:cs="Microsoft Himalaya"/>
        </w:rPr>
        <w:t>ཟླ་</w:t>
      </w:r>
      <w:r>
        <w:rPr>
          <w:rFonts w:ascii="Times New Roman" w:hAnsi="Times New Roman" w:eastAsia="Times New Roman" w:cs="Times New Roman"/>
        </w:rPr>
        <w:t xml:space="preserve"> 7 </w:t>
      </w:r>
      <w:r>
        <w:rPr>
          <w:rFonts w:ascii="Microsoft Himalaya" w:hAnsi="Microsoft Himalaya" w:eastAsia="Microsoft Himalaya" w:cs="Microsoft Himalaya"/>
        </w:rPr>
        <w:t>ཚེས་</w:t>
      </w:r>
      <w:r>
        <w:rPr>
          <w:rFonts w:ascii="Times New Roman" w:hAnsi="Times New Roman" w:eastAsia="Times New Roman" w:cs="Times New Roman"/>
        </w:rPr>
        <w:t xml:space="preserve"> 18 </w:t>
      </w:r>
      <w:r>
        <w:rPr>
          <w:rFonts w:ascii="Microsoft Himalaya" w:hAnsi="Microsoft Himalaya" w:eastAsia="Microsoft Himalaya" w:cs="Microsoft Himalaya"/>
        </w:rPr>
        <w:t>ནི་</w:t>
      </w:r>
      <w:r>
        <w:rPr>
          <w:rFonts w:ascii="Times New Roman" w:hAnsi="Times New Roman" w:eastAsia="Times New Roman" w:cs="Times New Roman"/>
        </w:rPr>
        <w:t xml:space="preserve"> </w:t>
      </w:r>
      <w:r>
        <w:rPr>
          <w:rFonts w:ascii="Microsoft Himalaya" w:hAnsi="Microsoft Himalaya" w:eastAsia="Microsoft Himalaya" w:cs="Microsoft Himalaya"/>
        </w:rPr>
        <w:t>མཚོན་དོན་གྱི་ཉིན་གསུམ་དང་ཕྱེད་ཀའི་</w:t>
      </w:r>
      <w:r>
        <w:rPr>
          <w:rFonts w:ascii="Times New Roman" w:hAnsi="Times New Roman" w:eastAsia="Times New Roman" w:cs="Times New Roman"/>
        </w:rPr>
        <w:t xml:space="preserve"> </w:t>
      </w:r>
      <w:r>
        <w:rPr>
          <w:rFonts w:ascii="Microsoft Himalaya" w:hAnsi="Microsoft Himalaya" w:eastAsia="Microsoft Himalaya" w:cs="Microsoft Himalaya"/>
        </w:rPr>
        <w:t>འགོ་འཛུགས་ཡིན་པ་དང་</w:t>
      </w:r>
      <w:r>
        <w:rPr>
          <w:rFonts w:ascii="Times New Roman" w:hAnsi="Times New Roman" w:eastAsia="Times New Roman" w:cs="Times New Roman"/>
        </w:rPr>
        <w:t xml:space="preserve"> (“seven times”) </w:t>
      </w:r>
      <w:r>
        <w:rPr>
          <w:rFonts w:ascii="Microsoft Himalaya" w:hAnsi="Microsoft Himalaya" w:eastAsia="Microsoft Himalaya" w:cs="Microsoft Himalaya"/>
        </w:rPr>
        <w:t>ཞེས་པ་དེ་</w:t>
      </w:r>
      <w:r>
        <w:rPr>
          <w:rFonts w:ascii="Times New Roman" w:hAnsi="Times New Roman" w:eastAsia="Times New Roman" w:cs="Times New Roman"/>
        </w:rPr>
        <w:t xml:space="preserve"> 1856 </w:t>
      </w:r>
      <w:r>
        <w:rPr>
          <w:rFonts w:ascii="Microsoft Himalaya" w:hAnsi="Microsoft Himalaya" w:eastAsia="Microsoft Himalaya" w:cs="Microsoft Himalaya"/>
        </w:rPr>
        <w:t>ནས་</w:t>
      </w:r>
      <w:r>
        <w:rPr>
          <w:rFonts w:ascii="Times New Roman" w:hAnsi="Times New Roman" w:eastAsia="Times New Roman" w:cs="Times New Roman"/>
        </w:rPr>
        <w:t xml:space="preserve"> 1863 </w:t>
      </w:r>
      <w:r>
        <w:rPr>
          <w:rFonts w:ascii="Microsoft Himalaya" w:hAnsi="Microsoft Himalaya" w:eastAsia="Microsoft Himalaya" w:cs="Microsoft Himalaya"/>
        </w:rPr>
        <w:t>བར་གྱི་ལོ་རྒྱུས་ཀྱིས་མཚོན་དོན་བྱས་ཡོད།</w:t>
      </w:r>
      <w:r>
        <w:rPr>
          <w:rFonts w:ascii="Times New Roman" w:hAnsi="Times New Roman" w:eastAsia="Times New Roman" w:cs="Times New Roman"/>
        </w:rPr>
        <w:t xml:space="preserve"> </w:t>
      </w:r>
      <w:r>
        <w:rPr>
          <w:rFonts w:ascii="Microsoft Himalaya" w:hAnsi="Microsoft Himalaya" w:eastAsia="Microsoft Himalaya" w:cs="Microsoft Himalaya"/>
        </w:rPr>
        <w:t>དུས་ཡུན་གཉིས་ཀ་ནི་</w:t>
      </w:r>
      <w:r>
        <w:rPr>
          <w:rFonts w:ascii="Times New Roman" w:hAnsi="Times New Roman" w:eastAsia="Times New Roman" w:cs="Times New Roman"/>
        </w:rPr>
        <w:t xml:space="preserve"> “seven times” </w:t>
      </w:r>
      <w:r>
        <w:rPr>
          <w:rFonts w:ascii="Microsoft Himalaya" w:hAnsi="Microsoft Himalaya" w:eastAsia="Microsoft Himalaya" w:cs="Microsoft Himalaya"/>
        </w:rPr>
        <w:t>ཀྱི་མཚོན་རྟགས་ཡིན།</w:t>
      </w:r>
      <w:r>
        <w:rPr>
          <w:rFonts w:ascii="Times New Roman" w:hAnsi="Times New Roman" w:eastAsia="Times New Roman" w:cs="Times New Roman"/>
        </w:rPr>
        <w:t xml:space="preserve"> </w:t>
      </w:r>
      <w:r>
        <w:rPr>
          <w:rFonts w:ascii="Microsoft Himalaya" w:hAnsi="Microsoft Himalaya" w:eastAsia="Microsoft Himalaya" w:cs="Microsoft Himalaya"/>
        </w:rPr>
        <w:t>དུས་ཡུན་གཉིས་ཀས་</w:t>
      </w:r>
      <w:r>
        <w:rPr>
          <w:rFonts w:ascii="Times New Roman" w:hAnsi="Times New Roman" w:eastAsia="Times New Roman" w:cs="Times New Roman"/>
        </w:rPr>
        <w:t xml:space="preserve"> </w:t>
      </w:r>
      <w:r>
        <w:rPr>
          <w:rFonts w:ascii="Microsoft Himalaya" w:hAnsi="Microsoft Himalaya" w:eastAsia="Microsoft Himalaya" w:cs="Microsoft Himalaya"/>
        </w:rPr>
        <w:t>དུས་རབས་ཀྱི་འགྱུར་བ་</w:t>
      </w:r>
      <w:r>
        <w:rPr>
          <w:rFonts w:ascii="Times New Roman" w:hAnsi="Times New Roman" w:eastAsia="Times New Roman" w:cs="Times New Roman"/>
        </w:rPr>
        <w:t xml:space="preserve"> (a transition) </w:t>
      </w:r>
      <w:r>
        <w:rPr>
          <w:rFonts w:ascii="Microsoft Himalaya" w:hAnsi="Microsoft Himalaya" w:eastAsia="Microsoft Himalaya" w:cs="Microsoft Himalaya"/>
        </w:rPr>
        <w:t>ཞིག་མཚོན་ཡོད།</w:t>
      </w:r>
      <w:r>
        <w:rPr>
          <w:rFonts w:ascii="Times New Roman" w:hAnsi="Times New Roman" w:eastAsia="Times New Roman" w:cs="Times New Roman"/>
        </w:rPr>
        <w:t xml:space="preserve"> </w:t>
      </w:r>
      <w:r>
        <w:rPr>
          <w:rFonts w:ascii="Microsoft Himalaya" w:hAnsi="Microsoft Himalaya" w:eastAsia="Microsoft Himalaya" w:cs="Microsoft Himalaya"/>
        </w:rPr>
        <w:t>དུས་ཡུན་གཉིས་ཀས་</w:t>
      </w:r>
      <w:r>
        <w:rPr>
          <w:rFonts w:ascii="Times New Roman" w:hAnsi="Times New Roman" w:eastAsia="Times New Roman" w:cs="Times New Roman"/>
        </w:rPr>
        <w:t xml:space="preserve"> “seven times” </w:t>
      </w:r>
      <w:r>
        <w:rPr>
          <w:rFonts w:ascii="Microsoft Himalaya" w:hAnsi="Microsoft Himalaya" w:eastAsia="Microsoft Himalaya" w:cs="Microsoft Himalaya"/>
        </w:rPr>
        <w:t>དང་འབྲེལ་བའི་ཤེས་ཡོན་གྱི་འཕེལ་རྒྱས་ཤིག་མཚོན་ཡོད།</w:t>
      </w:r>
    </w:p>
    <w:p>
      <w:pPr>
        <w:pStyle w:val="ArticleBody"/>
        <w:jc w:val="left"/>
      </w:pPr>
      <w:r>
        <w:rPr>
          <w:rFonts w:ascii="Times New Roman" w:hAnsi="Times New Roman" w:eastAsia="Times New Roman" w:cs="Times New Roman"/>
        </w:rPr>
        <w:t>Sa panahong yaon ng paglipat mula sa kaharian ng Babilonia tungo sa kaharian ng Medo-Persia ay nanalangin si Daniel ng panalangin ng Levitico 26, sa gayon ay kinikilala ang panalangin ng Levitico 26 bilang isang panandang-daan ng paglipat sa mga huling araw. Sa panaginip ni Miller, sa katapusan ng pitong pagbanggit ng salitang “pagkakalat,” si Miller ay kapuwa umiiyak at nananalangin. Ang pag-iyak ang tumutukoy sa sandali na ang Leon ng lipi ni Juda (ang lalaking may panlinis ng alabok) ay nag-aalis ng tatak sa isang pahayag na natatakan.</w:t>
      </w:r>
    </w:p>
    <w:p>
      <w:pPr>
        <w:pStyle w:val="ArticleBody"/>
        <w:jc w:val="left"/>
      </w:pPr>
      <w:r>
        <w:rPr>
          <w:rFonts w:ascii="Times New Roman" w:hAnsi="Times New Roman" w:eastAsia="Times New Roman" w:cs="Times New Roman"/>
        </w:rPr>
        <w:t>La prière de Miller correspond à la prière de Daniel de Lévitique vingt-six, celle qui est associée aux « sept temps », et elle survient lorsque la porte et les fenêtres furent ouvertes dans le rêve de Miller. Mais la prière de Daniel, au chapitre neuf, s’accorde aussi avec la prière de Daniel au chapitre deux. Elle s’accorde également avec la prière de confession de Nebucadnetsar à la conclusion de ses « sept temps ».</w:t>
      </w:r>
    </w:p>
    <w:p>
      <w:pPr>
        <w:pStyle w:val="ArticleBody"/>
        <w:jc w:val="left"/>
      </w:pPr>
      <w:r>
        <w:rPr>
          <w:rFonts w:ascii="Nirmala UI" w:hAnsi="Nirmala UI" w:eastAsia="Nirmala UI" w:cs="Nirmala UI"/>
        </w:rPr>
        <w:t>म्हणूनच</w:t>
      </w:r>
      <w:r>
        <w:rPr>
          <w:rFonts w:ascii="Times New Roman" w:hAnsi="Times New Roman" w:eastAsia="Times New Roman" w:cs="Times New Roman"/>
        </w:rPr>
        <w:t xml:space="preserve"> </w:t>
      </w:r>
      <w:r>
        <w:rPr>
          <w:rFonts w:ascii="Nirmala UI" w:hAnsi="Nirmala UI" w:eastAsia="Nirmala UI" w:cs="Nirmala UI"/>
        </w:rPr>
        <w:t>मिलरची</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लेवीयविवरण</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२६</w:t>
      </w:r>
      <w:r>
        <w:rPr>
          <w:rFonts w:ascii="Times New Roman" w:hAnsi="Times New Roman" w:eastAsia="Times New Roman" w:cs="Times New Roman"/>
        </w:rPr>
        <w:t xml:space="preserve"> </w:t>
      </w:r>
      <w:r>
        <w:rPr>
          <w:rFonts w:ascii="Nirmala UI" w:hAnsi="Nirmala UI" w:eastAsia="Nirmala UI" w:cs="Nirmala UI"/>
        </w:rPr>
        <w:t>मधील</w:t>
      </w:r>
      <w:r>
        <w:rPr>
          <w:rFonts w:ascii="Times New Roman" w:hAnsi="Times New Roman" w:eastAsia="Times New Roman" w:cs="Times New Roman"/>
        </w:rPr>
        <w:t xml:space="preserve"> </w:t>
      </w:r>
      <w:r>
        <w:rPr>
          <w:rFonts w:ascii="Nirmala UI" w:hAnsi="Nirmala UI" w:eastAsia="Nirmala UI" w:cs="Nirmala UI"/>
        </w:rPr>
        <w:t>प्रार्थनेद्वारे</w:t>
      </w:r>
      <w:r>
        <w:rPr>
          <w:rFonts w:ascii="Times New Roman" w:hAnsi="Times New Roman" w:eastAsia="Times New Roman" w:cs="Times New Roman"/>
        </w:rPr>
        <w:t xml:space="preserve"> </w:t>
      </w:r>
      <w:r>
        <w:rPr>
          <w:rFonts w:ascii="Nirmala UI" w:hAnsi="Nirmala UI" w:eastAsia="Nirmala UI" w:cs="Nirmala UI"/>
        </w:rPr>
        <w:t>दर्शविण्यात</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सार्वजनिक</w:t>
      </w:r>
      <w:r>
        <w:rPr>
          <w:rFonts w:ascii="Times New Roman" w:hAnsi="Times New Roman" w:eastAsia="Times New Roman" w:cs="Times New Roman"/>
        </w:rPr>
        <w:t xml:space="preserve"> </w:t>
      </w:r>
      <w:r>
        <w:rPr>
          <w:rFonts w:ascii="Nirmala UI" w:hAnsi="Nirmala UI" w:eastAsia="Nirmala UI" w:cs="Nirmala UI"/>
        </w:rPr>
        <w:t>अंगीकाराची</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शेवटच्या</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रहस्याच्या</w:t>
      </w:r>
      <w:r>
        <w:rPr>
          <w:rFonts w:ascii="Times New Roman" w:hAnsi="Times New Roman" w:eastAsia="Times New Roman" w:cs="Times New Roman"/>
        </w:rPr>
        <w:t xml:space="preserve"> </w:t>
      </w:r>
      <w:r>
        <w:rPr>
          <w:rFonts w:ascii="Nirmala UI" w:hAnsi="Nirmala UI" w:eastAsia="Nirmala UI" w:cs="Nirmala UI"/>
        </w:rPr>
        <w:t>उघडकीस</w:t>
      </w:r>
      <w:r>
        <w:rPr>
          <w:rFonts w:ascii="Times New Roman" w:hAnsi="Times New Roman" w:eastAsia="Times New Roman" w:cs="Times New Roman"/>
        </w:rPr>
        <w:t xml:space="preserve"> </w:t>
      </w:r>
      <w:r>
        <w:rPr>
          <w:rFonts w:ascii="Nirmala UI" w:hAnsi="Nirmala UI" w:eastAsia="Nirmala UI" w:cs="Nirmala UI"/>
        </w:rPr>
        <w:t>येण्याची</w:t>
      </w:r>
      <w:r>
        <w:rPr>
          <w:rFonts w:ascii="Times New Roman" w:hAnsi="Times New Roman" w:eastAsia="Times New Roman" w:cs="Times New Roman"/>
        </w:rPr>
        <w:t xml:space="preserve"> </w:t>
      </w:r>
      <w:r>
        <w:rPr>
          <w:rFonts w:ascii="Nirmala UI" w:hAnsi="Nirmala UI" w:eastAsia="Nirmala UI" w:cs="Nirmala UI"/>
        </w:rPr>
        <w:t>विनंती</w:t>
      </w:r>
      <w:r>
        <w:rPr>
          <w:rFonts w:ascii="Times New Roman" w:hAnsi="Times New Roman" w:eastAsia="Times New Roman" w:cs="Times New Roman"/>
        </w:rPr>
        <w:t xml:space="preserve"> </w:t>
      </w:r>
      <w:r>
        <w:rPr>
          <w:rFonts w:ascii="Nirmala UI" w:hAnsi="Nirmala UI" w:eastAsia="Nirmala UI" w:cs="Nirmala UI"/>
        </w:rPr>
        <w:t>करणारी</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सर्व</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दिवसांचे</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२</w:t>
      </w:r>
      <w:r>
        <w:rPr>
          <w:rFonts w:ascii="Times New Roman" w:hAnsi="Times New Roman" w:eastAsia="Times New Roman" w:cs="Times New Roman"/>
        </w:rPr>
        <w:t xml:space="preserve"> </w:t>
      </w:r>
      <w:r>
        <w:rPr>
          <w:rFonts w:ascii="Nirmala UI" w:hAnsi="Nirmala UI" w:eastAsia="Nirmala UI" w:cs="Nirmala UI"/>
        </w:rPr>
        <w:t>मधील</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उघडकीस</w:t>
      </w:r>
      <w:r>
        <w:rPr>
          <w:rFonts w:ascii="Times New Roman" w:hAnsi="Times New Roman" w:eastAsia="Times New Roman" w:cs="Times New Roman"/>
        </w:rPr>
        <w:t xml:space="preserve"> </w:t>
      </w:r>
      <w:r>
        <w:rPr>
          <w:rFonts w:ascii="Nirmala UI" w:hAnsi="Nirmala UI" w:eastAsia="Nirmala UI" w:cs="Nirmala UI"/>
        </w:rPr>
        <w:t>येणारे</w:t>
      </w:r>
      <w:r>
        <w:rPr>
          <w:rFonts w:ascii="Times New Roman" w:hAnsi="Times New Roman" w:eastAsia="Times New Roman" w:cs="Times New Roman"/>
        </w:rPr>
        <w:t xml:space="preserve"> </w:t>
      </w:r>
      <w:r>
        <w:rPr>
          <w:rFonts w:ascii="Nirmala UI" w:hAnsi="Nirmala UI" w:eastAsia="Nirmala UI" w:cs="Nirmala UI"/>
        </w:rPr>
        <w:t>शेवटचे</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दर्शविते</w:t>
      </w:r>
      <w:r>
        <w:rPr>
          <w:rFonts w:ascii="Times New Roman" w:hAnsi="Times New Roman" w:eastAsia="Times New Roman" w:cs="Times New Roman"/>
        </w:rPr>
        <w:t xml:space="preserve">. </w:t>
      </w:r>
      <w:r>
        <w:rPr>
          <w:rFonts w:ascii="Nirmala UI" w:hAnsi="Nirmala UI" w:eastAsia="Nirmala UI" w:cs="Nirmala UI"/>
        </w:rPr>
        <w:t>मिलरची</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स्वप्नात</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खोलीतील</w:t>
      </w:r>
      <w:r>
        <w:rPr>
          <w:rFonts w:ascii="Times New Roman" w:hAnsi="Times New Roman" w:eastAsia="Times New Roman" w:cs="Times New Roman"/>
        </w:rPr>
        <w:t xml:space="preserve"> </w:t>
      </w:r>
      <w:r>
        <w:rPr>
          <w:rFonts w:ascii="Nirmala UI" w:hAnsi="Nirmala UI" w:eastAsia="Nirmala UI" w:cs="Nirmala UI"/>
        </w:rPr>
        <w:t>रत्नांवर</w:t>
      </w:r>
      <w:r>
        <w:rPr>
          <w:rFonts w:ascii="Times New Roman" w:hAnsi="Times New Roman" w:eastAsia="Times New Roman" w:cs="Times New Roman"/>
        </w:rPr>
        <w:t xml:space="preserve"> </w:t>
      </w:r>
      <w:r>
        <w:rPr>
          <w:rFonts w:ascii="Nirmala UI" w:hAnsi="Nirmala UI" w:eastAsia="Nirmala UI" w:cs="Nirmala UI"/>
        </w:rPr>
        <w:t>घडून</w:t>
      </w:r>
      <w:r>
        <w:rPr>
          <w:rFonts w:ascii="Times New Roman" w:hAnsi="Times New Roman" w:eastAsia="Times New Roman" w:cs="Times New Roman"/>
        </w:rPr>
        <w:t xml:space="preserve"> </w:t>
      </w:r>
      <w:r>
        <w:rPr>
          <w:rFonts w:ascii="Nirmala UI" w:hAnsi="Nirmala UI" w:eastAsia="Nirmala UI" w:cs="Nirmala UI"/>
        </w:rPr>
        <w:t>आलेल्या</w:t>
      </w:r>
      <w:r>
        <w:rPr>
          <w:rFonts w:ascii="Times New Roman" w:hAnsi="Times New Roman" w:eastAsia="Times New Roman" w:cs="Times New Roman"/>
        </w:rPr>
        <w:t xml:space="preserve"> </w:t>
      </w:r>
      <w:r>
        <w:rPr>
          <w:rFonts w:ascii="Nirmala UI" w:hAnsi="Nirmala UI" w:eastAsia="Nirmala UI" w:cs="Nirmala UI"/>
        </w:rPr>
        <w:t>घृणास्पद</w:t>
      </w:r>
      <w:r>
        <w:rPr>
          <w:rFonts w:ascii="Times New Roman" w:hAnsi="Times New Roman" w:eastAsia="Times New Roman" w:cs="Times New Roman"/>
        </w:rPr>
        <w:t xml:space="preserve"> </w:t>
      </w:r>
      <w:r>
        <w:rPr>
          <w:rFonts w:ascii="Nirmala UI" w:hAnsi="Nirmala UI" w:eastAsia="Nirmala UI" w:cs="Nirmala UI"/>
        </w:rPr>
        <w:t>गोष्टींविषयीच्या</w:t>
      </w:r>
      <w:r>
        <w:rPr>
          <w:rFonts w:ascii="Times New Roman" w:hAnsi="Times New Roman" w:eastAsia="Times New Roman" w:cs="Times New Roman"/>
        </w:rPr>
        <w:t xml:space="preserve"> </w:t>
      </w:r>
      <w:r>
        <w:rPr>
          <w:rFonts w:ascii="Nirmala UI" w:hAnsi="Nirmala UI" w:eastAsia="Nirmala UI" w:cs="Nirmala UI"/>
        </w:rPr>
        <w:t>चिंतेची</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क्रोधाची</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चिंता</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९</w:t>
      </w:r>
      <w:r>
        <w:rPr>
          <w:rFonts w:ascii="Times New Roman" w:hAnsi="Times New Roman" w:eastAsia="Times New Roman" w:cs="Times New Roman"/>
        </w:rPr>
        <w:t xml:space="preserve"> </w:t>
      </w:r>
      <w:r>
        <w:rPr>
          <w:rFonts w:ascii="Nirmala UI" w:hAnsi="Nirmala UI" w:eastAsia="Nirmala UI" w:cs="Nirmala UI"/>
        </w:rPr>
        <w:t>मधील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लोकांद्वारे</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करण्यात</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एकशे</w:t>
      </w:r>
      <w:r>
        <w:rPr>
          <w:rFonts w:ascii="Times New Roman" w:hAnsi="Times New Roman" w:eastAsia="Times New Roman" w:cs="Times New Roman"/>
        </w:rPr>
        <w:t xml:space="preserve"> </w:t>
      </w:r>
      <w:r>
        <w:rPr>
          <w:rFonts w:ascii="Nirmala UI" w:hAnsi="Nirmala UI" w:eastAsia="Nirmala UI" w:cs="Nirmala UI"/>
        </w:rPr>
        <w:t>चव्वेचाळीस</w:t>
      </w:r>
      <w:r>
        <w:rPr>
          <w:rFonts w:ascii="Times New Roman" w:hAnsi="Times New Roman" w:eastAsia="Times New Roman" w:cs="Times New Roman"/>
        </w:rPr>
        <w:t xml:space="preserve"> </w:t>
      </w:r>
      <w:r>
        <w:rPr>
          <w:rFonts w:ascii="Nirmala UI" w:hAnsi="Nirmala UI" w:eastAsia="Nirmala UI" w:cs="Nirmala UI"/>
        </w:rPr>
        <w:t>हजारांच्या</w:t>
      </w:r>
      <w:r>
        <w:rPr>
          <w:rFonts w:ascii="Times New Roman" w:hAnsi="Times New Roman" w:eastAsia="Times New Roman" w:cs="Times New Roman"/>
        </w:rPr>
        <w:t xml:space="preserve"> </w:t>
      </w:r>
      <w:r>
        <w:rPr>
          <w:rFonts w:ascii="Nirmala UI" w:hAnsi="Nirmala UI" w:eastAsia="Nirmala UI" w:cs="Nirmala UI"/>
        </w:rPr>
        <w:t>शिक्कामोर्तबाच्या</w:t>
      </w:r>
      <w:r>
        <w:rPr>
          <w:rFonts w:ascii="Times New Roman" w:hAnsi="Times New Roman" w:eastAsia="Times New Roman" w:cs="Times New Roman"/>
        </w:rPr>
        <w:t xml:space="preserve"> </w:t>
      </w:r>
      <w:r>
        <w:rPr>
          <w:rFonts w:ascii="Nirmala UI" w:hAnsi="Nirmala UI" w:eastAsia="Nirmala UI" w:cs="Nirmala UI"/>
        </w:rPr>
        <w:t>काळात</w:t>
      </w:r>
      <w:r>
        <w:rPr>
          <w:rFonts w:ascii="Times New Roman" w:hAnsi="Times New Roman" w:eastAsia="Times New Roman" w:cs="Times New Roman"/>
        </w:rPr>
        <w:t xml:space="preserve"> </w:t>
      </w:r>
      <w:r>
        <w:rPr>
          <w:rFonts w:ascii="Nirmala UI" w:hAnsi="Nirmala UI" w:eastAsia="Nirmala UI" w:cs="Nirmala UI"/>
        </w:rPr>
        <w:t>सुस्कारे</w:t>
      </w:r>
      <w:r>
        <w:rPr>
          <w:rFonts w:ascii="Times New Roman" w:hAnsi="Times New Roman" w:eastAsia="Times New Roman" w:cs="Times New Roman"/>
        </w:rPr>
        <w:t xml:space="preserve"> </w:t>
      </w:r>
      <w:r>
        <w:rPr>
          <w:rFonts w:ascii="Nirmala UI" w:hAnsi="Nirmala UI" w:eastAsia="Nirmala UI" w:cs="Nirmala UI"/>
        </w:rPr>
        <w:t>टाकतात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आक्रोश</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Miller a observé comment les vérités furent progressivement ensevelies sous des doctrines contrefaites, jusqu’à parvenir finalement à un point où le cercueil (la Bible elle-même) fut détruit. La destruction du cercueil de Miller eut lieu à la troisième génération de l’adventisme, lorsqu’un mouvement délibéré se manifesta pour mettre de côté la Bible du roi Jacques au profit des versions modernes corrompues de la Bible, fondées sur le catholicisme.</w:t>
      </w:r>
    </w:p>
    <w:p>
      <w:pPr>
        <w:pStyle w:val="ArticleBody"/>
        <w:jc w:val="left"/>
      </w:pP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रोया</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तुरन्त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मिट्टी</w:t>
      </w:r>
      <w:r>
        <w:rPr>
          <w:rFonts w:ascii="Times New Roman" w:hAnsi="Times New Roman" w:eastAsia="Times New Roman" w:cs="Times New Roman"/>
        </w:rPr>
        <w:t xml:space="preserve"> </w:t>
      </w:r>
      <w:r>
        <w:rPr>
          <w:rFonts w:ascii="Nirmala UI" w:hAnsi="Nirmala UI" w:eastAsia="Nirmala UI" w:cs="Nirmala UI"/>
        </w:rPr>
        <w:t>साफ</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खिड़कियाँ</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सफाई</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इधर</w:t>
      </w:r>
      <w:r>
        <w:rPr>
          <w:rFonts w:ascii="Times New Roman" w:hAnsi="Times New Roman" w:eastAsia="Times New Roman" w:cs="Times New Roman"/>
        </w:rPr>
        <w:t>-</w:t>
      </w:r>
      <w:r>
        <w:rPr>
          <w:rFonts w:ascii="Nirmala UI" w:hAnsi="Nirmala UI" w:eastAsia="Nirmala UI" w:cs="Nirmala UI"/>
        </w:rPr>
        <w:t>उधर</w:t>
      </w:r>
      <w:r>
        <w:rPr>
          <w:rFonts w:ascii="Times New Roman" w:hAnsi="Times New Roman" w:eastAsia="Times New Roman" w:cs="Times New Roman"/>
        </w:rPr>
        <w:t xml:space="preserve"> </w:t>
      </w:r>
      <w:r>
        <w:rPr>
          <w:rFonts w:ascii="Nirmala UI" w:hAnsi="Nirmala UI" w:eastAsia="Nirmala UI" w:cs="Nirmala UI"/>
        </w:rPr>
        <w:t>बिखरे</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चिन्ता</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मिट्टी</w:t>
      </w:r>
      <w:r>
        <w:rPr>
          <w:rFonts w:ascii="Times New Roman" w:hAnsi="Times New Roman" w:eastAsia="Times New Roman" w:cs="Times New Roman"/>
        </w:rPr>
        <w:t xml:space="preserve"> </w:t>
      </w:r>
      <w:r>
        <w:rPr>
          <w:rFonts w:ascii="Nirmala UI" w:hAnsi="Nirmala UI" w:eastAsia="Nirmala UI" w:cs="Nirmala UI"/>
        </w:rPr>
        <w:t>साफ</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देखभाल</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मिट्टी</w:t>
      </w:r>
      <w:r>
        <w:rPr>
          <w:rFonts w:ascii="Times New Roman" w:hAnsi="Times New Roman" w:eastAsia="Times New Roman" w:cs="Times New Roman"/>
        </w:rPr>
        <w:t xml:space="preserve"> </w:t>
      </w:r>
      <w:r>
        <w:rPr>
          <w:rFonts w:ascii="Nirmala UI" w:hAnsi="Nirmala UI" w:eastAsia="Nirmala UI" w:cs="Nirmala UI"/>
        </w:rPr>
        <w:t>साफ</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सफाई</w:t>
      </w:r>
      <w:r>
        <w:rPr>
          <w:rFonts w:ascii="Times New Roman" w:hAnsi="Times New Roman" w:eastAsia="Times New Roman" w:cs="Times New Roman"/>
        </w:rPr>
        <w:t>-</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हलचल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w:t>
      </w:r>
      <w:r>
        <w:rPr>
          <w:rFonts w:ascii="Nirmala UI" w:hAnsi="Nirmala UI" w:eastAsia="Nirmala UI" w:cs="Nirmala UI"/>
        </w:rPr>
        <w:t>कर्कट</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कमरे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बिखरे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मिट्टी</w:t>
      </w:r>
      <w:r>
        <w:rPr>
          <w:rFonts w:ascii="Times New Roman" w:hAnsi="Times New Roman" w:eastAsia="Times New Roman" w:cs="Times New Roman"/>
        </w:rPr>
        <w:t xml:space="preserve"> </w:t>
      </w:r>
      <w:r>
        <w:rPr>
          <w:rFonts w:ascii="Nirmala UI" w:hAnsi="Nirmala UI" w:eastAsia="Nirmala UI" w:cs="Nirmala UI"/>
        </w:rPr>
        <w:t>साफ</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संदूक</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आओ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L’expression « viens et vois » est le symbole d’une vérité qui vient d’être descellée. La vérité qui est descellée pour Miller est la vérité finale, car l’événement suivant est le réveil de Miller au « cri », représentant le grand cri. Miller fut le dernier à recevoir le message du Cri de Minuit dans l’histoire des millérites, et, juste avant le cri qui le réveille dans le rêve, il ferma les yeux pour un moment. Le seul passage de la Bible qui fasse référence à « un moment » et aux « yeux » identifie la première résurrection.</w:t>
      </w:r>
    </w:p>
    <w:p>
      <w:pPr>
        <w:pStyle w:val="ArticleScripture"/>
        <w:jc w:val="left"/>
      </w:pPr>
      <w:r>
        <w:rPr>
          <w:rFonts w:ascii="Times New Roman" w:hAnsi="Times New Roman" w:eastAsia="Times New Roman" w:cs="Times New Roman"/>
        </w:rPr>
        <w:t>Voyez, je vous révèle un mystère : nous ne nous endormirons pas tous, mais tous nous serons changés, en un instant, en un clin d’œil, à la dernière trompette ; car la trompette sonnera, et les morts ressusciteront incorruptibles, et nous, nous serons changés. Car il faut que ce qui est corruptible revête l’incorruptibilité, et que ce qui est mortel revête l’immortalité. 1 Corinthiens 15:51–53.</w:t>
      </w:r>
    </w:p>
    <w:p>
      <w:pPr>
        <w:pStyle w:val="ArticleBody"/>
        <w:jc w:val="left"/>
      </w:pPr>
      <w:r>
        <w:rPr>
          <w:rFonts w:ascii="Times New Roman" w:hAnsi="Times New Roman" w:eastAsia="Times New Roman" w:cs="Times New Roman"/>
        </w:rPr>
        <w:t>Katika historia ya mpito wa vuguvugu la Walaodikia la malaika wa tatu kwenda katika vuguvugu la Wafiladelfia la malaika wa tatu, kama linavyowakilishwa katika Ufunuo sura ya kumi na moja, Miller anawakilisha wa mwisho kabisa wa wanawali wenye hekima kuipokea ujumbe wa Kilio cha Usiku wa Manane. Wale wa kwanza kuipokea walikuwa wa kiroho zaidi.</w:t>
      </w:r>
    </w:p>
    <w:p>
      <w:pPr>
        <w:pStyle w:val="ArticleScripture"/>
        <w:jc w:val="left"/>
      </w:pPr>
      <w:r>
        <w:rPr>
          <w:rFonts w:ascii="Times New Roman" w:hAnsi="Times New Roman" w:eastAsia="Times New Roman" w:cs="Times New Roman"/>
        </w:rPr>
        <w:t>«Бу тун яримидики налә болуп, иккинчи периштиниң хәвиригә қудрәт бериши керәк иди. Пәриштиләр әрштин әвәтилип, роһи чүшкән муқәддәсларни ойғитиш вә уларни алдидики улуқ ишқа тәйярлаш үчүн кәлтүрүлди. Әң истедадлиқ адәмләр бу хәвәрни тунҗи болуп қобул қилғучилар болмиди. Пәриштиләр кичикпейил, вападар кишиләргә әвәтилип, уларни: “Мана, Күйәү келиватиду; силәр Уни қарши елишқа чиқиңлар!” дәп налә көтиришкә үндәп мәҗбүр қилди. Бу налигә аманәт қилинғанлар дәрһал ишқа киришип, Муқәддәс Роһниң қудрити билән хәвәрни җакарлиди вә роһи чүшкән қериндашлирини ойғәтти. Бу иш адәмләрниң даналиғи вә илимигә тайинип турмиди, бәлки Худаниң қудрити үстидә турди; вә налини аңлиған Униң муқәддәслири униңға қарши туралмиди. Әң роһийләр бу хәвәрни тунҗи болуп қобул қилди, илгири ишта йетәкчилик қилғанлар болса, “Мана, Күйәү келиватиду; силәр Уни қарши елишқа чиқиңлар!” дегән налини қобул қилип, униң авазини күчәйтишкә ярдәм бериштә әң ахирида болди.» Early Writings, 238.</w:t>
      </w:r>
    </w:p>
    <w:p>
      <w:pPr>
        <w:pStyle w:val="ArticleBody"/>
        <w:jc w:val="left"/>
      </w:pPr>
      <w:r>
        <w:rPr>
          <w:rFonts w:ascii="Times New Roman" w:hAnsi="Times New Roman" w:eastAsia="Times New Roman" w:cs="Times New Roman"/>
        </w:rPr>
        <w:t>A la fin des trois jours et demi symboliques d’Apocalypse chapitre onze, le premier de deux messages, représenté dans Ézéchiel chapitre trente-sept, est proclamé. Le premier message rassemble les os morts et dispersés, mais ils sont encore morts. Le message fut présenté par la voix qui criait « dans le désert », identifiant ainsi que le message d’Ézéchiel commence avant que les trois jours et demi symboliques ne soient achevés. Ces trois jours et demi représentent un « désert », et c’est du « désert » que le message est proclamé. Le « désert » est aussi un symbole des « sept temps », qui marque une transition et un descellement introduisant un processus d’épreuve.</w:t>
      </w:r>
    </w:p>
    <w:p>
      <w:pPr>
        <w:pStyle w:val="ArticleBody"/>
        <w:jc w:val="left"/>
      </w:pPr>
      <w:r>
        <w:rPr>
          <w:rFonts w:ascii="Times New Roman" w:hAnsi="Times New Roman" w:eastAsia="Times New Roman" w:cs="Times New Roman"/>
        </w:rPr>
        <w:t>Waxaa jira horumar isdaba-joog ah oo ku jira farriinta, iyo aqbalid isdaba-joog ah, sida lagu muujiyey Qayladii Saqda-dhexe ee taariikhda Millerite-ka. Kuwii ugu ruuxiga badnaa ayaa ahaa kuwii ugu horreeyey ee aqbala farriintii codka cidlada ka qaylinaya, taariikhyahannada Adventism-kuna waxay tilmaamaan warqad uu qoray William Miller maalmo yar ka hor Oktoobar 22, 1844, taas oo Miller ku markhaati kacayo in uu ugu dambayntii fahmay oo aqbalay farriintii Samuel Snow ee Qaylada Saqda-dhexe.</w:t>
      </w:r>
    </w:p>
    <w:p>
      <w:pPr>
        <w:pStyle w:val="ArticleScripture"/>
        <w:jc w:val="left"/>
      </w:pPr>
      <w:r>
        <w:rPr>
          <w:rFonts w:ascii="Times New Roman" w:hAnsi="Times New Roman" w:eastAsia="Times New Roman" w:cs="Times New Roman"/>
        </w:rPr>
        <w:t>“Cher frère Himes : Je vois une gloire dans le septième mois que je n’avais jamais vue auparavant. Bien que le Seigneur m’eût montré, il y a un an et demi, la portée typique du septième mois, je n’avais pourtant pas saisi toute la force des types. Maintenant, béni soit le nom du Seigneur, je vois dans les Écritures une beauté, une harmonie et un accord, pour lesquels j’ai longtemps prié, mais que je n’ai pas discernés jusqu’à ce jour. Remercie le Seigneur, ô mon âme. Que frère Snow, frère Storrs et d’autres encore soient bénis pour avoir servi d’instruments à l’ouverture de mes yeux. Je suis presque arrivé à la maison. Gloire ! Gloire ! Gloire ! Gloire !” William Miller, Signs of the Times, 16 octobre 1844.</w:t>
      </w:r>
    </w:p>
    <w:p>
      <w:pPr>
        <w:pStyle w:val="ArticleBody"/>
        <w:jc w:val="left"/>
      </w:pPr>
      <w:r>
        <w:rPr>
          <w:rFonts w:ascii="Times New Roman" w:hAnsi="Times New Roman" w:eastAsia="Times New Roman" w:cs="Times New Roman"/>
        </w:rPr>
        <w:t>بازتکرارِ تاریخِ فریادِ نیمه‌شب، چنان‌که در رؤیای میلر به تصویر درآمده است، میلر برای لحظه‌ای چشمان خود را بست. بدین‌سان، «در لحظه‌ای، در طَرفَةُالعَینی، به هنگامِ شیپورِ آخر؛ زیرا شیپور به صدا درخواهد آمد و مردگان برخاسته خواهند شد.» در رؤیای میلر، او نمایندۀ آخرین کسانی است که پیامِ فریادِ نیمه‌شب را دریافت می‌کنند، همان‌گونه که در تاریخِ شخصیِ خود نیز چنین بود. او نمایندۀ کسانی است که سرانجام پیام را درست پیش از آن می‌پذیرند که مردِ جاروبِ خاک، جواهراتِ پراکنده را گرد آورد و آنها را در صندوقچۀ بزرگ‌تر بیفکند. در مکاشفه باب یازدهم، آخرین کسانی که پیامِ دومِ حزقیال را می‌پذیرند، که همان پیامِ چهار بادِ اسلام است و نیز همان پیامِ مُهر کردن است، این کار را درست پیش از آن انجام می‌دهند که آخرینِ هفت شیپور به صدا درآید، که همان شیپورِ «وایِ سوم» است. «در لحظه‌ای، در طَرفَةُالعَینی، به هنگامِ شیپورِ آخر؛ زیرا شیپور به صدا درخواهد آمد، و مردگان فاسدناپذیر برخاسته خواهند شد، و ما دگرگون خواهیم شد.» (1 Corinthians 15:52)</w:t>
      </w:r>
    </w:p>
    <w:p>
      <w:pPr>
        <w:pStyle w:val="ArticleBody"/>
        <w:jc w:val="left"/>
      </w:pPr>
      <w:r>
        <w:rPr>
          <w:rFonts w:ascii="Times New Roman" w:hAnsi="Times New Roman" w:eastAsia="Times New Roman" w:cs="Times New Roman"/>
        </w:rPr>
        <w:t>Le passage identifie la première résurrection qui a lieu lors de la seconde venue, mais il y a aussi une résurrection des ossements desséchés des morts (les deux témoins) qui se produit à l’heure du grand tremblement de terre d’Apocalypse, chapitre onze. À « l’heure » de ce tremblement de terre, la dernière trompette des sept trompettes retentit, et les témoins morts qui étaient dans la rue sont ramenés à la vie, non comme des Laodicéens, mais comme des Philadelphiens, car à la trompette du troisième Malheur, les deux témoins ont été scellés et sont changés en incorruptibilité, car ils ne pécheront plus jamais. Miller représente les derniers à recevoir le message qui ramène les deux témoins à la vie, lequel est le message des quatre vents de l’Islam, et constitue le message du scellement.</w:t>
      </w:r>
    </w:p>
    <w:p>
      <w:pPr>
        <w:pStyle w:val="ArticleBody"/>
        <w:jc w:val="left"/>
      </w:pPr>
      <w:r>
        <w:rPr>
          <w:rFonts w:ascii="Times New Roman" w:hAnsi="Times New Roman" w:eastAsia="Times New Roman" w:cs="Times New Roman"/>
        </w:rPr>
        <w:t>Lelata la terompeta leo le tsosa la ho qetela la masapo a omileng a bafu a neng a hasantsoe seterateng sa Sodoma le Egepeta. Miller o ile a shebella ha linnete li ntse li patoa butle-butle ke lithuto tsa bohata. Qetellong Miller o ile a lla, a tšoaea nako eo ho manolloa ho neng ho tla qala ka eona, hobane ho manolloa ke mosebetsi o tsoelang pele. Ho manolloa hoo ho qalile nakong ea qetello ea matsatsi a mararo le halofo.</w:t>
      </w:r>
    </w:p>
    <w:p>
      <w:pPr>
        <w:pStyle w:val="ArticleBody"/>
        <w:jc w:val="left"/>
      </w:pP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ካለቀሰ</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የታተመውን</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ለመፍታት</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ትረካው</w:t>
      </w:r>
      <w:r>
        <w:rPr>
          <w:rFonts w:ascii="Times New Roman" w:hAnsi="Times New Roman" w:eastAsia="Times New Roman" w:cs="Times New Roman"/>
        </w:rPr>
        <w:t xml:space="preserve"> </w:t>
      </w:r>
      <w:r>
        <w:rPr>
          <w:rFonts w:ascii="Ebrima" w:hAnsi="Ebrima" w:eastAsia="Ebrima" w:cs="Ebrima"/>
        </w:rPr>
        <w:t>ገባ።</w:t>
      </w:r>
      <w:r>
        <w:rPr>
          <w:rFonts w:ascii="Times New Roman" w:hAnsi="Times New Roman" w:eastAsia="Times New Roman" w:cs="Times New Roman"/>
        </w:rPr>
        <w:t xml:space="preserve"> </w:t>
      </w:r>
      <w:r>
        <w:rPr>
          <w:rFonts w:ascii="Ebrima" w:hAnsi="Ebrima" w:eastAsia="Ebrima" w:cs="Ebrima"/>
        </w:rPr>
        <w:t>በሚለር</w:t>
      </w:r>
      <w:r>
        <w:rPr>
          <w:rFonts w:ascii="Times New Roman" w:hAnsi="Times New Roman" w:eastAsia="Times New Roman" w:cs="Times New Roman"/>
        </w:rPr>
        <w:t xml:space="preserve"> </w:t>
      </w:r>
      <w:r>
        <w:rPr>
          <w:rFonts w:ascii="Ebrima" w:hAnsi="Ebrima" w:eastAsia="Ebrima" w:cs="Ebrima"/>
        </w:rPr>
        <w:t>ሕልም</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የትቢያ</w:t>
      </w:r>
      <w:r>
        <w:rPr>
          <w:rFonts w:ascii="Times New Roman" w:hAnsi="Times New Roman" w:eastAsia="Times New Roman" w:cs="Times New Roman"/>
        </w:rPr>
        <w:t xml:space="preserve"> </w:t>
      </w:r>
      <w:r>
        <w:rPr>
          <w:rFonts w:ascii="Ebrima" w:hAnsi="Ebrima" w:eastAsia="Ebrima" w:cs="Ebrima"/>
        </w:rPr>
        <w:t>ብሩሽ</w:t>
      </w:r>
      <w:r>
        <w:rPr>
          <w:rFonts w:ascii="Times New Roman" w:hAnsi="Times New Roman" w:eastAsia="Times New Roman" w:cs="Times New Roman"/>
        </w:rPr>
        <w:t xml:space="preserve"> </w:t>
      </w:r>
      <w:r>
        <w:rPr>
          <w:rFonts w:ascii="Ebrima" w:hAnsi="Ebrima" w:eastAsia="Ebrima" w:cs="Ebrima"/>
        </w:rPr>
        <w:t>ያዘው</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ጸለየ፣</w:t>
      </w:r>
      <w:r>
        <w:rPr>
          <w:rFonts w:ascii="Times New Roman" w:hAnsi="Times New Roman" w:eastAsia="Times New Roman" w:cs="Times New Roman"/>
        </w:rPr>
        <w:t xml:space="preserve"> </w:t>
      </w:r>
      <w:r>
        <w:rPr>
          <w:rFonts w:ascii="Ebrima" w:hAnsi="Ebrima" w:eastAsia="Ebrima" w:cs="Ebrima"/>
        </w:rPr>
        <w:t>ወዲያውም</w:t>
      </w:r>
      <w:r>
        <w:rPr>
          <w:rFonts w:ascii="Times New Roman" w:hAnsi="Times New Roman" w:eastAsia="Times New Roman" w:cs="Times New Roman"/>
        </w:rPr>
        <w:t xml:space="preserve"> </w:t>
      </w:r>
      <w:r>
        <w:rPr>
          <w:rFonts w:ascii="Ebrima" w:hAnsi="Ebrima" w:eastAsia="Ebrima" w:cs="Ebrima"/>
        </w:rPr>
        <w:t>በር</w:t>
      </w:r>
      <w:r>
        <w:rPr>
          <w:rFonts w:ascii="Times New Roman" w:hAnsi="Times New Roman" w:eastAsia="Times New Roman" w:cs="Times New Roman"/>
        </w:rPr>
        <w:t xml:space="preserve"> </w:t>
      </w:r>
      <w:r>
        <w:rPr>
          <w:rFonts w:ascii="Ebrima" w:hAnsi="Ebrima" w:eastAsia="Ebrima" w:cs="Ebrima"/>
        </w:rPr>
        <w:t>ተከፈተ፤</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የሎዶቅያ</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የፊላዴልፍያ</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ሊሸጋገር</w:t>
      </w:r>
      <w:r>
        <w:rPr>
          <w:rFonts w:ascii="Times New Roman" w:hAnsi="Times New Roman" w:eastAsia="Times New Roman" w:cs="Times New Roman"/>
        </w:rPr>
        <w:t xml:space="preserve"> </w:t>
      </w:r>
      <w:r>
        <w:rPr>
          <w:rFonts w:ascii="Ebrima" w:hAnsi="Ebrima" w:eastAsia="Ebrima" w:cs="Ebrima"/>
        </w:rPr>
        <w:t>የነበረበትን</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አመለከተ።</w:t>
      </w:r>
      <w:r>
        <w:rPr>
          <w:rFonts w:ascii="Times New Roman" w:hAnsi="Times New Roman" w:eastAsia="Times New Roman" w:cs="Times New Roman"/>
        </w:rPr>
        <w:t xml:space="preserve"> </w:t>
      </w:r>
      <w:r>
        <w:rPr>
          <w:rFonts w:ascii="Ebrima" w:hAnsi="Ebrima" w:eastAsia="Ebrima" w:cs="Ebrima"/>
        </w:rPr>
        <w:t>ጸሎቱ</w:t>
      </w:r>
      <w:r>
        <w:rPr>
          <w:rFonts w:ascii="Times New Roman" w:hAnsi="Times New Roman" w:eastAsia="Times New Roman" w:cs="Times New Roman"/>
        </w:rPr>
        <w:t xml:space="preserve"> </w:t>
      </w:r>
      <w:r>
        <w:rPr>
          <w:rFonts w:ascii="Ebrima" w:hAnsi="Ebrima" w:eastAsia="Ebrima" w:cs="Ebrima"/>
        </w:rPr>
        <w:t>የዘሌዋውያን</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የመጨረሻውን</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ምሥጢር</w:t>
      </w:r>
      <w:r>
        <w:rPr>
          <w:rFonts w:ascii="Times New Roman" w:hAnsi="Times New Roman" w:eastAsia="Times New Roman" w:cs="Times New Roman"/>
        </w:rPr>
        <w:t xml:space="preserve"> </w:t>
      </w:r>
      <w:r>
        <w:rPr>
          <w:rFonts w:ascii="Ebrima" w:hAnsi="Ebrima" w:eastAsia="Ebrima" w:cs="Ebrima"/>
        </w:rPr>
        <w:t>ለመረዳት</w:t>
      </w:r>
      <w:r>
        <w:rPr>
          <w:rFonts w:ascii="Times New Roman" w:hAnsi="Times New Roman" w:eastAsia="Times New Roman" w:cs="Times New Roman"/>
        </w:rPr>
        <w:t xml:space="preserve"> </w:t>
      </w:r>
      <w:r>
        <w:rPr>
          <w:rFonts w:ascii="Ebrima" w:hAnsi="Ebrima" w:eastAsia="Ebrima" w:cs="Ebrima"/>
        </w:rPr>
        <w:t>የቀረበ</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በሁለቱ</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ተኩልን</w:t>
      </w:r>
      <w:r>
        <w:rPr>
          <w:rFonts w:ascii="Times New Roman" w:hAnsi="Times New Roman" w:eastAsia="Times New Roman" w:cs="Times New Roman"/>
        </w:rPr>
        <w:t xml:space="preserve"> </w:t>
      </w:r>
      <w:r>
        <w:rPr>
          <w:rFonts w:ascii="Ebrima" w:hAnsi="Ebrima" w:eastAsia="Ebrima" w:cs="Ebrima"/>
        </w:rPr>
        <w:t>ያመጣውን</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በአደባባይ</w:t>
      </w:r>
      <w:r>
        <w:rPr>
          <w:rFonts w:ascii="Times New Roman" w:hAnsi="Times New Roman" w:eastAsia="Times New Roman" w:cs="Times New Roman"/>
        </w:rPr>
        <w:t xml:space="preserve"> </w:t>
      </w:r>
      <w:r>
        <w:rPr>
          <w:rFonts w:ascii="Ebrima" w:hAnsi="Ebrima" w:eastAsia="Ebrima" w:cs="Ebrima"/>
        </w:rPr>
        <w:t>የሚናዘዝ</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በሕዝቅኤል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የታተሙት</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Apre lapriyè a, Kris la (nonm bwòs pousyè a) antre epi li kòmanse netwaye chanm nan. Nan fen travay netwayaj nonm bwòs pousyè a, Miller fèmen je l pou yon ti moman, sa ki make fen peryòd kote zo sèch mò yo te dwe resisite. Apre sa, nonm bwòs pousyè a ranmase bijou ki te gaye yo nan chanm Miller la, epi li mete yo nan yon nouvo sèkèy ki pi gwo, sou yon tab nan mitan chanm Miller la, menm jan de temwen yo leve anlè kòm drapo a. Kòm drapo a, yo rele lòt twoupo Bondye a ki toujou nan Babilòn pou yo “vini wè” mesaj Lyon branch fanmi Jida a fèk jete nan nouvo sèkèy ki pi gwo a.</w:t>
      </w:r>
    </w:p>
    <w:p>
      <w:pPr>
        <w:pStyle w:val="ArticleBody"/>
        <w:jc w:val="left"/>
      </w:pPr>
      <w:r>
        <w:rPr>
          <w:rFonts w:ascii="Times New Roman" w:hAnsi="Times New Roman" w:eastAsia="Times New Roman" w:cs="Times New Roman"/>
        </w:rPr>
        <w:t>Katika makala inayofuata tutaanza kuzingatia maono ya Mto Ulai kama ishara ya kweli zinazotoka katika kitabu cha Danieli ambacho kilifunguliwa muhuri wake mwaka 1798. Tumeweka mapema alama chache za rejea kabla ya kuzingatia jambo hilo. La kwanza ni kwamba ujumbe wa Wamillerite ulikuwa mkamilifu (katika hatua yake ya ukuaji), lakini haukukamilika kwa ukamilifu wote. Uliwekwa ndani ya mfumo wa mamlaka mbili, si tatu, zenye kuharibu. La pili ni kwamba ndoto ya Miller inapobainisha urejesho wa mwisho wa kweli za msingi, basi kweli hizo za msingi wakati huo ni “angavu mara kumi” kuliko utukufu wake wa asili. Jambo la tatu ni kwamba mwendo wa malaika wa kwanza (mwendo wa Wamillerite), unarudiwa katika mwendo wa malaika wa tatu, lakini pamoja na tahadhari chache za maana. Wamillerite kama ishara walikuwa Wafiladelfia, walikuwa Nebukadneza aliyekuwa ameongoka, lakini ambaye hatimaye na kwa masikitiko, “aliijenga upya Yeriko” mwaka 1863.</w:t>
      </w:r>
    </w:p>
    <w:p>
      <w:pPr>
        <w:pStyle w:val="ArticleBody"/>
        <w:jc w:val="left"/>
      </w:pPr>
      <w:r>
        <w:rPr>
          <w:rFonts w:ascii="Times New Roman" w:hAnsi="Times New Roman" w:eastAsia="Times New Roman" w:cs="Times New Roman"/>
        </w:rPr>
        <w:t>Le mouvement du troisième ange commença comme des Laodicéens ayant besoin de conversion, mais ils participeraient finalement à la destruction finale de Jéricho (le Jéricho des derniers jours).</w:t>
      </w:r>
    </w:p>
    <w:p>
      <w:pPr>
        <w:pStyle w:val="ArticleScripture"/>
        <w:jc w:val="left"/>
      </w:pPr>
      <w:r>
        <w:rPr>
          <w:rFonts w:ascii="Times New Roman" w:hAnsi="Times New Roman" w:eastAsia="Times New Roman" w:cs="Times New Roman"/>
        </w:rPr>
        <w:t>“Le Sauveur n’était pas venu abolir ce qu’avaient déclaré les patriarches et les prophètes; car c’était Lui-même qui avait parlé par l’intermédiaire de ces hommes représentatifs. Toutes les vérités de la parole de Dieu venaient de Lui. Mais ces pierres précieuses inestimables avaient été serties dans de faux cadres. Leur lumière précieuse avait été mise au service de l’erreur. Dieu désirait qu’elles fussent retirées de leurs cadres d’erreur et replacées dans l’ordonnance de la vérité. Cette œuvre, seule une main divine pouvait l’accomplir. Par sa liaison avec l’erreur, la vérité avait servi la cause de l’ennemi de Dieu et de l’homme. Christ était venu la placer là où elle glorifierait Dieu et opérerait le salut de l’humanité.” Jésus-Christ,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Thelathini na Tisa</dc:title>
  <dc:subject>Révélation de la tapisserie prophétique : le rêve de William Miller et la restauration des vérités fondamentales dans les derniers jours</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