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Livre de Daniel - Nombre quarante</w:t>
      </w:r>
    </w:p>
    <w:p>
      <w:pPr>
        <w:pStyle w:val="ArticleSubtitle"/>
        <w:jc w:val="left"/>
      </w:pPr>
      <w:r>
        <w:rPr>
          <w:rFonts w:ascii="Arial" w:hAnsi="Arial" w:eastAsia="Arial" w:cs="Arial"/>
        </w:rPr>
        <w:t>Pawulos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Daniel surasi bir bilan Daniel surasi to‘rt ustma-ust qo‘yib ko‘rilganda, u 1798 yildan 1844 yilgacha bo‘lgan birinchi va ikkinchi farishtalarning tarixini ifodalaydi. O‘sha tarixda Doniyor kitobi muhrdan yechildi, va muhrdan yechilgan qism yettinchi, sakkizinchi hamda to‘qqizinchi boblar edi. “Satr ustiga satr” tamoyiliga ko‘ra, birinchi, to‘rtinchi va so‘ng yettinchi-to‘qqizinchi boblar birinchi farishtaning Millerit harakati tarixini tasvirlaydi.</w:t>
      </w:r>
    </w:p>
    <w:p>
      <w:pPr>
        <w:pStyle w:val="ArticleBody"/>
        <w:jc w:val="left"/>
      </w:pPr>
      <w:r>
        <w:rPr>
          <w:rFonts w:ascii="Times New Roman" w:hAnsi="Times New Roman" w:eastAsia="Times New Roman" w:cs="Times New Roman"/>
        </w:rPr>
        <w:t>Dans cette histoire (1798 à 1844), les vérités fondamentales de l’adventisme furent établies, et ces vérités furent finalement représentées sur la carte pionnière de 1843. L’image de Nebucadnetsar de Daniel, chapitre deux, se trouve sur la carte. Les visions de Daniel sept et huit s’y trouvent. Le « continuel » du chapitre huit y est représenté, de même que les « sept temps » de Lévitique vingt-six. Les trois Malheurs de l’islam, tels qu’ils sont présentés dans l’Apocalypse, chapitre neuf, y figurent. Dieu avertit à maintes reprises que ces vérités fondamentales seraient attaquées.</w:t>
      </w:r>
    </w:p>
    <w:p>
      <w:pPr>
        <w:pStyle w:val="ArticleScripture"/>
        <w:jc w:val="left"/>
      </w:pPr>
      <w:r>
        <w:rPr>
          <w:rFonts w:ascii="Times New Roman" w:hAnsi="Times New Roman" w:eastAsia="Times New Roman" w:cs="Times New Roman"/>
        </w:rPr>
        <w:t>« Que ceux qui se tiennent comme sentinelles de Dieu sur les murailles de Sion soient des hommes capables de discerner les dangers avant le peuple, — des hommes capables de distinguer entre la vérité et l’erreur, la justice et l’injustice. »</w:t>
      </w:r>
    </w:p>
    <w:p>
      <w:pPr>
        <w:pStyle w:val="ArticleScripture"/>
        <w:jc w:val="left"/>
      </w:pPr>
      <w:r>
        <w:rPr>
          <w:rFonts w:ascii="Times New Roman" w:hAnsi="Times New Roman" w:eastAsia="Times New Roman" w:cs="Times New Roman"/>
        </w:rPr>
        <w:t>«Il est venu un avertissement : rien ne doit être admis qui puisse ébranler le fondement de la foi sur lequel nous bâtissons depuis que le message est venu en 1842, 1843 et 1844. J’étais dans ce message, et depuis lors je me tiens devant le monde, fidèle à la lumière que Dieu nous a donnée. Nous n’avons nullement l’intention de retirer nos pieds de la plateforme sur laquelle ils ont été placés, tandis que, jour après jour, nous cherchions le Seigneur par une prière fervente, en quête de lumière. Pensez-vous que je pourrais renoncer à la lumière que Dieu m’a donnée ? Elle doit être comme le Rocher des siècles. Elle me guide depuis le moment où elle m’a été donnée. » Review and Herald, 14 avril 1903.</w:t>
      </w:r>
    </w:p>
    <w:p>
      <w:pPr>
        <w:pStyle w:val="ArticleBody"/>
        <w:jc w:val="left"/>
      </w:pPr>
      <w:r>
        <w:rPr>
          <w:rFonts w:ascii="Times New Roman" w:hAnsi="Times New Roman" w:eastAsia="Times New Roman" w:cs="Times New Roman"/>
        </w:rPr>
        <w:t>L’ouvrage de l’homme à la brosse de poussière, qui doit être accompli avec la participation du peuple de Dieu des derniers jours, est aussi représenté par Ésaïe, lorsqu’il identifie le peuple des derniers jours et l’œuvre à laquelle il est appelé; car les fondements étaient destinés à être ensevelis sous l’erreur avant l’arrivée des derniers jours.</w:t>
      </w:r>
    </w:p>
    <w:p>
      <w:pPr>
        <w:pStyle w:val="ArticleScripture"/>
        <w:jc w:val="left"/>
      </w:pPr>
      <w:r>
        <w:rPr>
          <w:rFonts w:ascii="Times New Roman" w:hAnsi="Times New Roman" w:eastAsia="Times New Roman" w:cs="Times New Roman"/>
        </w:rPr>
        <w:t>Et ceux qui sortiront de toi rebâtiront les ruines antiques; tu relèveras les fondements de nombreuses générations; et l’on t’appellera: Celui qui répare la brèche, Celui qui restaure les sentiers pour qu’on y habite. Ésaïe 58:12.</w:t>
      </w:r>
    </w:p>
    <w:p>
      <w:pPr>
        <w:pStyle w:val="ArticleBody"/>
        <w:jc w:val="left"/>
      </w:pPr>
      <w:r>
        <w:rPr>
          <w:rFonts w:ascii="Times New Roman" w:hAnsi="Times New Roman" w:eastAsia="Times New Roman" w:cs="Times New Roman"/>
        </w:rPr>
        <w:t>«Боронғо емерек урындар» мәжүсилек һәм папалыҡ тигән ике бөлгөнлөк килтереүсе көс менән бәйле булған доктриналь хәҡиҡәттәрҙе аңлата. Мәжүсилектең ике бөлгөнлөк килтереүсе көсө артынан папалыҡ килеүе — Уильям Миллер үҙе тәҡдим иткән һәр пәйғәмбәрлек өсөн нигеҙ итеп ҡулланған ҡоролма ине.</w:t>
      </w:r>
    </w:p>
    <w:p>
      <w:pPr>
        <w:pStyle w:val="ArticleScripture"/>
        <w:jc w:val="left"/>
      </w:pPr>
      <w:r>
        <w:rPr>
          <w:rFonts w:ascii="Times New Roman" w:hAnsi="Times New Roman" w:eastAsia="Times New Roman" w:cs="Times New Roman"/>
        </w:rPr>
        <w:t>Et ils rebâtiront les ruines anciennes, ils relèveront les dévastations d’autrefois, et ils restaureront les villes ruinées, les désolations de nombreuses générations. Ésaïe 61:4.</w:t>
      </w:r>
    </w:p>
    <w:p>
      <w:pPr>
        <w:pStyle w:val="ArticleBody"/>
        <w:jc w:val="left"/>
      </w:pPr>
      <w:r>
        <w:rPr>
          <w:rFonts w:ascii="Times New Roman" w:hAnsi="Times New Roman" w:eastAsia="Times New Roman" w:cs="Times New Roman"/>
        </w:rPr>
        <w:t>Muundo wa unabii unaowakilishwa kama mfumo wa kimsingi ni historia na uhusiano wa yale mamlaka mawili. Kurejesha “njia za kukaliwa,” ni kurejeshwa kwa mfumo wa Miller, ambao uliwakilishwa katika ndoto yake kwa kazi ya yule mtu wa brashi ya vumbi. Isaya alitumia mfano wa historia ya Ezra na wale waliorudi kutoka Babeli na kuikarabati Yerusalemu, ili kutambulisha kurejeshwa kwa ukiwa wa zamani.</w:t>
      </w:r>
    </w:p>
    <w:p>
      <w:pPr>
        <w:pStyle w:val="ArticleScripture"/>
        <w:jc w:val="left"/>
      </w:pPr>
      <w:r>
        <w:rPr>
          <w:rFonts w:ascii="Times New Roman" w:hAnsi="Times New Roman" w:eastAsia="Times New Roman" w:cs="Times New Roman"/>
        </w:rPr>
        <w:t>Oo desde os dias de nossos pais até este dia temos estado em grande transgressão; e, por causa das nossas iniquidades, fomos entregues, nós, os nossos reis e os nossos sacerdotes, nas mãos dos reis das terras, à espada, ao cativeiro, ao saque e à confusão do rosto, como hoje se vê. E agora, por um breve momento, se nos mostrou graça da parte do Senhor nosso Deus, para nos deixar um remanescente que escapasse e para nos dar um prego no seu santo lugar, para que o nosso Deus alumie os nossos olhos e nos dê um pouco de refrigério na nossa servidão. Porque éramos servos; contudo, o nosso Deus não nos desamparou na nossa servidão; antes, estendeu sobre nós a sua misericórdia perante os reis da Pérsia, para nos dar um refrigério, para levantar a casa do nosso Deus, para reparar as suas assolações e para nos dar um muro em Judá e em Jerusalém. Esdras 9:7–9.</w:t>
      </w:r>
    </w:p>
    <w:p>
      <w:pPr>
        <w:pStyle w:val="ArticleBody"/>
        <w:jc w:val="left"/>
      </w:pPr>
      <w:r>
        <w:rPr>
          <w:rFonts w:ascii="Times New Roman" w:hAnsi="Times New Roman" w:eastAsia="Times New Roman" w:cs="Times New Roman"/>
        </w:rPr>
        <w:t>ایزرا اور یروشلیم کی مرمت کرنے والے اُن “بقیہ” کی نمائندگی کرتے ہیں جو رہنے کے لیے راستوں کو بحال کرنے والے ہیں، اور وہی ہیں جو احبار چھبیس کی دعا کے سیاق میں یہ کام انجام دے رہے ہیں، جس کا حوالہ ایزرا اس طرح دیتا ہے کہ “اپنے باپ دادا کے زمانہ سے لے کر آج کے دن تک ہم بڑے قصور میں مبتلا رہے ہیں؛ اور اپنی بداعمالیوں کے سبب ہم، ہمارے بادشاہ، اور ہمارے کاہن، ملکوں کے بادشاہوں کے ہاتھ میں تلوار، اسیری، لوٹ، اور رُسوائی کے سپرد کیے گئے ہیں۔” وہ “دن” جس کی طرف وہ اشارہ کرتا ہے، وہی “دن” ہے جب آخری ایام کا “بقیہ” رہنے کے لیے راستوں کو بحال کرتا ہے۔</w:t>
      </w:r>
    </w:p>
    <w:p>
      <w:pPr>
        <w:pStyle w:val="ArticleBody"/>
        <w:jc w:val="left"/>
      </w:pP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w:t>
      </w:r>
      <w:r>
        <w:rPr>
          <w:rFonts w:ascii="Nirmala UI" w:hAnsi="Nirmala UI" w:eastAsia="Nirmala UI" w:cs="Nirmala UI"/>
        </w:rPr>
        <w:t>खुचे</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हउअन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देहल</w:t>
      </w:r>
      <w:r>
        <w:rPr>
          <w:rFonts w:ascii="Times New Roman" w:hAnsi="Times New Roman" w:eastAsia="Times New Roman" w:cs="Times New Roman"/>
        </w:rPr>
        <w:t xml:space="preserve"> </w:t>
      </w:r>
      <w:r>
        <w:rPr>
          <w:rFonts w:ascii="Nirmala UI" w:hAnsi="Nirmala UI" w:eastAsia="Nirmala UI" w:cs="Nirmala UI"/>
        </w:rPr>
        <w:t>जालन</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करेलन</w:t>
      </w:r>
      <w:r>
        <w:rPr>
          <w:rFonts w:ascii="Times New Roman" w:hAnsi="Times New Roman" w:eastAsia="Times New Roman" w:cs="Times New Roman"/>
        </w:rPr>
        <w:t xml:space="preserve">, </w:t>
      </w:r>
      <w:r>
        <w:rPr>
          <w:rFonts w:ascii="Nirmala UI" w:hAnsi="Nirmala UI" w:eastAsia="Nirmala UI" w:cs="Nirmala UI"/>
        </w:rPr>
        <w:t>जइसन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देखवले</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एज्रा</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उनकर</w:t>
      </w:r>
      <w:r>
        <w:rPr>
          <w:rFonts w:ascii="Times New Roman" w:hAnsi="Times New Roman" w:eastAsia="Times New Roman" w:cs="Times New Roman"/>
        </w:rPr>
        <w:t xml:space="preserve"> </w:t>
      </w:r>
      <w:r>
        <w:rPr>
          <w:rFonts w:ascii="Nirmala UI" w:hAnsi="Nirmala UI" w:eastAsia="Nirmala UI" w:cs="Nirmala UI"/>
        </w:rPr>
        <w:t>सहकर्मी</w:t>
      </w:r>
      <w:r>
        <w:rPr>
          <w:rFonts w:ascii="Times New Roman" w:hAnsi="Times New Roman" w:eastAsia="Times New Roman" w:cs="Times New Roman"/>
        </w:rPr>
        <w:t xml:space="preserve"> </w:t>
      </w:r>
      <w:r>
        <w:rPr>
          <w:rFonts w:ascii="Nirmala UI" w:hAnsi="Nirmala UI" w:eastAsia="Nirmala UI" w:cs="Nirmala UI"/>
        </w:rPr>
        <w:t>निर्वासन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बनवले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मिल्लर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बहाल</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ठहरलें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मिल्लर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बुनियादी</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बहाल</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मिल्लर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ढाँचा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समझल</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बा।</w:t>
      </w:r>
    </w:p>
    <w:p>
      <w:pPr>
        <w:pStyle w:val="ArticleScripture"/>
        <w:jc w:val="left"/>
      </w:pPr>
      <w:r>
        <w:rPr>
          <w:rFonts w:ascii="Microsoft YaHei" w:hAnsi="Microsoft YaHei" w:eastAsia="Microsoft YaHei" w:cs="Microsoft YaHei"/>
        </w:rPr>
        <w:t>「使徒</w:t>
      </w:r>
      <w:r>
        <w:rPr>
          <w:rFonts w:ascii="MS Gothic" w:hAnsi="MS Gothic" w:eastAsia="MS Gothic" w:cs="MS Gothic"/>
        </w:rPr>
        <w:t>たちは</w:t>
      </w:r>
      <w:r>
        <w:rPr>
          <w:rFonts w:ascii="Microsoft YaHei" w:hAnsi="Microsoft YaHei" w:eastAsia="Microsoft YaHei" w:cs="Microsoft YaHei"/>
        </w:rPr>
        <w:t>、確</w:t>
      </w:r>
      <w:r>
        <w:rPr>
          <w:rFonts w:ascii="MS Gothic" w:hAnsi="MS Gothic" w:eastAsia="MS Gothic" w:cs="MS Gothic"/>
        </w:rPr>
        <w:t>かな</w:t>
      </w:r>
      <w:r>
        <w:rPr>
          <w:rFonts w:ascii="Microsoft YaHei" w:hAnsi="Microsoft YaHei" w:eastAsia="Microsoft YaHei" w:cs="Microsoft YaHei"/>
        </w:rPr>
        <w:t>土台、</w:t>
      </w:r>
      <w:r>
        <w:rPr>
          <w:rFonts w:ascii="MS Gothic" w:hAnsi="MS Gothic" w:eastAsia="MS Gothic" w:cs="MS Gothic"/>
        </w:rPr>
        <w:t>すなわち</w:t>
      </w:r>
      <w:r>
        <w:rPr>
          <w:rFonts w:ascii="Microsoft YaHei" w:hAnsi="Microsoft YaHei" w:eastAsia="Microsoft YaHei" w:cs="Microsoft YaHei"/>
        </w:rPr>
        <w:t>永遠</w:t>
      </w:r>
      <w:r>
        <w:rPr>
          <w:rFonts w:ascii="MS Gothic" w:hAnsi="MS Gothic" w:eastAsia="MS Gothic" w:cs="MS Gothic"/>
        </w:rPr>
        <w:t>の</w:t>
      </w:r>
      <w:r>
        <w:rPr>
          <w:rFonts w:ascii="Microsoft YaHei" w:hAnsi="Microsoft YaHei" w:eastAsia="Microsoft YaHei" w:cs="Microsoft YaHei"/>
        </w:rPr>
        <w:t>岩</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築</w:t>
      </w:r>
      <w:r>
        <w:rPr>
          <w:rFonts w:ascii="MS Gothic" w:hAnsi="MS Gothic" w:eastAsia="MS Gothic" w:cs="MS Gothic"/>
        </w:rPr>
        <w:t>いた</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土台</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世</w:t>
      </w:r>
      <w:r>
        <w:rPr>
          <w:rFonts w:ascii="MS Gothic" w:hAnsi="MS Gothic" w:eastAsia="MS Gothic" w:cs="MS Gothic"/>
        </w:rPr>
        <w:t>から</w:t>
      </w:r>
      <w:r>
        <w:rPr>
          <w:rFonts w:ascii="Microsoft YaHei" w:hAnsi="Microsoft YaHei" w:eastAsia="Microsoft YaHei" w:cs="Microsoft YaHei"/>
        </w:rPr>
        <w:t>切</w:t>
      </w:r>
      <w:r>
        <w:rPr>
          <w:rFonts w:ascii="MS Gothic" w:hAnsi="MS Gothic" w:eastAsia="MS Gothic" w:cs="MS Gothic"/>
        </w:rPr>
        <w:t>り</w:t>
      </w:r>
      <w:r>
        <w:rPr>
          <w:rFonts w:ascii="Microsoft YaHei" w:hAnsi="Microsoft YaHei" w:eastAsia="Microsoft YaHei" w:cs="Microsoft YaHei"/>
        </w:rPr>
        <w:t>出</w:t>
      </w:r>
      <w:r>
        <w:rPr>
          <w:rFonts w:ascii="MS Gothic" w:hAnsi="MS Gothic" w:eastAsia="MS Gothic" w:cs="MS Gothic"/>
        </w:rPr>
        <w:t>した</w:t>
      </w:r>
      <w:r>
        <w:rPr>
          <w:rFonts w:ascii="Microsoft YaHei" w:hAnsi="Microsoft YaHei" w:eastAsia="Microsoft YaHei" w:cs="Microsoft YaHei"/>
        </w:rPr>
        <w:t>石</w:t>
      </w:r>
      <w:r>
        <w:rPr>
          <w:rFonts w:ascii="MS Gothic" w:hAnsi="MS Gothic" w:eastAsia="MS Gothic" w:cs="MS Gothic"/>
        </w:rPr>
        <w:t>を</w:t>
      </w:r>
      <w:r>
        <w:rPr>
          <w:rFonts w:ascii="Microsoft YaHei" w:hAnsi="Microsoft YaHei" w:eastAsia="Microsoft YaHei" w:cs="Microsoft YaHei"/>
        </w:rPr>
        <w:t>運</w:t>
      </w:r>
      <w:r>
        <w:rPr>
          <w:rFonts w:ascii="MS Gothic" w:hAnsi="MS Gothic" w:eastAsia="MS Gothic" w:cs="MS Gothic"/>
        </w:rPr>
        <w:t>んで</w:t>
      </w:r>
      <w:r>
        <w:rPr>
          <w:rFonts w:ascii="Microsoft YaHei" w:hAnsi="Microsoft YaHei" w:eastAsia="Microsoft YaHei" w:cs="Microsoft YaHei"/>
        </w:rPr>
        <w:t>来</w:t>
      </w:r>
      <w:r>
        <w:rPr>
          <w:rFonts w:ascii="MS Gothic" w:hAnsi="MS Gothic" w:eastAsia="MS Gothic" w:cs="MS Gothic"/>
        </w:rPr>
        <w:t>た</w:t>
      </w:r>
      <w:r>
        <w:rPr>
          <w:rFonts w:ascii="Times New Roman" w:hAnsi="Times New Roman" w:eastAsia="Times New Roman" w:cs="Times New Roman"/>
        </w:rPr>
        <w:t>.</w:t>
      </w:r>
      <w:r>
        <w:rPr>
          <w:rFonts w:ascii="Microsoft YaHei" w:hAnsi="Microsoft YaHei" w:eastAsia="Microsoft YaHei" w:cs="Microsoft YaHei"/>
        </w:rPr>
        <w:t>建築者</w:t>
      </w:r>
      <w:r>
        <w:rPr>
          <w:rFonts w:ascii="MS Gothic" w:hAnsi="MS Gothic" w:eastAsia="MS Gothic" w:cs="MS Gothic"/>
        </w:rPr>
        <w:t>たちが</w:t>
      </w:r>
      <w:r>
        <w:rPr>
          <w:rFonts w:ascii="Microsoft YaHei" w:hAnsi="Microsoft YaHei" w:eastAsia="Microsoft YaHei" w:cs="Microsoft YaHei"/>
        </w:rPr>
        <w:t>労</w:t>
      </w:r>
      <w:r>
        <w:rPr>
          <w:rFonts w:ascii="MS Gothic" w:hAnsi="MS Gothic" w:eastAsia="MS Gothic" w:cs="MS Gothic"/>
        </w:rPr>
        <w:t>したのは</w:t>
      </w:r>
      <w:r>
        <w:rPr>
          <w:rFonts w:ascii="Microsoft YaHei" w:hAnsi="Microsoft YaHei" w:eastAsia="Microsoft YaHei" w:cs="Microsoft YaHei"/>
        </w:rPr>
        <w:t>、妨</w:t>
      </w:r>
      <w:r>
        <w:rPr>
          <w:rFonts w:ascii="MS Gothic" w:hAnsi="MS Gothic" w:eastAsia="MS Gothic" w:cs="MS Gothic"/>
        </w:rPr>
        <w:t>げなくしてではなかった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働</w:t>
      </w:r>
      <w:r>
        <w:rPr>
          <w:rFonts w:ascii="MS Gothic" w:hAnsi="MS Gothic" w:eastAsia="MS Gothic" w:cs="MS Gothic"/>
        </w:rPr>
        <w:t>きは</w:t>
      </w:r>
      <w:r>
        <w:rPr>
          <w:rFonts w:ascii="Microsoft YaHei" w:hAnsi="Microsoft YaHei" w:eastAsia="Microsoft YaHei" w:cs="Microsoft YaHei"/>
        </w:rPr>
        <w:t>、</w:t>
      </w:r>
      <w:r>
        <w:rPr>
          <w:rFonts w:ascii="MS Gothic" w:hAnsi="MS Gothic" w:eastAsia="MS Gothic" w:cs="MS Gothic"/>
        </w:rPr>
        <w:t>キリストの</w:t>
      </w:r>
      <w:r>
        <w:rPr>
          <w:rFonts w:ascii="Microsoft YaHei" w:hAnsi="Microsoft YaHei" w:eastAsia="Microsoft YaHei" w:cs="Microsoft YaHei"/>
        </w:rPr>
        <w:t>敵</w:t>
      </w:r>
      <w:r>
        <w:rPr>
          <w:rFonts w:ascii="MS Gothic" w:hAnsi="MS Gothic" w:eastAsia="MS Gothic" w:cs="MS Gothic"/>
        </w:rPr>
        <w:t>たちの</w:t>
      </w:r>
      <w:r>
        <w:rPr>
          <w:rFonts w:ascii="Microsoft YaHei" w:hAnsi="Microsoft YaHei" w:eastAsia="Microsoft YaHei" w:cs="Microsoft YaHei"/>
        </w:rPr>
        <w:t>反対</w:t>
      </w:r>
      <w:r>
        <w:rPr>
          <w:rFonts w:ascii="MS Gothic" w:hAnsi="MS Gothic" w:eastAsia="MS Gothic" w:cs="MS Gothic"/>
        </w:rPr>
        <w:t>によって</w:t>
      </w:r>
      <w:r>
        <w:rPr>
          <w:rFonts w:ascii="Microsoft YaHei" w:hAnsi="Microsoft YaHei" w:eastAsia="Microsoft YaHei" w:cs="Microsoft YaHei"/>
        </w:rPr>
        <w:t>、</w:t>
      </w:r>
      <w:r>
        <w:rPr>
          <w:rFonts w:ascii="MS Gothic" w:hAnsi="MS Gothic" w:eastAsia="MS Gothic" w:cs="MS Gothic"/>
        </w:rPr>
        <w:t>きわめて</w:t>
      </w:r>
      <w:r>
        <w:rPr>
          <w:rFonts w:ascii="Microsoft YaHei" w:hAnsi="Microsoft YaHei" w:eastAsia="Microsoft YaHei" w:cs="Microsoft YaHei"/>
        </w:rPr>
        <w:t>困難</w:t>
      </w:r>
      <w:r>
        <w:rPr>
          <w:rFonts w:ascii="MS Gothic" w:hAnsi="MS Gothic" w:eastAsia="MS Gothic" w:cs="MS Gothic"/>
        </w:rPr>
        <w:t>なものとされた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、偽</w:t>
      </w:r>
      <w:r>
        <w:rPr>
          <w:rFonts w:ascii="MS Gothic" w:hAnsi="MS Gothic" w:eastAsia="MS Gothic" w:cs="MS Gothic"/>
        </w:rPr>
        <w:t>りの</w:t>
      </w:r>
      <w:r>
        <w:rPr>
          <w:rFonts w:ascii="Microsoft YaHei" w:hAnsi="Microsoft YaHei" w:eastAsia="Microsoft YaHei" w:cs="Microsoft YaHei"/>
        </w:rPr>
        <w:t>土台</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築</w:t>
      </w:r>
      <w:r>
        <w:rPr>
          <w:rFonts w:ascii="MS Gothic" w:hAnsi="MS Gothic" w:eastAsia="MS Gothic" w:cs="MS Gothic"/>
        </w:rPr>
        <w:t>いている</w:t>
      </w:r>
      <w:r>
        <w:rPr>
          <w:rFonts w:ascii="Microsoft YaHei" w:hAnsi="Microsoft YaHei" w:eastAsia="Microsoft YaHei" w:cs="Microsoft YaHei"/>
        </w:rPr>
        <w:t>者</w:t>
      </w:r>
      <w:r>
        <w:rPr>
          <w:rFonts w:ascii="MS Gothic" w:hAnsi="MS Gothic" w:eastAsia="MS Gothic" w:cs="MS Gothic"/>
        </w:rPr>
        <w:t>たちの</w:t>
      </w:r>
      <w:r>
        <w:rPr>
          <w:rFonts w:ascii="Microsoft YaHei" w:hAnsi="Microsoft YaHei" w:eastAsia="Microsoft YaHei" w:cs="Microsoft YaHei"/>
        </w:rPr>
        <w:t>偏狭、偏見、</w:t>
      </w:r>
      <w:r>
        <w:rPr>
          <w:rFonts w:ascii="MS Gothic" w:hAnsi="MS Gothic" w:eastAsia="MS Gothic" w:cs="MS Gothic"/>
        </w:rPr>
        <w:t>そして</w:t>
      </w:r>
      <w:r>
        <w:rPr>
          <w:rFonts w:ascii="Microsoft YaHei" w:hAnsi="Microsoft YaHei" w:eastAsia="Microsoft YaHei" w:cs="Microsoft YaHei"/>
        </w:rPr>
        <w:t>憎悪</w:t>
      </w:r>
      <w:r>
        <w:rPr>
          <w:rFonts w:ascii="MS Gothic" w:hAnsi="MS Gothic" w:eastAsia="MS Gothic" w:cs="MS Gothic"/>
        </w:rPr>
        <w:t>と</w:t>
      </w:r>
      <w:r>
        <w:rPr>
          <w:rFonts w:ascii="Microsoft YaHei" w:hAnsi="Microsoft YaHei" w:eastAsia="Microsoft YaHei" w:cs="Microsoft YaHei"/>
        </w:rPr>
        <w:t>戦</w:t>
      </w:r>
      <w:r>
        <w:rPr>
          <w:rFonts w:ascii="MS Gothic" w:hAnsi="MS Gothic" w:eastAsia="MS Gothic" w:cs="MS Gothic"/>
        </w:rPr>
        <w:t>わなければならなかった</w:t>
      </w:r>
      <w:r>
        <w:rPr>
          <w:rFonts w:ascii="Times New Roman" w:hAnsi="Times New Roman" w:eastAsia="Times New Roman" w:cs="Times New Roman"/>
        </w:rPr>
        <w:t>.</w:t>
      </w:r>
      <w:r>
        <w:rPr>
          <w:rFonts w:ascii="Microsoft YaHei" w:hAnsi="Microsoft YaHei" w:eastAsia="Microsoft YaHei" w:cs="Microsoft YaHei"/>
        </w:rPr>
        <w:t>教会</w:t>
      </w:r>
      <w:r>
        <w:rPr>
          <w:rFonts w:ascii="MS Gothic" w:hAnsi="MS Gothic" w:eastAsia="MS Gothic" w:cs="MS Gothic"/>
        </w:rPr>
        <w:t>の</w:t>
      </w:r>
      <w:r>
        <w:rPr>
          <w:rFonts w:ascii="Microsoft YaHei" w:hAnsi="Microsoft YaHei" w:eastAsia="Microsoft YaHei" w:cs="Microsoft YaHei"/>
        </w:rPr>
        <w:t>建築者</w:t>
      </w:r>
      <w:r>
        <w:rPr>
          <w:rFonts w:ascii="MS Gothic" w:hAnsi="MS Gothic" w:eastAsia="MS Gothic" w:cs="MS Gothic"/>
        </w:rPr>
        <w:t>として</w:t>
      </w:r>
      <w:r>
        <w:rPr>
          <w:rFonts w:ascii="Microsoft YaHei" w:hAnsi="Microsoft YaHei" w:eastAsia="Microsoft YaHei" w:cs="Microsoft YaHei"/>
        </w:rPr>
        <w:t>働</w:t>
      </w:r>
      <w:r>
        <w:rPr>
          <w:rFonts w:ascii="MS Gothic" w:hAnsi="MS Gothic" w:eastAsia="MS Gothic" w:cs="MS Gothic"/>
        </w:rPr>
        <w:t>いた</w:t>
      </w:r>
      <w:r>
        <w:rPr>
          <w:rFonts w:ascii="Microsoft YaHei" w:hAnsi="Microsoft YaHei" w:eastAsia="Microsoft YaHei" w:cs="Microsoft YaHei"/>
        </w:rPr>
        <w:t>多</w:t>
      </w:r>
      <w:r>
        <w:rPr>
          <w:rFonts w:ascii="MS Gothic" w:hAnsi="MS Gothic" w:eastAsia="MS Gothic" w:cs="MS Gothic"/>
        </w:rPr>
        <w:t>くの</w:t>
      </w:r>
      <w:r>
        <w:rPr>
          <w:rFonts w:ascii="Microsoft YaHei" w:hAnsi="Microsoft YaHei" w:eastAsia="Microsoft YaHei" w:cs="Microsoft YaHei"/>
        </w:rPr>
        <w:t>者</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ネヘミヤの</w:t>
      </w:r>
      <w:r>
        <w:rPr>
          <w:rFonts w:ascii="Microsoft YaHei" w:hAnsi="Microsoft YaHei" w:eastAsia="Microsoft YaHei" w:cs="Microsoft YaHei"/>
        </w:rPr>
        <w:t>時代</w:t>
      </w:r>
      <w:r>
        <w:rPr>
          <w:rFonts w:ascii="MS Gothic" w:hAnsi="MS Gothic" w:eastAsia="MS Gothic" w:cs="MS Gothic"/>
        </w:rPr>
        <w:t>の</w:t>
      </w:r>
      <w:r>
        <w:rPr>
          <w:rFonts w:ascii="Microsoft YaHei" w:hAnsi="Microsoft YaHei" w:eastAsia="Microsoft YaHei" w:cs="Microsoft YaHei"/>
        </w:rPr>
        <w:t>城壁</w:t>
      </w:r>
      <w:r>
        <w:rPr>
          <w:rFonts w:ascii="MS Gothic" w:hAnsi="MS Gothic" w:eastAsia="MS Gothic" w:cs="MS Gothic"/>
        </w:rPr>
        <w:t>を</w:t>
      </w:r>
      <w:r>
        <w:rPr>
          <w:rFonts w:ascii="Microsoft YaHei" w:hAnsi="Microsoft YaHei" w:eastAsia="Microsoft YaHei" w:cs="Microsoft YaHei"/>
        </w:rPr>
        <w:t>築</w:t>
      </w:r>
      <w:r>
        <w:rPr>
          <w:rFonts w:ascii="MS Gothic" w:hAnsi="MS Gothic" w:eastAsia="MS Gothic" w:cs="MS Gothic"/>
        </w:rPr>
        <w:t>いた</w:t>
      </w:r>
      <w:r>
        <w:rPr>
          <w:rFonts w:ascii="Microsoft YaHei" w:hAnsi="Microsoft YaHei" w:eastAsia="Microsoft YaHei" w:cs="Microsoft YaHei"/>
        </w:rPr>
        <w:t>者</w:t>
      </w:r>
      <w:r>
        <w:rPr>
          <w:rFonts w:ascii="MS Gothic" w:hAnsi="MS Gothic" w:eastAsia="MS Gothic" w:cs="MS Gothic"/>
        </w:rPr>
        <w:t>たちになぞらえることができる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らについては</w:t>
      </w:r>
      <w:r>
        <w:rPr>
          <w:rFonts w:ascii="Microsoft YaHei" w:hAnsi="Microsoft YaHei" w:eastAsia="Microsoft YaHei" w:cs="Microsoft YaHei"/>
        </w:rPr>
        <w:t>、次</w:t>
      </w:r>
      <w:r>
        <w:rPr>
          <w:rFonts w:ascii="MS Gothic" w:hAnsi="MS Gothic" w:eastAsia="MS Gothic" w:cs="MS Gothic"/>
        </w:rPr>
        <w:t>のように</w:t>
      </w:r>
      <w:r>
        <w:rPr>
          <w:rFonts w:ascii="Microsoft YaHei" w:hAnsi="Microsoft YaHei" w:eastAsia="Microsoft YaHei" w:cs="Microsoft YaHei"/>
        </w:rPr>
        <w:t>記</w:t>
      </w:r>
      <w:r>
        <w:rPr>
          <w:rFonts w:ascii="MS Gothic" w:hAnsi="MS Gothic" w:eastAsia="MS Gothic" w:cs="MS Gothic"/>
        </w:rPr>
        <w:t>されている</w:t>
      </w:r>
      <w:r>
        <w:rPr>
          <w:rFonts w:ascii="Times New Roman" w:hAnsi="Times New Roman" w:eastAsia="Times New Roman" w:cs="Times New Roman"/>
        </w:rPr>
        <w:t>.</w:t>
      </w:r>
      <w:r>
        <w:rPr>
          <w:rFonts w:ascii="Microsoft YaHei" w:hAnsi="Microsoft YaHei" w:eastAsia="Microsoft YaHei" w:cs="Microsoft YaHei"/>
        </w:rPr>
        <w:t>『城壁</w:t>
      </w:r>
      <w:r>
        <w:rPr>
          <w:rFonts w:ascii="MS Gothic" w:hAnsi="MS Gothic" w:eastAsia="MS Gothic" w:cs="MS Gothic"/>
        </w:rPr>
        <w:t>を</w:t>
      </w:r>
      <w:r>
        <w:rPr>
          <w:rFonts w:ascii="Microsoft YaHei" w:hAnsi="Microsoft YaHei" w:eastAsia="Microsoft YaHei" w:cs="Microsoft YaHei"/>
        </w:rPr>
        <w:t>築</w:t>
      </w:r>
      <w:r>
        <w:rPr>
          <w:rFonts w:ascii="MS Gothic" w:hAnsi="MS Gothic" w:eastAsia="MS Gothic" w:cs="MS Gothic"/>
        </w:rPr>
        <w:t>く</w:t>
      </w:r>
      <w:r>
        <w:rPr>
          <w:rFonts w:ascii="Microsoft YaHei" w:hAnsi="Microsoft YaHei" w:eastAsia="Microsoft YaHei" w:cs="Microsoft YaHei"/>
        </w:rPr>
        <w:t>者、荷</w:t>
      </w:r>
      <w:r>
        <w:rPr>
          <w:rFonts w:ascii="MS Gothic" w:hAnsi="MS Gothic" w:eastAsia="MS Gothic" w:cs="MS Gothic"/>
        </w:rPr>
        <w:t>を</w:t>
      </w:r>
      <w:r>
        <w:rPr>
          <w:rFonts w:ascii="Microsoft YaHei" w:hAnsi="Microsoft YaHei" w:eastAsia="Microsoft YaHei" w:cs="Microsoft YaHei"/>
        </w:rPr>
        <w:t>負</w:t>
      </w:r>
      <w:r>
        <w:rPr>
          <w:rFonts w:ascii="MS Gothic" w:hAnsi="MS Gothic" w:eastAsia="MS Gothic" w:cs="MS Gothic"/>
        </w:rPr>
        <w:t>う</w:t>
      </w:r>
      <w:r>
        <w:rPr>
          <w:rFonts w:ascii="Microsoft YaHei" w:hAnsi="Microsoft YaHei" w:eastAsia="Microsoft YaHei" w:cs="Microsoft YaHei"/>
        </w:rPr>
        <w:t>者、</w:t>
      </w:r>
      <w:r>
        <w:rPr>
          <w:rFonts w:ascii="MS Gothic" w:hAnsi="MS Gothic" w:eastAsia="MS Gothic" w:cs="MS Gothic"/>
        </w:rPr>
        <w:t>および</w:t>
      </w:r>
      <w:r>
        <w:rPr>
          <w:rFonts w:ascii="Microsoft YaHei" w:hAnsi="Microsoft YaHei" w:eastAsia="Microsoft YaHei" w:cs="Microsoft YaHei"/>
        </w:rPr>
        <w:t>積</w:t>
      </w:r>
      <w:r>
        <w:rPr>
          <w:rFonts w:ascii="MS Gothic" w:hAnsi="MS Gothic" w:eastAsia="MS Gothic" w:cs="MS Gothic"/>
        </w:rPr>
        <w:t>み</w:t>
      </w:r>
      <w:r>
        <w:rPr>
          <w:rFonts w:ascii="Microsoft YaHei" w:hAnsi="Microsoft YaHei" w:eastAsia="Microsoft YaHei" w:cs="Microsoft YaHei"/>
        </w:rPr>
        <w:t>荷</w:t>
      </w:r>
      <w:r>
        <w:rPr>
          <w:rFonts w:ascii="MS Gothic" w:hAnsi="MS Gothic" w:eastAsia="MS Gothic" w:cs="MS Gothic"/>
        </w:rPr>
        <w:t>を</w:t>
      </w:r>
      <w:r>
        <w:rPr>
          <w:rFonts w:ascii="Microsoft YaHei" w:hAnsi="Microsoft YaHei" w:eastAsia="Microsoft YaHei" w:cs="Microsoft YaHei"/>
        </w:rPr>
        <w:t>運</w:t>
      </w:r>
      <w:r>
        <w:rPr>
          <w:rFonts w:ascii="MS Gothic" w:hAnsi="MS Gothic" w:eastAsia="MS Gothic" w:cs="MS Gothic"/>
        </w:rPr>
        <w:t>ぶ</w:t>
      </w:r>
      <w:r>
        <w:rPr>
          <w:rFonts w:ascii="Microsoft YaHei" w:hAnsi="Microsoft YaHei" w:eastAsia="Microsoft YaHei" w:cs="Microsoft YaHei"/>
        </w:rPr>
        <w:t>者</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みな</w:t>
      </w:r>
      <w:r>
        <w:rPr>
          <w:rFonts w:ascii="Microsoft YaHei" w:hAnsi="Microsoft YaHei" w:eastAsia="Microsoft YaHei" w:cs="Microsoft YaHei"/>
        </w:rPr>
        <w:t>一方</w:t>
      </w:r>
      <w:r>
        <w:rPr>
          <w:rFonts w:ascii="MS Gothic" w:hAnsi="MS Gothic" w:eastAsia="MS Gothic" w:cs="MS Gothic"/>
        </w:rPr>
        <w:t>の</w:t>
      </w:r>
      <w:r>
        <w:rPr>
          <w:rFonts w:ascii="Microsoft YaHei" w:hAnsi="Microsoft YaHei" w:eastAsia="Microsoft YaHei" w:cs="Microsoft YaHei"/>
        </w:rPr>
        <w:t>手</w:t>
      </w:r>
      <w:r>
        <w:rPr>
          <w:rFonts w:ascii="MS Gothic" w:hAnsi="MS Gothic" w:eastAsia="MS Gothic" w:cs="MS Gothic"/>
        </w:rPr>
        <w:t>で</w:t>
      </w:r>
      <w:r>
        <w:rPr>
          <w:rFonts w:ascii="Microsoft YaHei" w:hAnsi="Microsoft YaHei" w:eastAsia="Microsoft YaHei" w:cs="Microsoft YaHei"/>
        </w:rPr>
        <w:t>工事</w:t>
      </w:r>
      <w:r>
        <w:rPr>
          <w:rFonts w:ascii="MS Gothic" w:hAnsi="MS Gothic" w:eastAsia="MS Gothic" w:cs="MS Gothic"/>
        </w:rPr>
        <w:t>に</w:t>
      </w:r>
      <w:r>
        <w:rPr>
          <w:rFonts w:ascii="Microsoft YaHei" w:hAnsi="Microsoft YaHei" w:eastAsia="Microsoft YaHei" w:cs="Microsoft YaHei"/>
        </w:rPr>
        <w:t>従事</w:t>
      </w:r>
      <w:r>
        <w:rPr>
          <w:rFonts w:ascii="MS Gothic" w:hAnsi="MS Gothic" w:eastAsia="MS Gothic" w:cs="MS Gothic"/>
        </w:rPr>
        <w:t>し</w:t>
      </w:r>
      <w:r>
        <w:rPr>
          <w:rFonts w:ascii="Microsoft YaHei" w:hAnsi="Microsoft YaHei" w:eastAsia="Microsoft YaHei" w:cs="Microsoft YaHei"/>
        </w:rPr>
        <w:t>、他方</w:t>
      </w:r>
      <w:r>
        <w:rPr>
          <w:rFonts w:ascii="MS Gothic" w:hAnsi="MS Gothic" w:eastAsia="MS Gothic" w:cs="MS Gothic"/>
        </w:rPr>
        <w:t>の</w:t>
      </w:r>
      <w:r>
        <w:rPr>
          <w:rFonts w:ascii="Microsoft YaHei" w:hAnsi="Microsoft YaHei" w:eastAsia="Microsoft YaHei" w:cs="Microsoft YaHei"/>
        </w:rPr>
        <w:t>手</w:t>
      </w:r>
      <w:r>
        <w:rPr>
          <w:rFonts w:ascii="MS Gothic" w:hAnsi="MS Gothic" w:eastAsia="MS Gothic" w:cs="MS Gothic"/>
        </w:rPr>
        <w:t>には</w:t>
      </w:r>
      <w:r>
        <w:rPr>
          <w:rFonts w:ascii="Microsoft YaHei" w:hAnsi="Microsoft YaHei" w:eastAsia="Microsoft YaHei" w:cs="Microsoft YaHei"/>
        </w:rPr>
        <w:t>武器</w:t>
      </w:r>
      <w:r>
        <w:rPr>
          <w:rFonts w:ascii="MS Gothic" w:hAnsi="MS Gothic" w:eastAsia="MS Gothic" w:cs="MS Gothic"/>
        </w:rPr>
        <w:t>を</w:t>
      </w:r>
      <w:r>
        <w:rPr>
          <w:rFonts w:ascii="Microsoft YaHei" w:hAnsi="Microsoft YaHei" w:eastAsia="Microsoft YaHei" w:cs="Microsoft YaHei"/>
        </w:rPr>
        <w:t>持</w:t>
      </w:r>
      <w:r>
        <w:rPr>
          <w:rFonts w:ascii="MS Gothic" w:hAnsi="MS Gothic" w:eastAsia="MS Gothic" w:cs="MS Gothic"/>
        </w:rPr>
        <w:t>っていた</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ネヘミヤ</w:t>
      </w:r>
      <w:r>
        <w:rPr>
          <w:rFonts w:ascii="Microsoft YaHei" w:hAnsi="Microsoft YaHei" w:eastAsia="Microsoft YaHei" w:cs="Microsoft YaHei"/>
        </w:rPr>
        <w:t>記</w:t>
      </w:r>
      <w:r>
        <w:rPr>
          <w:rFonts w:ascii="Times New Roman" w:hAnsi="Times New Roman" w:eastAsia="Times New Roman" w:cs="Times New Roman"/>
        </w:rPr>
        <w:t xml:space="preserve"> 4:17.</w:t>
      </w:r>
      <w:r>
        <w:rPr>
          <w:rFonts w:ascii="Microsoft YaHei" w:hAnsi="Microsoft YaHei" w:eastAsia="Microsoft YaHei" w:cs="Microsoft YaHei"/>
        </w:rPr>
        <w:t>」『患難</w:t>
      </w:r>
      <w:r>
        <w:rPr>
          <w:rFonts w:ascii="MS Gothic" w:hAnsi="MS Gothic" w:eastAsia="MS Gothic" w:cs="MS Gothic"/>
        </w:rPr>
        <w:t>から</w:t>
      </w:r>
      <w:r>
        <w:rPr>
          <w:rFonts w:ascii="Microsoft YaHei" w:hAnsi="Microsoft YaHei" w:eastAsia="Microsoft YaHei" w:cs="Microsoft YaHei"/>
        </w:rPr>
        <w:t>栄光</w:t>
      </w:r>
      <w:r>
        <w:rPr>
          <w:rFonts w:ascii="MS Gothic" w:hAnsi="MS Gothic" w:eastAsia="MS Gothic" w:cs="MS Gothic"/>
        </w:rPr>
        <w:t>へ</w:t>
      </w:r>
      <w:r>
        <w:rPr>
          <w:rFonts w:ascii="Microsoft YaHei" w:hAnsi="Microsoft YaHei" w:eastAsia="Microsoft YaHei" w:cs="Microsoft YaHei"/>
        </w:rPr>
        <w:t>』</w:t>
      </w:r>
      <w:r>
        <w:rPr>
          <w:rFonts w:ascii="Times New Roman" w:hAnsi="Times New Roman" w:eastAsia="Times New Roman" w:cs="Times New Roman"/>
        </w:rPr>
        <w:t>596</w:t>
      </w:r>
      <w:r>
        <w:rPr>
          <w:rFonts w:ascii="Microsoft YaHei" w:hAnsi="Microsoft YaHei" w:eastAsia="Microsoft YaHei" w:cs="Microsoft YaHei"/>
        </w:rPr>
        <w:t>頁</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Dans les deux passages d’Ésaïe, l’œuvre consiste à relever les fondements et les ruines de nombreuses générations. Ésaïe identifie une œuvre spirituelle illustrée par l’œuvre littérale. Les fondements devaient être gardés, mais ils furent finalement entièrement recouverts par un faux fondement de joyaux contrefaits. Ceux qu’Ésaïe désigne restaurent les vérités fondamentales des millérites, et non des briques et des pierres littérales. Le symbole de ces vérités est la charpente interprétative de Miller relative aux deux puissances dévastatrices qui ont foulé aux pieds le sanctuaire et l’armée pendant « sept temps ».</w:t>
      </w:r>
    </w:p>
    <w:p>
      <w:pPr>
        <w:pStyle w:val="ArticleBody"/>
        <w:jc w:val="left"/>
      </w:pP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પુનઃસ્થાપનનું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પાયાઓ</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ઘણી</w:t>
      </w:r>
      <w:r>
        <w:rPr>
          <w:rFonts w:ascii="Times New Roman" w:hAnsi="Times New Roman" w:eastAsia="Times New Roman" w:cs="Times New Roman"/>
        </w:rPr>
        <w:t xml:space="preserve"> </w:t>
      </w:r>
      <w:r>
        <w:rPr>
          <w:rFonts w:ascii="Nirmala UI" w:hAnsi="Nirmala UI" w:eastAsia="Nirmala UI" w:cs="Nirmala UI"/>
        </w:rPr>
        <w:t>પેઢીઓની</w:t>
      </w:r>
      <w:r>
        <w:rPr>
          <w:rFonts w:ascii="Times New Roman" w:hAnsi="Times New Roman" w:eastAsia="Times New Roman" w:cs="Times New Roman"/>
        </w:rPr>
        <w:t xml:space="preserve"> </w:t>
      </w:r>
      <w:r>
        <w:rPr>
          <w:rFonts w:ascii="Nirmala UI" w:hAnsi="Nirmala UI" w:eastAsia="Nirmala UI" w:cs="Nirmala UI"/>
        </w:rPr>
        <w:t>ઉજાડીઓ</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ફરી</w:t>
      </w:r>
      <w:r>
        <w:rPr>
          <w:rFonts w:ascii="Times New Roman" w:hAnsi="Times New Roman" w:eastAsia="Times New Roman" w:cs="Times New Roman"/>
        </w:rPr>
        <w:t xml:space="preserve"> </w:t>
      </w:r>
      <w:r>
        <w:rPr>
          <w:rFonts w:ascii="Nirmala UI" w:hAnsi="Nirmala UI" w:eastAsia="Nirmala UI" w:cs="Nirmala UI"/>
        </w:rPr>
        <w:t>ઊભું</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રૂપક</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અહીં</w:t>
      </w:r>
      <w:r>
        <w:rPr>
          <w:rFonts w:ascii="Times New Roman" w:hAnsi="Times New Roman" w:eastAsia="Times New Roman" w:cs="Times New Roman"/>
        </w:rPr>
        <w:t xml:space="preserve"> </w:t>
      </w:r>
      <w:r>
        <w:rPr>
          <w:rFonts w:ascii="Nirmala UI" w:hAnsi="Nirmala UI" w:eastAsia="Nirmala UI" w:cs="Nirmala UI"/>
        </w:rPr>
        <w:t>થોડું</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ત્યાં</w:t>
      </w:r>
      <w:r>
        <w:rPr>
          <w:rFonts w:ascii="Times New Roman" w:hAnsi="Times New Roman" w:eastAsia="Times New Roman" w:cs="Times New Roman"/>
        </w:rPr>
        <w:t xml:space="preserve"> </w:t>
      </w:r>
      <w:r>
        <w:rPr>
          <w:rFonts w:ascii="Nirmala UI" w:hAnsi="Nirmala UI" w:eastAsia="Nirmala UI" w:cs="Nirmala UI"/>
        </w:rPr>
        <w:t>થોડું</w:t>
      </w:r>
      <w:r>
        <w:rPr>
          <w:rFonts w:ascii="Times New Roman" w:hAnsi="Times New Roman" w:eastAsia="Times New Roman" w:cs="Times New Roman"/>
        </w:rPr>
        <w:t xml:space="preserve"> </w:t>
      </w:r>
      <w:r>
        <w:rPr>
          <w:rFonts w:ascii="Nirmala UI" w:hAnsi="Nirmala UI" w:eastAsia="Nirmala UI" w:cs="Nirmala UI"/>
        </w:rPr>
        <w:t>એમ</w:t>
      </w:r>
      <w:r>
        <w:rPr>
          <w:rFonts w:ascii="Times New Roman" w:hAnsi="Times New Roman" w:eastAsia="Times New Roman" w:cs="Times New Roman"/>
        </w:rPr>
        <w:t xml:space="preserve"> </w:t>
      </w:r>
      <w:r>
        <w:rPr>
          <w:rFonts w:ascii="Nirmala UI" w:hAnsi="Nirmala UI" w:eastAsia="Nirmala UI" w:cs="Nirmala UI"/>
        </w:rPr>
        <w:t>પ્રત્યેક</w:t>
      </w:r>
      <w:r>
        <w:rPr>
          <w:rFonts w:ascii="Times New Roman" w:hAnsi="Times New Roman" w:eastAsia="Times New Roman" w:cs="Times New Roman"/>
        </w:rPr>
        <w:t xml:space="preserve"> </w:t>
      </w:r>
      <w:r>
        <w:rPr>
          <w:rFonts w:ascii="Nirmala UI" w:hAnsi="Nirmala UI" w:eastAsia="Nirmala UI" w:cs="Nirmala UI"/>
        </w:rPr>
        <w:t>ભવિષ્યવાણી</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ભવિષ્યવાણી</w:t>
      </w:r>
      <w:r>
        <w:rPr>
          <w:rFonts w:ascii="Times New Roman" w:hAnsi="Times New Roman" w:eastAsia="Times New Roman" w:cs="Times New Roman"/>
        </w:rPr>
        <w:t xml:space="preserve"> </w:t>
      </w:r>
      <w:r>
        <w:rPr>
          <w:rFonts w:ascii="Nirmala UI" w:hAnsi="Nirmala UI" w:eastAsia="Nirmala UI" w:cs="Nirmala UI"/>
        </w:rPr>
        <w:t>ગોઠવતી</w:t>
      </w:r>
      <w:r>
        <w:rPr>
          <w:rFonts w:ascii="Times New Roman" w:hAnsi="Times New Roman" w:eastAsia="Times New Roman" w:cs="Times New Roman"/>
        </w:rPr>
        <w:t xml:space="preserve"> </w:t>
      </w:r>
      <w:r>
        <w:rPr>
          <w:rFonts w:ascii="Nirmala UI" w:hAnsi="Nirmala UI" w:eastAsia="Nirmala UI" w:cs="Nirmala UI"/>
        </w:rPr>
        <w:t>પદ્ધતિ</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મૂળભૂત</w:t>
      </w:r>
      <w:r>
        <w:rPr>
          <w:rFonts w:ascii="Times New Roman" w:hAnsi="Times New Roman" w:eastAsia="Times New Roman" w:cs="Times New Roman"/>
        </w:rPr>
        <w:t xml:space="preserve"> </w:t>
      </w:r>
      <w:r>
        <w:rPr>
          <w:rFonts w:ascii="Nirmala UI" w:hAnsi="Nirmala UI" w:eastAsia="Nirmala UI" w:cs="Nirmala UI"/>
        </w:rPr>
        <w:t>સત્યોને</w:t>
      </w:r>
      <w:r>
        <w:rPr>
          <w:rFonts w:ascii="Times New Roman" w:hAnsi="Times New Roman" w:eastAsia="Times New Roman" w:cs="Times New Roman"/>
        </w:rPr>
        <w:t xml:space="preserve"> </w:t>
      </w:r>
      <w:r>
        <w:rPr>
          <w:rFonts w:ascii="Nirmala UI" w:hAnsi="Nirmala UI" w:eastAsia="Nirmala UI" w:cs="Nirmala UI"/>
        </w:rPr>
        <w:t>પુનઃસ્થાપિત</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પ્રેરિત</w:t>
      </w:r>
      <w:r>
        <w:rPr>
          <w:rFonts w:ascii="Times New Roman" w:hAnsi="Times New Roman" w:eastAsia="Times New Roman" w:cs="Times New Roman"/>
        </w:rPr>
        <w:t xml:space="preserve"> </w:t>
      </w:r>
      <w:r>
        <w:rPr>
          <w:rFonts w:ascii="Nirmala UI" w:hAnsi="Nirmala UI" w:eastAsia="Nirmala UI" w:cs="Nirmala UI"/>
        </w:rPr>
        <w:t>કાર્યને</w:t>
      </w:r>
      <w:r>
        <w:rPr>
          <w:rFonts w:ascii="Times New Roman" w:hAnsi="Times New Roman" w:eastAsia="Times New Roman" w:cs="Times New Roman"/>
        </w:rPr>
        <w:t xml:space="preserve"> </w:t>
      </w:r>
      <w:r>
        <w:rPr>
          <w:rFonts w:ascii="Nirmala UI" w:hAnsi="Nirmala UI" w:eastAsia="Nirmala UI" w:cs="Nirmala UI"/>
        </w:rPr>
        <w:t>સૂચવે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પાયાઓ</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ઉજાડીઓને</w:t>
      </w:r>
      <w:r>
        <w:rPr>
          <w:rFonts w:ascii="Times New Roman" w:hAnsi="Times New Roman" w:eastAsia="Times New Roman" w:cs="Times New Roman"/>
        </w:rPr>
        <w:t xml:space="preserve"> </w:t>
      </w:r>
      <w:r>
        <w:rPr>
          <w:rFonts w:ascii="Nirmala UI" w:hAnsi="Nirmala UI" w:eastAsia="Nirmala UI" w:cs="Nirmala UI"/>
        </w:rPr>
        <w:t>ફરી</w:t>
      </w:r>
      <w:r>
        <w:rPr>
          <w:rFonts w:ascii="Times New Roman" w:hAnsi="Times New Roman" w:eastAsia="Times New Roman" w:cs="Times New Roman"/>
        </w:rPr>
        <w:t xml:space="preserve"> </w:t>
      </w:r>
      <w:r>
        <w:rPr>
          <w:rFonts w:ascii="Nirmala UI" w:hAnsi="Nirmala UI" w:eastAsia="Nirmala UI" w:cs="Nirmala UI"/>
        </w:rPr>
        <w:t>સ્થિર</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હબક્કૂક</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પાટિયાંરૂપ</w:t>
      </w:r>
      <w:r>
        <w:rPr>
          <w:rFonts w:ascii="Times New Roman" w:hAnsi="Times New Roman" w:eastAsia="Times New Roman" w:cs="Times New Roman"/>
        </w:rPr>
        <w:t xml:space="preserve"> 1843 </w:t>
      </w:r>
      <w:r>
        <w:rPr>
          <w:rFonts w:ascii="Nirmala UI" w:hAnsi="Nirmala UI" w:eastAsia="Nirmala UI" w:cs="Nirmala UI"/>
        </w:rPr>
        <w:t>અને</w:t>
      </w:r>
      <w:r>
        <w:rPr>
          <w:rFonts w:ascii="Times New Roman" w:hAnsi="Times New Roman" w:eastAsia="Times New Roman" w:cs="Times New Roman"/>
        </w:rPr>
        <w:t xml:space="preserve"> 1850</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પાયોનિયર</w:t>
      </w:r>
      <w:r>
        <w:rPr>
          <w:rFonts w:ascii="Times New Roman" w:hAnsi="Times New Roman" w:eastAsia="Times New Roman" w:cs="Times New Roman"/>
        </w:rPr>
        <w:t xml:space="preserve"> </w:t>
      </w:r>
      <w:r>
        <w:rPr>
          <w:rFonts w:ascii="Nirmala UI" w:hAnsi="Nirmala UI" w:eastAsia="Nirmala UI" w:cs="Nirmala UI"/>
        </w:rPr>
        <w:t>ચાર્ટ્સ</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મૂળ</w:t>
      </w:r>
      <w:r>
        <w:rPr>
          <w:rFonts w:ascii="Times New Roman" w:hAnsi="Times New Roman" w:eastAsia="Times New Roman" w:cs="Times New Roman"/>
        </w:rPr>
        <w:t xml:space="preserve"> </w:t>
      </w:r>
      <w:r>
        <w:rPr>
          <w:rFonts w:ascii="Nirmala UI" w:hAnsi="Nirmala UI" w:eastAsia="Nirmala UI" w:cs="Nirmala UI"/>
        </w:rPr>
        <w:t>સત્યોને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સમર્થન</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પંક્તિ</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પંક્તિ</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પાછળના</w:t>
      </w:r>
      <w:r>
        <w:rPr>
          <w:rFonts w:ascii="Times New Roman" w:hAnsi="Times New Roman" w:eastAsia="Times New Roman" w:cs="Times New Roman"/>
        </w:rPr>
        <w:t xml:space="preserve"> </w:t>
      </w:r>
      <w:r>
        <w:rPr>
          <w:rFonts w:ascii="Nirmala UI" w:hAnsi="Nirmala UI" w:eastAsia="Nirmala UI" w:cs="Nirmala UI"/>
        </w:rPr>
        <w:t>વરસાદની</w:t>
      </w:r>
      <w:r>
        <w:rPr>
          <w:rFonts w:ascii="Times New Roman" w:hAnsi="Times New Roman" w:eastAsia="Times New Roman" w:cs="Times New Roman"/>
        </w:rPr>
        <w:t xml:space="preserve"> </w:t>
      </w:r>
      <w:r>
        <w:rPr>
          <w:rFonts w:ascii="Nirmala UI" w:hAnsi="Nirmala UI" w:eastAsia="Nirmala UI" w:cs="Nirmala UI"/>
        </w:rPr>
        <w:t>પદ્ધતિ</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યિરમિયાના</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માર્ગોમાં</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ફરવાનું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લોકો</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વિવાદમાં</w:t>
      </w:r>
      <w:r>
        <w:rPr>
          <w:rFonts w:ascii="Times New Roman" w:hAnsi="Times New Roman" w:eastAsia="Times New Roman" w:cs="Times New Roman"/>
        </w:rPr>
        <w:t xml:space="preserve">, </w:t>
      </w:r>
      <w:r>
        <w:rPr>
          <w:rFonts w:ascii="Nirmala UI" w:hAnsi="Nirmala UI" w:eastAsia="Nirmala UI" w:cs="Nirmala UI"/>
        </w:rPr>
        <w:t>જેઓ</w:t>
      </w:r>
      <w:r>
        <w:rPr>
          <w:rFonts w:ascii="Times New Roman" w:hAnsi="Times New Roman" w:eastAsia="Times New Roman" w:cs="Times New Roman"/>
        </w:rPr>
        <w:t xml:space="preserve"> </w:t>
      </w:r>
      <w:r>
        <w:rPr>
          <w:rFonts w:ascii="Nirmala UI" w:hAnsi="Nirmala UI" w:eastAsia="Nirmala UI" w:cs="Nirmala UI"/>
        </w:rPr>
        <w:t>મિલરના</w:t>
      </w:r>
      <w:r>
        <w:rPr>
          <w:rFonts w:ascii="Times New Roman" w:hAnsi="Times New Roman" w:eastAsia="Times New Roman" w:cs="Times New Roman"/>
        </w:rPr>
        <w:t xml:space="preserve"> </w:t>
      </w:r>
      <w:r>
        <w:rPr>
          <w:rFonts w:ascii="Nirmala UI" w:hAnsi="Nirmala UI" w:eastAsia="Nirmala UI" w:cs="Nirmala UI"/>
        </w:rPr>
        <w:t>સ્વપ્નના</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રત્નો</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દર્શાવાયેલ</w:t>
      </w:r>
      <w:r>
        <w:rPr>
          <w:rFonts w:ascii="Times New Roman" w:hAnsi="Times New Roman" w:eastAsia="Times New Roman" w:cs="Times New Roman"/>
        </w:rPr>
        <w:t xml:space="preserve"> </w:t>
      </w:r>
      <w:r>
        <w:rPr>
          <w:rFonts w:ascii="Nirmala UI" w:hAnsi="Nirmala UI" w:eastAsia="Nirmala UI" w:cs="Nirmala UI"/>
        </w:rPr>
        <w:t>નકલી</w:t>
      </w:r>
      <w:r>
        <w:rPr>
          <w:rFonts w:ascii="Times New Roman" w:hAnsi="Times New Roman" w:eastAsia="Times New Roman" w:cs="Times New Roman"/>
        </w:rPr>
        <w:t xml:space="preserve"> </w:t>
      </w:r>
      <w:r>
        <w:rPr>
          <w:rFonts w:ascii="Nirmala UI" w:hAnsi="Nirmala UI" w:eastAsia="Nirmala UI" w:cs="Nirmala UI"/>
        </w:rPr>
        <w:t>પાયાને</w:t>
      </w:r>
      <w:r>
        <w:rPr>
          <w:rFonts w:ascii="Times New Roman" w:hAnsi="Times New Roman" w:eastAsia="Times New Roman" w:cs="Times New Roman"/>
        </w:rPr>
        <w:t xml:space="preserve"> </w:t>
      </w:r>
      <w:r>
        <w:rPr>
          <w:rFonts w:ascii="Nirmala UI" w:hAnsi="Nirmala UI" w:eastAsia="Nirmala UI" w:cs="Nirmala UI"/>
        </w:rPr>
        <w:t>જાળવી</w:t>
      </w:r>
      <w:r>
        <w:rPr>
          <w:rFonts w:ascii="Times New Roman" w:hAnsi="Times New Roman" w:eastAsia="Times New Roman" w:cs="Times New Roman"/>
        </w:rPr>
        <w:t xml:space="preserve"> </w:t>
      </w:r>
      <w:r>
        <w:rPr>
          <w:rFonts w:ascii="Nirmala UI" w:hAnsi="Nirmala UI" w:eastAsia="Nirmala UI" w:cs="Nirmala UI"/>
        </w:rPr>
        <w:t>રાખવા</w:t>
      </w:r>
      <w:r>
        <w:rPr>
          <w:rFonts w:ascii="Times New Roman" w:hAnsi="Times New Roman" w:eastAsia="Times New Roman" w:cs="Times New Roman"/>
        </w:rPr>
        <w:t xml:space="preserve"> </w:t>
      </w:r>
      <w:r>
        <w:rPr>
          <w:rFonts w:ascii="Nirmala UI" w:hAnsi="Nirmala UI" w:eastAsia="Nirmala UI" w:cs="Nirmala UI"/>
        </w:rPr>
        <w:t>ઇચ્છે</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“L’ennemi cherche à détourner l’esprit de nos frères et de nos sœurs de l’œuvre qui consiste à préparer un peuple à subsister en ces derniers jours. Ses sophismes sont destinés à éloigner les esprits des périls et des devoirs de l’heure présente. Ils tiennent pour rien la lumière que Christ est venu du ciel donner à Jean pour son peuple. Ils enseignent que les scènes qui sont juste devant nous ne sont pas d’une importance suffisante pour recevoir une attention particulière. Ils annulent la vérité d’origine céleste et dépouillent le peuple de Dieu de son expérience passée, en lui donnant à la place une fausse science.</w:t>
      </w:r>
    </w:p>
    <w:p>
      <w:pPr>
        <w:pStyle w:val="ArticleScripture"/>
        <w:jc w:val="left"/>
      </w:pPr>
      <w:r>
        <w:rPr>
          <w:rFonts w:ascii="Times New Roman" w:hAnsi="Times New Roman" w:eastAsia="Times New Roman" w:cs="Times New Roman"/>
        </w:rPr>
        <w:t>«Каза Господ: Застанете по пътищата и вижте, и попитайте за древните пътеки, де е добрият път, и ходете по него.» Еремия 6:16.</w:t>
      </w:r>
    </w:p>
    <w:p>
      <w:pPr>
        <w:pStyle w:val="ArticleScripture"/>
        <w:jc w:val="left"/>
      </w:pPr>
      <w:r>
        <w:rPr>
          <w:rFonts w:ascii="Times New Roman" w:hAnsi="Times New Roman" w:eastAsia="Times New Roman" w:cs="Times New Roman"/>
        </w:rPr>
        <w:t>“Que personne ne cherche à arracher les fondements de notre foi — les fondements qui furent posés au commencement de notre œuvre par l’étude fervente de la Parole et par la révélation. Sur ces fondements, nous bâtissons depuis cinquante ans. Des hommes peuvent s’imaginer qu’ils ont trouvé une voie nouvelle et qu’ils peuvent poser un fondement plus solide que celui qui a été posé. Mais c’est là une grande séduction. Car personne ne peut poser un autre fondement que celui qui a été posé. »</w:t>
      </w:r>
    </w:p>
    <w:p>
      <w:pPr>
        <w:pStyle w:val="ArticleScripture"/>
        <w:jc w:val="left"/>
      </w:pPr>
      <w:r>
        <w:rPr>
          <w:rFonts w:ascii="Times New Roman" w:hAnsi="Times New Roman" w:eastAsia="Times New Roman" w:cs="Times New Roman"/>
        </w:rPr>
        <w:t>«Дар гузашта бисёриҳо ба бунёд кардани имони нав, ба барқарор намудани усулҳои нав даст задаанд. Аммо бинои онҳо то кай устувор монд? Он ба зудӣ фурӯ рехт, зеро бар Рок бунёд наёфта буд.</w:t>
      </w:r>
    </w:p>
    <w:p>
      <w:pPr>
        <w:pStyle w:val="ArticleScripture"/>
        <w:jc w:val="left"/>
      </w:pPr>
      <w:r>
        <w:rPr>
          <w:rFonts w:ascii="Times New Roman" w:hAnsi="Times New Roman" w:eastAsia="Times New Roman" w:cs="Times New Roman"/>
        </w:rPr>
        <w:t>« Les premiers disciples n’ont-ils pas dû faire face aux paroles des hommes ? N’ont-ils pas dû écouter de fausses théories, puis, après avoir tout accompli, demeurer fermes, en disant : “Car personne ne peut poser un autre fondement que celui qui a été posé.” 1 Corinthiens 3:11. »</w:t>
      </w:r>
    </w:p>
    <w:p>
      <w:pPr>
        <w:pStyle w:val="ArticleScripture"/>
        <w:jc w:val="left"/>
      </w:pPr>
      <w:r>
        <w:rPr>
          <w:rFonts w:ascii="Times New Roman" w:hAnsi="Times New Roman" w:eastAsia="Times New Roman" w:cs="Times New Roman"/>
        </w:rPr>
        <w:t>« C’est pourquoi nous devons retenir fermement jusqu’à la fin le commencement de notre assurance. Des paroles de puissance ont été envoyées par Dieu et par le Christ à ce peuple, le faisant sortir du monde, point par point, pour l’amener dans la claire lumière de la vérité présente. Avec des lèvres touchées par le feu sacré, les serviteurs de Dieu ont proclamé le message. La déclaration divine a apposé son sceau à l’authenticité de la vérité proclamée. » Testimonies, volume 8, 296, 297.</w:t>
      </w:r>
    </w:p>
    <w:p>
      <w:pPr>
        <w:pStyle w:val="ArticleBody"/>
        <w:jc w:val="left"/>
      </w:pPr>
      <w:r>
        <w:rPr>
          <w:rFonts w:ascii="Times New Roman" w:hAnsi="Times New Roman" w:eastAsia="Times New Roman" w:cs="Times New Roman"/>
        </w:rPr>
        <w:t>“کارِ مهیا ساختنِ قومی تا در ایّام آخر استوار بایستند،” همان کاری است که با دو نبوّتِ حزقیال در فصل سی‌وهفتم مرتبط است. پیامی به‌وسیلهٔ صدای اشعیا در بیابان ابلاغ می‌شود، و پیامِ نخستِ حزقیال کسانی را که سه روز و نیم در کوچهٔ شهرِ سدوم و مصر مرده بوده‌اند، با هم گرد می‌آورد. سپس درمی‌یابند که در زمانِ درنگِ متی در مَثَلِ ده باکره بوده‌اند. آنگاه ندایی را که به ارمیا داده شد می‌شنوند تا اگر می‌خواهند بازگردند، گرانبها را از پَست جدا سازند. همچنین دعای دانیال در فصل نهم را به‌عنوان حقیقتِ حاضر تشخیص می‌دهند. ازاین‌رو، اگر و هنگامی که بازگشتن را برگزینند، با پذیرفتن و به‌انجام رساندنِ شرایطِ انجیل، آنگاه پیامِ دومِ حزقیال را دریافت می‌کنند و بر پاهای خویش می‌ایستند، لشکری عظیم.</w:t>
      </w:r>
    </w:p>
    <w:p>
      <w:pPr>
        <w:pStyle w:val="ArticleBody"/>
        <w:jc w:val="left"/>
      </w:pPr>
      <w:r>
        <w:rPr>
          <w:rFonts w:ascii="Times New Roman" w:hAnsi="Times New Roman" w:eastAsia="Times New Roman" w:cs="Times New Roman"/>
        </w:rPr>
        <w:t>Ang “gawain ng paghahanda ng isang bayan upang makatayo sa mga huling araw” ay natutupad sa pamamagitan ng pamamaraang ulan sa huling panahon na “taludtod sa taludtod.” Kabilang sa gawaing iyon ang gawain ng pagpapanumbalik ng mga katotohanang Millerita na inilalarawan sa mga pioneer chart ng 1843 at 1850. Ang dalawang chart na iyon ang dalawang tapyas ni Habakuk at ang mga iyon ay dapat ilapat na isa sa ibabaw ng isa pa (taludtod sa taludtod), at sa paggawa nito, ang dalawang chart ay kumakatawan sa mga saligang katotohanan na dapat panumbalikin sa mga huling araw ng taong may pangkaskas ng dumi.</w:t>
      </w:r>
    </w:p>
    <w:p>
      <w:pPr>
        <w:pStyle w:val="ArticleBody"/>
        <w:jc w:val="left"/>
      </w:pPr>
      <w:r>
        <w:rPr>
          <w:rFonts w:ascii="Times New Roman" w:hAnsi="Times New Roman" w:eastAsia="Times New Roman" w:cs="Times New Roman"/>
        </w:rPr>
        <w:t>Iyo bishyizwe hamwe, umurongo ku wundi, bigaragaza ikosa ryari ku mbonerahamwe yo mu 1843, nyuma rikaza gukosorwa ku mbonerahamwe yo mu 1850. Iyo bifashwe nk’imbonerahamwe imwe (umurongo ku wundi), biba bihagarariye icyarimwe ubunararibonye bw’ubwoko bw’Imana n’amateka ahishwe y’inkuba ndwi, kuko hamwe byerekana ugutenguha kwa mbere, igihe cyo gutinda, Induru yo mu Gicuku, n’itariki ya 22 Ukwakira 1844, hamwe n’ugutenguha gukomeye.</w:t>
      </w:r>
    </w:p>
    <w:p>
      <w:pPr>
        <w:pStyle w:val="ArticleBody"/>
        <w:jc w:val="left"/>
      </w:pPr>
      <w:r>
        <w:rPr>
          <w:rFonts w:ascii="Times New Roman" w:hAnsi="Times New Roman" w:eastAsia="Times New Roman" w:cs="Times New Roman"/>
        </w:rPr>
        <w:t>Je to prvé sklamanie, Polnočný výkrik a veľké sklamanie, čo predstavuje skryté dejiny siedmich hromov. Je to stavba pravdy, lebo pravda je založená na tom, že prvé a posledné písmeno hebrejského slova „pravda“ sú totožné, tak ako sú totožné aj prvé a posledné sklamanie týchto dejín. Prostredné, trináste písmeno je symbolom vzbury, ako to predstavujú tí, ktorí odmietajú posolstvo Polnočného výkriku. Dve tabuľe, keď sa spoja, poskytujú dvoch svedkov o prorockých pravdách mileritov, ktoré majú byť obnovené mužom so štetcom na nečistotu, no zároveň určujú aj skúsenosť, ktorá je predobrazom skúsenosti sto štyridsaťštyritisíc.</w:t>
      </w:r>
    </w:p>
    <w:p>
      <w:pPr>
        <w:pStyle w:val="ArticleBody"/>
        <w:jc w:val="left"/>
      </w:pPr>
      <w:r>
        <w:rPr>
          <w:rFonts w:ascii="Times New Roman" w:hAnsi="Times New Roman" w:eastAsia="Times New Roman" w:cs="Times New Roman"/>
        </w:rPr>
        <w:t>Wale walioitwa kuwa bendera (wale mia moja arobaini na nne elfu) walikabiliwa na huzuni yao ya kwanza mnamo Julai 18, 2020, na kisha mnamo Julai ya 2023, waliwekewa mbele ujumbe kutoka kwa sauti iliyo ikilia nyikani. Sauti hiyo ilikuwa ikiwaita warudi.</w:t>
      </w:r>
    </w:p>
    <w:p>
      <w:pPr>
        <w:pStyle w:val="ArticleBody"/>
        <w:jc w:val="left"/>
      </w:pPr>
      <w:r>
        <w:rPr>
          <w:rFonts w:ascii="Times New Roman" w:hAnsi="Times New Roman" w:eastAsia="Times New Roman" w:cs="Times New Roman"/>
        </w:rPr>
        <w:t>C’est à ce moment précis, dans l’histoire cachée des sept tonnerres, que la rébellion sera manifestée, car le waymark suivant est celui où l’homme au balai ramasse les joyaux et les jette dans le coffret. Ils brillent alors dix fois plus intensément. À ce moment-là, Miller fut réveillé. Lorsque les vierges (Miller) s’éveillent, il est trop tard. La restauration des désolations de nombreuses générations est une œuvre à laquelle les deux témoins doivent participer. Cette œuvre s’accomplit maintenant.</w:t>
      </w:r>
    </w:p>
    <w:p>
      <w:pPr>
        <w:pStyle w:val="ArticleBody"/>
        <w:jc w:val="left"/>
      </w:pPr>
      <w:r>
        <w:rPr>
          <w:rFonts w:ascii="Times New Roman" w:hAnsi="Times New Roman" w:eastAsia="Times New Roman" w:cs="Times New Roman"/>
        </w:rPr>
        <w:t>Le cadre prophétique de William Miller, représenté par la vision du fleuve d’Ulai, dans Daniel chapitres sept, huit et neuf, était celui des deux puissances dévastatrices que sont le paganisme et la papauté; et le cadre de Future for America est le paganisme (le dragon), suivi de la papauté (la bête) et du protestantisme apostat (le faux prophète). La clé qui établit ces deux cadres se trouve dans les écrits de l’apôtre Paul. L’apôtre Paul était la voix prophétique qui reliait l’ancien Israël à l’Israël spirituel. Avant sa conversion, Paul s’appelait Saul, nom qui signifie « choisi » ou « mis en avant ».</w:t>
      </w:r>
    </w:p>
    <w:p>
      <w:pPr>
        <w:pStyle w:val="ArticleBody"/>
        <w:jc w:val="left"/>
      </w:pPr>
      <w:r>
        <w:rPr>
          <w:rFonts w:ascii="Times New Roman" w:hAnsi="Times New Roman" w:eastAsia="Times New Roman" w:cs="Times New Roman"/>
        </w:rPr>
        <w:t>Paulus var utvald att vara apostel för hedningarna, och han var bland annat utvald för sin förståelse av Gamla testamentet. Som författare till huvuddelen av Nya testamentet fanns det ingen annan av Nya testamentets författare som ägde en sådan förståelse av Gamla testamentet som Paulus. Han var utvald att gå i spetsen för förkunnelsen av evangeliet till hedningarna, men han var också utvald att fastställa förhållandet mellan Gamla testamentets profetiska historier och den profetiska historia som följde efter korsets tidsperiod. Utan Paulus vittnesbörd skulle milleriternas profetiska förståelse, liksom Future for Americas, vara obefintlig. I just den historia där det bokstavliga Israel blev förskjutet som Guds utvalda folk, blev Paulus utvald att påvisa att det forntida Israel, fastän det då var skilt från Gud, var symbolen för den profetiska historien om det andliga Israel. De nödvändiga profetiska reglerna för den första och den tredje ängelns rörelser bygger huvudsakligen på aposteln Paulus skrifter.</w:t>
      </w:r>
    </w:p>
    <w:p>
      <w:pPr>
        <w:pStyle w:val="ArticleBody"/>
        <w:jc w:val="left"/>
      </w:pPr>
      <w:r>
        <w:rPr>
          <w:rFonts w:ascii="Times New Roman" w:hAnsi="Times New Roman" w:eastAsia="Times New Roman" w:cs="Times New Roman"/>
        </w:rPr>
        <w:t>Pour cette raison, nous examinerons quelques-uns des principes prophétiques identifiés par Paul, qui ont influencé le message des millérites, lequel s’inscrivait dans le cadre de deux puissances dévastatrices; ce faisant, nous examinerons également comment ces principes influent sur le cadre de trois puissances dévastatrices.</w:t>
      </w:r>
    </w:p>
    <w:p>
      <w:pPr>
        <w:pStyle w:val="ArticleScripture"/>
        <w:jc w:val="left"/>
      </w:pPr>
      <w:r>
        <w:rPr>
          <w:rFonts w:ascii="Times New Roman" w:hAnsi="Times New Roman" w:eastAsia="Times New Roman" w:cs="Times New Roman"/>
        </w:rPr>
        <w:t>Ankoatra, ry rahalahy, tsy tiako tsy ho fantatrareo fa ny razantsika rehetra dia teo ambanin’ny rahona, ary izy rehetra dia namaky ny ranomasina; ary izy rehetra dia natao batisa ho an’i Mosesy tao amin’ny rahona sy tao amin’ny ranomasina; ary izy rehetra dia nihinana ny hanina ara-panahy iray ihany; ary izy rehetra dia nisotro ny fisotro ara-panahy iray ihany; fa nisotro tamin’ilay Vatolampy ara-panahy izay nanaraka azy ireo izy; ary Kristy izany Vatolampy izany. Nefa tamin’ny maro tamin’izy ireo dia tsy sitrak’Andriamanitra; fa dia ringana tany an-efitra izy ireo. Ary izany zavatra izany dia tonga fanoharana ho antsika, mba tsy hitsiriritantsika zava-dratsy, tahaka ny nitsiriritan’ireo koa. Ary aza mety ho mpanompo sampy ianareo, tahaka ny sasany tamin’izy ireo; araka ny voasoratra hoe: “Nipetraka hihinana sy hisotro ny olona, ary nitsangana hilalao.” Ary aza aoka isika hijangajanga, tahaka ny nijangajangan’ny sasany tamin’izy ireo, ka lavo tao anatin’ny indray andro ny telo arivo amby roa alina. Ary aza aoka isika haka fanahy an’i Kristy, tahaka ny nakàn’ny sasany tamin’izy ireo fanahy Azy koa, ka nolevonin’ny menarana izy. Ary aza mimonomonona ianareo, tahaka ny nimonomononan’ny sasany tamin’izy ireo koa, ka ringanin’ilay mpandrava izy. Ary izany rehetra izany dia nanjo azy ho fanoharana; ary voasoratra izany ho fananarana antsika, izay niharan’ny faran’izao tontolo izao. 1 Korintiana 10:1–10.</w:t>
      </w:r>
    </w:p>
    <w:p>
      <w:pPr>
        <w:pStyle w:val="ArticleBody"/>
        <w:jc w:val="left"/>
      </w:pPr>
      <w:r>
        <w:rPr>
          <w:rFonts w:ascii="Leelawadee UI" w:hAnsi="Leelawadee UI" w:eastAsia="Leelawadee UI" w:cs="Leelawadee UI"/>
        </w:rPr>
        <w:t>ក្នុងខគម្ពីរខ្លីដប់ខនេះ</w:t>
      </w:r>
      <w:r>
        <w:rPr>
          <w:rFonts w:ascii="Times New Roman" w:hAnsi="Times New Roman" w:eastAsia="Times New Roman" w:cs="Times New Roman"/>
        </w:rPr>
        <w:t xml:space="preserve"> </w:t>
      </w:r>
      <w:r>
        <w:rPr>
          <w:rFonts w:ascii="Leelawadee UI" w:hAnsi="Leelawadee UI" w:eastAsia="Leelawadee UI" w:cs="Leelawadee UI"/>
        </w:rPr>
        <w:t>ប៉ូលបញ្ជាក់ថា</w:t>
      </w:r>
      <w:r>
        <w:rPr>
          <w:rFonts w:ascii="Times New Roman" w:hAnsi="Times New Roman" w:eastAsia="Times New Roman" w:cs="Times New Roman"/>
        </w:rPr>
        <w:t xml:space="preserve"> </w:t>
      </w:r>
      <w:r>
        <w:rPr>
          <w:rFonts w:ascii="Leelawadee UI" w:hAnsi="Leelawadee UI" w:eastAsia="Leelawadee UI" w:cs="Leelawadee UI"/>
        </w:rPr>
        <w:t>ពិធីបុណ្យជ្រមុជទឹក</w:t>
      </w:r>
      <w:r>
        <w:rPr>
          <w:rFonts w:ascii="Times New Roman" w:hAnsi="Times New Roman" w:eastAsia="Times New Roman" w:cs="Times New Roman"/>
        </w:rPr>
        <w:t xml:space="preserve"> </w:t>
      </w:r>
      <w:r>
        <w:rPr>
          <w:rFonts w:ascii="Leelawadee UI" w:hAnsi="Leelawadee UI" w:eastAsia="Leelawadee UI" w:cs="Leelawadee UI"/>
        </w:rPr>
        <w:t>ត្រូវបានប្រៀបប្រដូចទុកមុននៅក្នុងការឆ្លងកាត់សមុទ្រក្រហម</w:t>
      </w:r>
      <w:r>
        <w:rPr>
          <w:rFonts w:ascii="Times New Roman" w:hAnsi="Times New Roman" w:eastAsia="Times New Roman" w:cs="Times New Roman"/>
        </w:rPr>
        <w:t xml:space="preserve"> </w:t>
      </w:r>
      <w:r>
        <w:rPr>
          <w:rFonts w:ascii="Leelawadee UI" w:hAnsi="Leelawadee UI" w:eastAsia="Leelawadee UI" w:cs="Leelawadee UI"/>
        </w:rPr>
        <w:t>ថា</w:t>
      </w:r>
      <w:r>
        <w:rPr>
          <w:rFonts w:ascii="Times New Roman" w:hAnsi="Times New Roman" w:eastAsia="Times New Roman" w:cs="Times New Roman"/>
        </w:rPr>
        <w:t xml:space="preserve"> </w:t>
      </w:r>
      <w:r>
        <w:rPr>
          <w:rFonts w:ascii="Leelawadee UI" w:hAnsi="Leelawadee UI" w:eastAsia="Leelawadee UI" w:cs="Leelawadee UI"/>
        </w:rPr>
        <w:t>ថ្មដាដែលបានតាមអ៊ីស្រាអែលបុរាណនោះ</w:t>
      </w:r>
      <w:r>
        <w:rPr>
          <w:rFonts w:ascii="Times New Roman" w:hAnsi="Times New Roman" w:eastAsia="Times New Roman" w:cs="Times New Roman"/>
        </w:rPr>
        <w:t xml:space="preserve"> </w:t>
      </w:r>
      <w:r>
        <w:rPr>
          <w:rFonts w:ascii="Leelawadee UI" w:hAnsi="Leelawadee UI" w:eastAsia="Leelawadee UI" w:cs="Leelawadee UI"/>
        </w:rPr>
        <w:t>គឺជា</w:t>
      </w:r>
      <w:r>
        <w:rPr>
          <w:rFonts w:ascii="Times New Roman" w:hAnsi="Times New Roman" w:eastAsia="Times New Roman" w:cs="Times New Roman"/>
        </w:rPr>
        <w:t xml:space="preserve"> «</w:t>
      </w:r>
      <w:r>
        <w:rPr>
          <w:rFonts w:ascii="Leelawadee UI" w:hAnsi="Leelawadee UI" w:eastAsia="Leelawadee UI" w:cs="Leelawadee UI"/>
        </w:rPr>
        <w:t>ថ្មដាខាងវិញ្ញាណ</w:t>
      </w:r>
      <w:r>
        <w:rPr>
          <w:rFonts w:ascii="Times New Roman" w:hAnsi="Times New Roman" w:eastAsia="Times New Roman" w:cs="Times New Roman"/>
        </w:rPr>
        <w:t xml:space="preserve">» </w:t>
      </w:r>
      <w:r>
        <w:rPr>
          <w:rFonts w:ascii="Leelawadee UI" w:hAnsi="Leelawadee UI" w:eastAsia="Leelawadee UI" w:cs="Leelawadee UI"/>
        </w:rPr>
        <w:t>ហើយថ្មដានោះគឺជាព្រះគ្រីស្ទ។</w:t>
      </w:r>
      <w:r>
        <w:rPr>
          <w:rFonts w:ascii="Times New Roman" w:hAnsi="Times New Roman" w:eastAsia="Times New Roman" w:cs="Times New Roman"/>
        </w:rPr>
        <w:t xml:space="preserve"> </w:t>
      </w:r>
      <w:r>
        <w:rPr>
          <w:rFonts w:ascii="Leelawadee UI" w:hAnsi="Leelawadee UI" w:eastAsia="Leelawadee UI" w:cs="Leelawadee UI"/>
        </w:rPr>
        <w:t>លោកបញ្ជាក់ថា</w:t>
      </w:r>
      <w:r>
        <w:rPr>
          <w:rFonts w:ascii="Times New Roman" w:hAnsi="Times New Roman" w:eastAsia="Times New Roman" w:cs="Times New Roman"/>
        </w:rPr>
        <w:t xml:space="preserve"> </w:t>
      </w:r>
      <w:r>
        <w:rPr>
          <w:rFonts w:ascii="Leelawadee UI" w:hAnsi="Leelawadee UI" w:eastAsia="Leelawadee UI" w:cs="Leelawadee UI"/>
        </w:rPr>
        <w:t>អ៊ីស្រាអែលបុរាណគឺជាគំរូសម្រាប់អ្នកដែលរស់នៅក្នុងថ្ងៃចុងក្រោយ។</w:t>
      </w:r>
      <w:r>
        <w:rPr>
          <w:rFonts w:ascii="Times New Roman" w:hAnsi="Times New Roman" w:eastAsia="Times New Roman" w:cs="Times New Roman"/>
        </w:rPr>
        <w:t xml:space="preserve"> </w:t>
      </w:r>
      <w:r>
        <w:rPr>
          <w:rFonts w:ascii="Leelawadee UI" w:hAnsi="Leelawadee UI" w:eastAsia="Leelawadee UI" w:cs="Leelawadee UI"/>
        </w:rPr>
        <w:t>អត្ថបទនេះជាការព្រមាន</w:t>
      </w:r>
      <w:r>
        <w:rPr>
          <w:rFonts w:ascii="Times New Roman" w:hAnsi="Times New Roman" w:eastAsia="Times New Roman" w:cs="Times New Roman"/>
        </w:rPr>
        <w:t xml:space="preserve"> </w:t>
      </w:r>
      <w:r>
        <w:rPr>
          <w:rFonts w:ascii="Leelawadee UI" w:hAnsi="Leelawadee UI" w:eastAsia="Leelawadee UI" w:cs="Leelawadee UI"/>
        </w:rPr>
        <w:t>ហើយក៏ជាចំណុចនៃការចម្រូងចម្រាសរវាងអ្នកដែលកាន់ខ្ជាប់សេចក្ដីពិត</w:t>
      </w:r>
      <w:r>
        <w:rPr>
          <w:rFonts w:ascii="Times New Roman" w:hAnsi="Times New Roman" w:eastAsia="Times New Roman" w:cs="Times New Roman"/>
        </w:rPr>
        <w:t xml:space="preserve"> </w:t>
      </w:r>
      <w:r>
        <w:rPr>
          <w:rFonts w:ascii="Leelawadee UI" w:hAnsi="Leelawadee UI" w:eastAsia="Leelawadee UI" w:cs="Leelawadee UI"/>
        </w:rPr>
        <w:t>និងអ្នកដែលប្រឆាំងនឹងសេចក្ដីពិតផងដែរ។</w:t>
      </w:r>
      <w:r>
        <w:rPr>
          <w:rFonts w:ascii="Times New Roman" w:hAnsi="Times New Roman" w:eastAsia="Times New Roman" w:cs="Times New Roman"/>
        </w:rPr>
        <w:t xml:space="preserve"> </w:t>
      </w:r>
      <w:r>
        <w:rPr>
          <w:rFonts w:ascii="Leelawadee UI" w:hAnsi="Leelawadee UI" w:eastAsia="Leelawadee UI" w:cs="Leelawadee UI"/>
        </w:rPr>
        <w:t>អ្នកទេវវិទូអាដវិនទីស្ទ</w:t>
      </w:r>
      <w:r>
        <w:rPr>
          <w:rFonts w:ascii="Times New Roman" w:hAnsi="Times New Roman" w:eastAsia="Times New Roman" w:cs="Times New Roman"/>
        </w:rPr>
        <w:t xml:space="preserve"> </w:t>
      </w:r>
      <w:r>
        <w:rPr>
          <w:rFonts w:ascii="Leelawadee UI" w:hAnsi="Leelawadee UI" w:eastAsia="Leelawadee UI" w:cs="Leelawadee UI"/>
        </w:rPr>
        <w:t>បង្រៀនថា</w:t>
      </w:r>
      <w:r>
        <w:rPr>
          <w:rFonts w:ascii="Times New Roman" w:hAnsi="Times New Roman" w:eastAsia="Times New Roman" w:cs="Times New Roman"/>
        </w:rPr>
        <w:t xml:space="preserve"> </w:t>
      </w:r>
      <w:r>
        <w:rPr>
          <w:rFonts w:ascii="Leelawadee UI" w:hAnsi="Leelawadee UI" w:eastAsia="Leelawadee UI" w:cs="Leelawadee UI"/>
        </w:rPr>
        <w:t>ប៉ូលគ្រាន់តែកំពុងបញ្ជាក់ថា</w:t>
      </w:r>
      <w:r>
        <w:rPr>
          <w:rFonts w:ascii="Times New Roman" w:hAnsi="Times New Roman" w:eastAsia="Times New Roman" w:cs="Times New Roman"/>
        </w:rPr>
        <w:t xml:space="preserve"> </w:t>
      </w:r>
      <w:r>
        <w:rPr>
          <w:rFonts w:ascii="Leelawadee UI" w:hAnsi="Leelawadee UI" w:eastAsia="Leelawadee UI" w:cs="Leelawadee UI"/>
        </w:rPr>
        <w:t>ប្រវត្តិនានារបស់អ៊ីស្រាអែលបុរាណបានបង្ហាញមេរៀនខាងសីលធម៌</w:t>
      </w:r>
      <w:r>
        <w:rPr>
          <w:rFonts w:ascii="Times New Roman" w:hAnsi="Times New Roman" w:eastAsia="Times New Roman" w:cs="Times New Roman"/>
        </w:rPr>
        <w:t xml:space="preserve"> </w:t>
      </w:r>
      <w:r>
        <w:rPr>
          <w:rFonts w:ascii="Leelawadee UI" w:hAnsi="Leelawadee UI" w:eastAsia="Leelawadee UI" w:cs="Leelawadee UI"/>
        </w:rPr>
        <w:t>ដែលអ្នករស់នៅក្នុងថ្ងៃចុងក្រោយត្រូវយល់ប៉ុណ្ណោះ</w:t>
      </w:r>
      <w:r>
        <w:rPr>
          <w:rFonts w:ascii="Times New Roman" w:hAnsi="Times New Roman" w:eastAsia="Times New Roman" w:cs="Times New Roman"/>
        </w:rPr>
        <w:t xml:space="preserve"> </w:t>
      </w:r>
      <w:r>
        <w:rPr>
          <w:rFonts w:ascii="Leelawadee UI" w:hAnsi="Leelawadee UI" w:eastAsia="Leelawadee UI" w:cs="Leelawadee UI"/>
        </w:rPr>
        <w:t>ប៉ុន្តែពួកគេទទូចថា</w:t>
      </w:r>
      <w:r>
        <w:rPr>
          <w:rFonts w:ascii="Times New Roman" w:hAnsi="Times New Roman" w:eastAsia="Times New Roman" w:cs="Times New Roman"/>
        </w:rPr>
        <w:t xml:space="preserve"> </w:t>
      </w:r>
      <w:r>
        <w:rPr>
          <w:rFonts w:ascii="Leelawadee UI" w:hAnsi="Leelawadee UI" w:eastAsia="Leelawadee UI" w:cs="Leelawadee UI"/>
        </w:rPr>
        <w:t>ប៉ូលមិនបានបញ្ជាក់ថា</w:t>
      </w:r>
      <w:r>
        <w:rPr>
          <w:rFonts w:ascii="Times New Roman" w:hAnsi="Times New Roman" w:eastAsia="Times New Roman" w:cs="Times New Roman"/>
        </w:rPr>
        <w:t xml:space="preserve"> </w:t>
      </w:r>
      <w:r>
        <w:rPr>
          <w:rFonts w:ascii="Leelawadee UI" w:hAnsi="Leelawadee UI" w:eastAsia="Leelawadee UI" w:cs="Leelawadee UI"/>
        </w:rPr>
        <w:t>ប្រវត្តិរបស់អ៊ីស្រាអែលតាមអក្សរ</w:t>
      </w:r>
      <w:r>
        <w:rPr>
          <w:rFonts w:ascii="Times New Roman" w:hAnsi="Times New Roman" w:eastAsia="Times New Roman" w:cs="Times New Roman"/>
        </w:rPr>
        <w:t xml:space="preserve"> </w:t>
      </w:r>
      <w:r>
        <w:rPr>
          <w:rFonts w:ascii="Leelawadee UI" w:hAnsi="Leelawadee UI" w:eastAsia="Leelawadee UI" w:cs="Leelawadee UI"/>
        </w:rPr>
        <w:t>ត្រូវតែត្រូវបានធ្វើឡើងវិញដោយអ៊ីស្រាអែលខាងវិញ្ញាណពិតប្រាកដនោះទេ។</w:t>
      </w:r>
      <w:r>
        <w:rPr>
          <w:rFonts w:ascii="Times New Roman" w:hAnsi="Times New Roman" w:eastAsia="Times New Roman" w:cs="Times New Roman"/>
        </w:rPr>
        <w:t xml:space="preserve"> </w:t>
      </w:r>
      <w:r>
        <w:rPr>
          <w:rFonts w:ascii="Leelawadee UI" w:hAnsi="Leelawadee UI" w:eastAsia="Leelawadee UI" w:cs="Leelawadee UI"/>
        </w:rPr>
        <w:t>បងស្រី</w:t>
      </w:r>
      <w:r>
        <w:rPr>
          <w:rFonts w:ascii="Times New Roman" w:hAnsi="Times New Roman" w:eastAsia="Times New Roman" w:cs="Times New Roman"/>
        </w:rPr>
        <w:t xml:space="preserve"> </w:t>
      </w:r>
      <w:r>
        <w:rPr>
          <w:rFonts w:ascii="Leelawadee UI" w:hAnsi="Leelawadee UI" w:eastAsia="Leelawadee UI" w:cs="Leelawadee UI"/>
        </w:rPr>
        <w:t>វ៉ាយត៍</w:t>
      </w:r>
      <w:r>
        <w:rPr>
          <w:rFonts w:ascii="Times New Roman" w:hAnsi="Times New Roman" w:eastAsia="Times New Roman" w:cs="Times New Roman"/>
        </w:rPr>
        <w:t xml:space="preserve"> </w:t>
      </w:r>
      <w:r>
        <w:rPr>
          <w:rFonts w:ascii="Leelawadee UI" w:hAnsi="Leelawadee UI" w:eastAsia="Leelawadee UI" w:cs="Leelawadee UI"/>
        </w:rPr>
        <w:t>ជាញឹកញាប់ប្រើអត្ថបទនេះ</w:t>
      </w:r>
      <w:r>
        <w:rPr>
          <w:rFonts w:ascii="Times New Roman" w:hAnsi="Times New Roman" w:eastAsia="Times New Roman" w:cs="Times New Roman"/>
        </w:rPr>
        <w:t xml:space="preserve"> </w:t>
      </w:r>
      <w:r>
        <w:rPr>
          <w:rFonts w:ascii="Leelawadee UI" w:hAnsi="Leelawadee UI" w:eastAsia="Leelawadee UI" w:cs="Leelawadee UI"/>
        </w:rPr>
        <w:t>ដើម្បីបញ្ជាក់អំពីអ្វីដែលប៉ូលមានន័យយ៉ាងច្បាស់លាស់។</w:t>
      </w:r>
    </w:p>
    <w:p>
      <w:pPr>
        <w:pStyle w:val="ArticleScripture"/>
        <w:jc w:val="left"/>
      </w:pPr>
      <w:r>
        <w:rPr>
          <w:rFonts w:ascii="Times New Roman" w:hAnsi="Times New Roman" w:eastAsia="Times New Roman" w:cs="Times New Roman"/>
        </w:rPr>
        <w:t>« Chacun des anciens prophètes a parlé moins pour son propre temps que pour le nôtre, de sorte que leurs prophéties sont en vigueur pour nous. “Or toutes ces choses leur arrivaient pour servir d’exemples; et elles ont été écrites pour notre instruction, à nous pour qui la fin des siècles est arrivée.” 1 Corinthiens 10:11. “Ce n’est pas pour eux-mêmes, mais pour nous, qu’ils étaient les dispensateurs de ces choses, qui vous ont maintenant été annoncées par ceux qui vous ont prêché l’Évangile par le Saint-Esprit envoyé du ciel; choses dans lesquelles les anges désirent plonger leurs regards.” 1 Pierre 1:12.... »</w:t>
      </w:r>
    </w:p>
    <w:p>
      <w:pPr>
        <w:pStyle w:val="ArticleScripture"/>
        <w:jc w:val="left"/>
      </w:pPr>
      <w:r>
        <w:rPr>
          <w:rFonts w:ascii="Times New Roman" w:hAnsi="Times New Roman" w:eastAsia="Times New Roman" w:cs="Times New Roman"/>
        </w:rPr>
        <w:t>«La Bible a accumulé et rassemblé ses trésors pour cette dernière génération. Tous les grands événements et les transactions solennelles de l’histoire de l’Ancien Testament se sont répétés, et se répètent, dans l’Église en ces derniers jours.» Messages choisis, livre 3, 338, 339.</w:t>
      </w:r>
    </w:p>
    <w:p>
      <w:pPr>
        <w:pStyle w:val="ArticleBody"/>
        <w:jc w:val="left"/>
      </w:pPr>
      <w:r>
        <w:rPr>
          <w:rFonts w:ascii="Times New Roman" w:hAnsi="Times New Roman" w:eastAsia="Times New Roman" w:cs="Times New Roman"/>
        </w:rPr>
        <w:t>„Marele evenimente și solemnele desfășurări ale istoriei Vechiului Testament s-au repetat și se repetă în biserică în aceste ultime zile” — astfel rezumă Soră White sensul lui Pavel în acele versete. În încercarea de a submina identificarea făcută de Pavel, potrivit căreia Israelul din vechime ilustrează simbolic istoria Israelului literal, Satana a lansat două atacuri principale împotriva acestui principiu profetic. Primul, pe care l-am menționat deja, este susținerea că Pavel ar fi arătat doar că acele istorii reprezentau lecții morale. Acea învățătură falsă este un adevăr pe jumătate, iar un adevăr pe jumătate nu este deloc adevăr. Este adevărat că lecțiile morale care pot fi desprinse din istoria Israelului din vechime sunt spre folosul celor care trăiesc în ultimele zile; dar când aceasta este folosită pentru a nega faptul că acele istorii sunt și o ilustrare a unor evenimente care se vor repeta, ea devine un adevăr pe jumătate, menit să tăgăduiască adevărul.</w:t>
      </w:r>
    </w:p>
    <w:p>
      <w:pPr>
        <w:pStyle w:val="ArticleScripture"/>
        <w:jc w:val="left"/>
      </w:pPr>
      <w:r>
        <w:rPr>
          <w:rFonts w:ascii="Times New Roman" w:hAnsi="Times New Roman" w:eastAsia="Times New Roman" w:cs="Times New Roman"/>
        </w:rPr>
        <w:t>«Барокад ё як лаънат ҳоло пеши қавми Худо гузошта шудааст — барокад, агар онҳо аз ҷаҳон берун оянд, ҷудо бошанд ва дар роҳи итоати фурӯтанона роҳ раванд; ва лаънат, агар бо бутпарастон муттаҳид шаванд, ки даъвоҳои волои осмонро поймол мекунанд. Гуноҳҳо ва бадкориҳои Исроили исёнгар сабт шудаанд, ва ин манзара ҳамчун ҳушдор пеши назари мо гузошта шудааст, то агар мо намунаи таҷовузи онҳоро тақлид кунем ва аз Худо рӯй гардонем, ҳатман фурӯ хоҳем афтод, чунон ки онҳо афтоданд. “Акнун ҳамаи ин чизҳо бар онҳо ҳамчун намунаҳо воқеъ шуданд; ва онҳо барои насиҳати мо навишта шудаанд, ки бар мо охирҳои ҷаҳон расидааст.” Testimonies, volume 1, 609.»</w:t>
      </w:r>
    </w:p>
    <w:p>
      <w:pPr>
        <w:pStyle w:val="ArticleBody"/>
        <w:jc w:val="left"/>
      </w:pPr>
      <w:r>
        <w:rPr>
          <w:rFonts w:ascii="Times New Roman" w:hAnsi="Times New Roman" w:eastAsia="Times New Roman" w:cs="Times New Roman"/>
        </w:rPr>
        <w:t>Une vérité ne doit pas être utilisée pour en nier une autre; car, lorsqu’elle l’est, elle transforme la vérité de Dieu en mensonge.</w:t>
      </w:r>
    </w:p>
    <w:p>
      <w:pPr>
        <w:pStyle w:val="ArticleScripture"/>
        <w:jc w:val="left"/>
      </w:pPr>
      <w:r>
        <w:rPr>
          <w:rFonts w:ascii="Times New Roman" w:hAnsi="Times New Roman" w:eastAsia="Times New Roman" w:cs="Times New Roman"/>
        </w:rPr>
        <w:t>«Для того щоб не зруйнувати один вислів Спасителя, не слід використовувати інший». The Great Controversy, 371.</w:t>
      </w:r>
    </w:p>
    <w:p>
      <w:pPr>
        <w:pStyle w:val="ArticleBody"/>
        <w:jc w:val="left"/>
      </w:pPr>
      <w:r>
        <w:rPr>
          <w:rFonts w:ascii="Times New Roman" w:hAnsi="Times New Roman" w:eastAsia="Times New Roman" w:cs="Times New Roman"/>
        </w:rPr>
        <w:t>Thutlelo ea gore hisetori ya Iseraele ya bogologolo e emela fela dithuto tsa maitsholo, gantsi e dirisiwa ke boratheoloji ba Baadventiste go senya Lefoko la boporofeti la Modimo; mme ke nngwe ya dintlha tse e leng boammaaruri ka sephatlo tse di tsentsweng mo sejaneng sa dianekwane se se baakantsweng go tsietsa batho ba Modimo gore ba amogele leaka, mme leaka le ba le amogelang le supiwa mo dikwalong tsa moaposetoloi Paulo.</w:t>
      </w:r>
    </w:p>
    <w:p>
      <w:pPr>
        <w:pStyle w:val="ArticleBody"/>
        <w:jc w:val="left"/>
      </w:pPr>
      <w:r>
        <w:rPr>
          <w:rFonts w:ascii="Times New Roman" w:hAnsi="Times New Roman" w:eastAsia="Times New Roman" w:cs="Times New Roman"/>
        </w:rPr>
        <w:t>L’autre principale attaque contre le principe selon lequel l’histoire de l’ancien Israël illustre l’histoire de l’Israël moderne fut inventée par les jésuites au cours de la Contre-Réforme, et elle consiste à admettre l’idée que l’histoire de l’ancien Israël se répète. Le mensonge jésuite est que l’histoire se répète littéralement, et non spirituellement. Ce mensonge fut inventé afin d’empêcher que l’on comprenne que le pape de Rome est l’antéchrist de la prophétie biblique, car cet enseignement reconnaît la vérité qu’il y a un antéchrist dans les derniers jours, mais il soutient que l’antéchrist est représenté par une puissance littérale, et non par une puissance spirituelle. La prostituée d’Apocalypse dix-sept, qui a écrit sur le front : mystère, Babylone, serait alors une prostituée qui surgit dans le pays littéral de Babylone, lequel est aujourd’hui l’Irak.</w:t>
      </w:r>
    </w:p>
    <w:p>
      <w:pPr>
        <w:pStyle w:val="ArticleScripture"/>
        <w:jc w:val="left"/>
      </w:pPr>
      <w:r>
        <w:rPr>
          <w:rFonts w:ascii="Times New Roman" w:hAnsi="Times New Roman" w:eastAsia="Times New Roman" w:cs="Times New Roman"/>
        </w:rPr>
        <w:t>« Ceux qui deviennent confus dans leur compréhension de la parole, qui ne discernent pas la signification de l’antichrist, se placeront assurément du côté de l’antichrist. » Kress Collection, 105.</w:t>
      </w:r>
    </w:p>
    <w:p>
      <w:pPr>
        <w:pStyle w:val="ArticleBody"/>
        <w:jc w:val="left"/>
      </w:pPr>
      <w:r>
        <w:rPr>
          <w:rFonts w:ascii="Times New Roman" w:hAnsi="Times New Roman" w:eastAsia="Times New Roman" w:cs="Times New Roman"/>
        </w:rPr>
        <w:t>پاپ شخصی واقعی است که نمایانگر قدرتی واقعی (کلیسای کاتولیک) می‌باشد؛ اما او و سازمانش به‌طور نبوی به‌وسیلهٔ بابلِ واقعی معرفی شده‌اند، و تنها هنگامی می‌توان آنان را به‌درستی شناسایی کرد که موضوع ضدمسیح به‌عنوان تحقق روحانیِ یک نمونهٔ واقعی مطرح گردد. پولُس بیان کرد که اسرائیلِ واقعی، اسرائیلِ روحانی را به تصویر می‌کشد؛ اما این حقیقتی نبوی و تازه نبود که او عرضه کرد، زیرا فهم او عموماً بر عهد عتیق استوار بود، و شهادت او نیز در همان‌جا ریشه دارد.</w:t>
      </w:r>
    </w:p>
    <w:p>
      <w:pPr>
        <w:pStyle w:val="ArticleScripture"/>
        <w:jc w:val="left"/>
      </w:pPr>
      <w:r>
        <w:rPr>
          <w:rFonts w:ascii="Times New Roman" w:hAnsi="Times New Roman" w:eastAsia="Times New Roman" w:cs="Times New Roman"/>
        </w:rPr>
        <w:t>Ainsi parle l’Éternel, le Roi d’Israël, et son rédempteur, l’Éternel des armées : Je suis le premier, et je suis le dernier ; et hors de moi il n’y a point de Dieu. Et qui, comme moi, appellera, le déclarera, et me l’exposera en ordre, depuis que j’ai établi le peuple ancien ? Et les choses qui viennent, et qui arriveront, qu’ils les leur annoncent. Ne craignez point, et ne soyez point effrayés : ne te l’ai-je pas fait entendre dès ce temps-là, et ne l’ai-je pas déclaré ? Vous êtes même mes témoins. Y a-t-il un Dieu hors de moi ? Oui, il n’y a point de Rocher ; je n’en connais aucun. Ésaïe 44:6–8.</w:t>
      </w:r>
    </w:p>
    <w:p>
      <w:pPr>
        <w:pStyle w:val="ArticleBody"/>
        <w:jc w:val="left"/>
      </w:pPr>
      <w:r>
        <w:rPr>
          <w:rFonts w:ascii="Times New Roman" w:hAnsi="Times New Roman" w:eastAsia="Times New Roman" w:cs="Times New Roman"/>
        </w:rPr>
        <w:t>Wir sollen Christi Zeugen sein, wie Paulus es war: dass das Alpha und das Omega nicht nur das alte Israel, sondern alle biblischen Völker der Vorzeit als Sinnbilder bestimmt hat, um denen, die in den letzten Tagen leben, „die kommenden Dinge“ vor Augen zu führen. Paulus war ein Kenner des Alten Testaments, und er wurde dazu erweckt, das prophetische Verbindungsglied zwischen der Heilszeit des buchstäblichen und des geistlichen Israel zu sein. Es waren seine Schriften, die jene leiteten, welche die Zunahme der Erkenntnis zur Zeit des Endes im Jahre 1798 und ebenso im Jahre 1989 verstanden.</w:t>
      </w:r>
    </w:p>
    <w:p>
      <w:pPr>
        <w:pStyle w:val="ArticleBody"/>
        <w:jc w:val="left"/>
      </w:pPr>
      <w:r>
        <w:rPr>
          <w:rFonts w:ascii="Times New Roman" w:hAnsi="Times New Roman" w:eastAsia="Times New Roman" w:cs="Times New Roman"/>
        </w:rPr>
        <w:t>L’ancienne Babylone littérale, les anciens fils de l’Orient, l’ancienne Égypte, l’ancienne Grèce et l’ancien empire médo-perse sont des symboles de puissances spirituelles à la fin du monde. Les anciens symboles sont le littéral qui précède et représentent le spirituel qui suit. Paul va jusqu’à identifier qu’Adam littéral symbolisait l’Adam spirituel (qui est le Christ).</w:t>
      </w:r>
    </w:p>
    <w:p>
      <w:pPr>
        <w:pStyle w:val="ArticleScripture"/>
        <w:jc w:val="left"/>
      </w:pPr>
      <w:r>
        <w:rPr>
          <w:rFonts w:ascii="Times New Roman" w:hAnsi="Times New Roman" w:eastAsia="Times New Roman" w:cs="Times New Roman"/>
        </w:rPr>
        <w:t>Ainsi qu’il est écrit : Le premier homme, Adam, devint une âme vivante ; le dernier Adam est devenu un esprit vivifiant. Mais ce qui est spirituel n’est pas le premier ; c’est ce qui est naturel ; ensuite vient ce qui est spirituel. Le premier homme, tiré de la terre, est terrestre ; le second homme est le Seigneur venu du ciel. Tel est le terrestre, tels sont aussi ceux qui sont terrestres ; et tel est le céleste, tels sont aussi ceux qui sont célestes. Et de même que nous avons porté l’image du terrestre, nous porterons aussi l’image du céleste. 1 Corinthiens 15:45–49.</w:t>
      </w:r>
    </w:p>
    <w:p>
      <w:pPr>
        <w:pStyle w:val="ArticleBody"/>
        <w:jc w:val="left"/>
      </w:pPr>
      <w:r>
        <w:rPr>
          <w:rFonts w:ascii="Times New Roman" w:hAnsi="Times New Roman" w:eastAsia="Times New Roman" w:cs="Times New Roman"/>
        </w:rPr>
        <w:t>Abanyamasomo yimbitse cyane Pawulo yigisha yerekeye Adamu wa mbere n’uwa nyuma, ariko twebwe turi kumenya gusa ihame ashyira ahagaragara mu buryo busobanutse cyane muri uwo murongo, igihe avuga ati: “Icyari icya mbere si icy’umwuka, ahubwo ni icy’akaremere; hanyuma hakaza icy’umwuka.” Icy’ukuri gufatika, Pawulo aha yita “icy’akaremere,” ni cyo kibanza, naho icy’umwuka kikaza nyuma. Isirayeli ya nyakuri yabanje kubaho, kandi yari iy’akaremere, naho Isirayeli y’umwuka iza “hanyuma.”</w:t>
      </w:r>
    </w:p>
    <w:p>
      <w:pPr>
        <w:pStyle w:val="ArticleBody"/>
        <w:jc w:val="left"/>
      </w:pPr>
      <w:r>
        <w:rPr>
          <w:rFonts w:ascii="Times New Roman" w:hAnsi="Times New Roman" w:eastAsia="Times New Roman" w:cs="Times New Roman"/>
        </w:rPr>
        <w:t>Babiloni halisi hutangulia Babeli ya kiroho. Jambo linalofuata la muhimu linalokaziwa katika maandiko ya Paulo ni hatua ya kihistoria ambapo badiliko kutoka kwa halisi kwenda kwa kiroho linapaswa kutumika. Ni kipindi cha msalaba ambapo badiliko la kinabii kutoka kwa halisi kwenda kwa kiroho linatambulishwa.</w:t>
      </w:r>
    </w:p>
    <w:p>
      <w:pPr>
        <w:pStyle w:val="ArticleScripture"/>
        <w:jc w:val="left"/>
      </w:pPr>
      <w:r>
        <w:rPr>
          <w:rFonts w:ascii="Times New Roman" w:hAnsi="Times New Roman" w:eastAsia="Times New Roman" w:cs="Times New Roman"/>
        </w:rPr>
        <w:t>Car vous êtes tous enfants de Dieu par la foi en Jésus-Christ. Car vous tous qui avez été baptisés en Christ, vous avez revêtu Christ. Il n’y a plus ni Juif ni Grec, il n’y a plus ni esclave ni libre, il n’y a plus ni homme ni femme; car vous êtes tous un en Jésus-Christ. Et si vous êtes à Christ, vous êtes donc la postérité d’Abraham, héritiers selon la promesse. Galates 3:26–29.</w:t>
      </w:r>
    </w:p>
    <w:p>
      <w:pPr>
        <w:pStyle w:val="ArticleBody"/>
        <w:jc w:val="left"/>
      </w:pPr>
      <w:r>
        <w:rPr>
          <w:rFonts w:ascii="Times New Roman" w:hAnsi="Times New Roman" w:eastAsia="Times New Roman" w:cs="Times New Roman"/>
        </w:rPr>
        <w:t>Abin da ya shafi haƙƙin haihuwarka ba shi da wani tasiri; idan kuma sa’ad da ka karɓi Almasihu, a lokacin ne ka zama zuriyar Ibrahim. Kai ba Isra’ila ta zahiri ba ne; kai Isra’ila ta ruhaniya ce. Gicciye ne ya kasance juyin daga zahiri zuwa ruhaniya. Bulus ya raba ’yan Adam zuwa rukuni biyu. Kowane rukuni yana da alkawarinsa, kowanne kuma zuriyar Ibrahim ne. Kowanne yana da birni da yake wakiltar iyalinsa da alkawarinsa. Kowanne ko dai ɗan Adamu na zahiri ne ko kuma ɗan Adamu na ruhaniya.</w:t>
      </w:r>
    </w:p>
    <w:p>
      <w:pPr>
        <w:pStyle w:val="ArticleScripture"/>
        <w:jc w:val="left"/>
      </w:pPr>
      <w:r>
        <w:rPr>
          <w:rFonts w:ascii="Times New Roman" w:hAnsi="Times New Roman" w:eastAsia="Times New Roman" w:cs="Times New Roman"/>
        </w:rPr>
        <w:t>Koska on kirjoitettu, että Abrahamilla oli kaksi poikaa, toinen orjattaresta, toinen vapaasta naisesta. Mutta orjattaresta syntynyt oli syntynyt lihan mukaan, vapaan naisen poika taas lupauksen kautta. Tällä on vertauskuvallinen merkitys: nämä naiset tarkoittavat kahta liittoa; toinen on Sinain vuorelta, synnyttäen orjuuteen, ja se on Hagar. Sillä tämä Hagar on Sinain vuori Arabiassa, ja vastaa nykyistä Jerusalemia, joka on orjuudessa lastensa kanssa. Mutta ylhäällä oleva Jerusalem on vapaa, ja se on meidän kaikkien äiti. Sillä on kirjoitettu: Iloitse, sinä hedelmätön, joka et synnytä; puhkea riemuun ja huuda, sinä, jolla ei ole synnytystuskia; sillä hylätyllä on paljon enemmän lapsia kuin sillä, jolla on mies. Mutta me olemme, veljet, Iisakin tavoin lupauksen lapsia. Mutta niin kuin silloin lihan mukaan syntynyt vainosi Hengen mukaan syntynyttä, samoin on nytkin. Mutta mitä sanoo Raamattu? Aja pois orjatar ja hänen poikansa; sillä orjattaren poika ei ole perivä yhdessä vapaan naisen pojan kanssa. Niinpä siis, veljet, emme ole orjattaren lapsia, vaan vapaan. Galatalaiskirje 4:22–30.</w:t>
      </w:r>
    </w:p>
    <w:p>
      <w:pPr>
        <w:pStyle w:val="ArticleBody"/>
        <w:jc w:val="left"/>
      </w:pPr>
      <w:r>
        <w:rPr>
          <w:rFonts w:ascii="Times New Roman" w:hAnsi="Times New Roman" w:eastAsia="Times New Roman" w:cs="Times New Roman"/>
        </w:rPr>
        <w:t>Mungu wa wakati wa msalaba, mambo ya kale ya halisi yakawa alama za kiroho za kisasa. Mtume Paulo alifafanua kweli hizi za msingi za kinabii zilizomruhusu William Miller kuweka mfumo wa mamlaka mbili ziletazo ukiwa, ambao juu yake aliweka hitimisho zake zote za kinabii. Kazi hiyohiyo iliyotimizwa na mtume Paulo ndiyo inayotambua mamlaka tatu ziletazo ukiwa, ambazo ndizo mfumo wa hitimisho zote za kinabii za Future for America.</w:t>
      </w:r>
    </w:p>
    <w:p>
      <w:pPr>
        <w:pStyle w:val="ArticleBody"/>
        <w:jc w:val="left"/>
      </w:pPr>
      <w:r>
        <w:rPr>
          <w:rFonts w:ascii="Times New Roman" w:hAnsi="Times New Roman" w:eastAsia="Times New Roman" w:cs="Times New Roman"/>
        </w:rPr>
        <w:t>Cadre de la compréhension qu’avait Miller de l’accroissement de la connaissance, représenté par la vision du fleuve d’Ulai aux chapitres sept, huit et neuf, reposait sur sa découverte que « le continuel » dans le livre de Daniel représentait la Rome païenne. Il fit cette découverte dans la seconde épître de Paul aux Thessaloniciens. Cette compréhension est la vérité principale identifiée en association avec le « mensonge » prophétique, lequel fait venir un puissant égarement sur les Adventistes du Septième Jour dans les derniers jours.</w:t>
      </w:r>
    </w:p>
    <w:p>
      <w:pPr>
        <w:pStyle w:val="ArticleBody"/>
        <w:jc w:val="left"/>
      </w:pPr>
      <w:r>
        <w:rPr>
          <w:rFonts w:ascii="Times New Roman" w:hAnsi="Times New Roman" w:eastAsia="Times New Roman" w:cs="Times New Roman"/>
        </w:rPr>
        <w:t>Nous poursuivrons dans le prochain article notre étude de l’accroissement de la connaissance représenté par la vision du fleuve d’Ulai, en examinant ce que Miller a reconnu dans la lettre de Paul.</w:t>
      </w:r>
    </w:p>
    <w:p>
      <w:pPr>
        <w:pStyle w:val="ArticleScripture"/>
        <w:jc w:val="left"/>
      </w:pPr>
      <w:r>
        <w:rPr>
          <w:rFonts w:ascii="Times New Roman" w:hAnsi="Times New Roman" w:eastAsia="Times New Roman" w:cs="Times New Roman"/>
        </w:rPr>
        <w:t>«Celui qui voit au-delà des apparences, qui lit dans le cœur de tous les hommes, dit de ceux qui ont reçu une grande lumière : “Ils ne sont ni affligés ni saisis d’étonnement à cause de leur condition morale et spirituelle.” Oui, ils ont choisi leurs propres voies, et leur âme se complaît dans leurs abominations. Moi aussi, je choisirai leurs égarements, et je ferai venir sur eux ce qu’ils redoutent ; parce que, quand j’ai appelé, nul n’a répondu ; quand j’ai parlé, ils n’ont pas écouté ; mais ils ont fait ce qui est mal à mes yeux, et ils ont choisi ce en quoi je ne prenais point plaisir.” “Dieu leur enverra une puissance d’égarement, pour qu’ils croient au mensonge”, parce qu’ils n’ont pas reçu l’amour de la vérité pour être sauvés, “mais ont pris plaisir à l’injustice.” Ésaïe 66:3, 4 ; 2 Thessaloniciens 2:11, 10, 12.</w:t>
      </w:r>
    </w:p>
    <w:p>
      <w:pPr>
        <w:pStyle w:val="ArticleScripture"/>
        <w:jc w:val="left"/>
      </w:pPr>
      <w:r>
        <w:rPr>
          <w:rFonts w:ascii="Times New Roman" w:hAnsi="Times New Roman" w:eastAsia="Times New Roman" w:cs="Times New Roman"/>
        </w:rPr>
        <w:t>“</w:t>
      </w:r>
      <w:r>
        <w:rPr>
          <w:rFonts w:ascii="Nirmala UI" w:hAnsi="Nirmala UI" w:eastAsia="Nirmala UI" w:cs="Nirmala UI"/>
        </w:rPr>
        <w:t>दिव्य</w:t>
      </w:r>
      <w:r>
        <w:rPr>
          <w:rFonts w:ascii="Times New Roman" w:hAnsi="Times New Roman" w:eastAsia="Times New Roman" w:cs="Times New Roman"/>
        </w:rPr>
        <w:t xml:space="preserve"> </w:t>
      </w:r>
      <w:r>
        <w:rPr>
          <w:rFonts w:ascii="Nirmala UI" w:hAnsi="Nirmala UI" w:eastAsia="Nirmala UI" w:cs="Nirmala UI"/>
        </w:rPr>
        <w:t>शिक्षक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भ्रम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बढ़कर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बहका</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दिखावा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धोखा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मोहक</w:t>
      </w:r>
      <w:r>
        <w:rPr>
          <w:rFonts w:ascii="Times New Roman" w:hAnsi="Times New Roman" w:eastAsia="Times New Roman" w:cs="Times New Roman"/>
        </w:rPr>
        <w:t xml:space="preserve"> </w:t>
      </w:r>
      <w:r>
        <w:rPr>
          <w:rFonts w:ascii="Nirmala UI" w:hAnsi="Nirmala UI" w:eastAsia="Nirmala UI" w:cs="Nirmala UI"/>
        </w:rPr>
        <w:t>भ्रांति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भक्ति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बैठते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संपत्ति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 de Daniel - Nombre quarante</dc:title>
  <dc:subject>Pawulos</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