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Empat Puluh Dua</w:t>
      </w:r>
    </w:p>
    <w:p>
      <w:pPr>
        <w:pStyle w:val="ArticleSubtitle"/>
        <w:jc w:val="left"/>
      </w:pPr>
      <w:r>
        <w:rPr>
          <w:rFonts w:ascii="Segoe UI" w:hAnsi="Segoe UI" w:eastAsia="Segoe UI" w:cs="Segoe UI"/>
        </w:rPr>
        <w:t>فێلێنێن</w:t>
      </w:r>
      <w:r>
        <w:rPr>
          <w:rFonts w:ascii="Arial" w:hAnsi="Arial" w:eastAsia="Arial" w:cs="Arial"/>
        </w:rPr>
        <w:t xml:space="preserve"> </w:t>
      </w:r>
      <w:r>
        <w:rPr>
          <w:rFonts w:ascii="Segoe UI" w:hAnsi="Segoe UI" w:eastAsia="Segoe UI" w:cs="Segoe UI"/>
        </w:rPr>
        <w:t>پەیوەندیدانێن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Yohane Mubatizi yari umuhanuzi w’ihuriro.</w:t>
      </w:r>
    </w:p>
    <w:p>
      <w:pPr>
        <w:pStyle w:val="ArticleScripture"/>
        <w:jc w:val="left"/>
      </w:pPr>
      <w:r>
        <w:rPr>
          <w:rFonts w:ascii="Times New Roman" w:hAnsi="Times New Roman" w:eastAsia="Times New Roman" w:cs="Times New Roman"/>
        </w:rPr>
        <w:t>“Nnabii Yohane yali akola ng’olukomera olwagatta ebyafaayo eby’obuweereza obubiri. Ng’omukiise wa Katonda yayimirira okulaga enkolagana eri wakati w’amateeka n’abanabbi n’obuweereza obw’Ekikristaayo. Yali musana omutono, ogwali gwa kugobererwa omunene okusingawo. Ebirowoozo bya Yohane byamulisibwa Omwoyo Omutukuvu, alyoke atemitire abantu be ekitangaala; naye tewali kitangaala kirala kye kyali kyakaka wonna, era tekyandikaka, mu ngeri entegeerekeka bwe kityo ku muntu agudde, ng’ekyo ekiva mu kuyigiriza n’ekyokulabirako kya Yesu. Kristo n’omulimu gwe byali byategeerwa butegeevu butono ng’ebyalagibwa mu ssaddaaka ez’ekifaananyi n’ekisiikirize. Ne Yohane yennyini yali tannategeera mu bujjuvu obulamu obw’omu maaso, obutafa, okuyita mu Mulokozi.” The Desire of Ages, 220.</w:t>
      </w:r>
    </w:p>
    <w:p>
      <w:pPr>
        <w:pStyle w:val="ArticleBody"/>
        <w:jc w:val="left"/>
      </w:pPr>
      <w:r>
        <w:rPr>
          <w:rFonts w:ascii="Times New Roman" w:hAnsi="Times New Roman" w:eastAsia="Times New Roman" w:cs="Times New Roman"/>
        </w:rPr>
        <w:t>Yesu pia alikuwa nabii wa kiungo.</w:t>
      </w:r>
    </w:p>
    <w:p>
      <w:pPr>
        <w:pStyle w:val="ArticleScripture"/>
        <w:jc w:val="left"/>
      </w:pPr>
      <w:r>
        <w:rPr>
          <w:rFonts w:ascii="Times New Roman" w:hAnsi="Times New Roman" w:eastAsia="Times New Roman" w:cs="Times New Roman"/>
        </w:rPr>
        <w:t>«Քրիստոսը ճանապարհ է հարթել երկրից դեպի երկինք։ Նա կազմում է միացնող օղակը այդ երկու աշխարհների միջև։ Նա մարդուն է բերում Աստծո սերն ու խոնարհումը, և Իր արժանիքների միջոցով մարդուն բարձրացնում է՝ դիմավորելու Աստծո հաշտեցումը։ Քրիստոսն է ճանապարհը, ճշմարտությունը և կյանքը։ Ծանր աշխատանք է քայլ առ քայլ, ցավով և դանդաղ, առաջ և վեր ընթանալ մաքրության և սրբության ճանապարհով։ Բայց Քրիստոսը լիառատ միջոցներ է նախատեսել՝ աստվածային կյանքի առաջխաղացման յուրաքանչյուր նոր քայլի ժամանակ նոր կորով և աստվածային զորություն հաղորդելու համար։ Ահա այն գիտությունն ու փորձառությունը, որ գրասենյակի բոլոր աշխատակիցները ցանկանում են և պարտավոր են ունենալ, այլապես նրանք օրեցօր նախատինք են բերում Քրիստոսի գործի վրա»։ Վկայություններ, հատոր 3, 193։</w:t>
      </w:r>
    </w:p>
    <w:p>
      <w:pPr>
        <w:pStyle w:val="ArticleBody"/>
        <w:jc w:val="left"/>
      </w:pPr>
      <w:r>
        <w:rPr>
          <w:rFonts w:ascii="Times New Roman" w:hAnsi="Times New Roman" w:eastAsia="Times New Roman" w:cs="Times New Roman"/>
        </w:rPr>
        <w:t>ʿffʾ keessatti Cuuphaan Yohaannis hojii raajii isaa keessatti qooda lafa irraa gara mana qulqullummaa samii jiru waliin walitti hidhuu dabalatee ture. Jechoonni jalqabaa Yohaannis yeroo inni yeroo jalqabaatiif Yesuusin arge dubbateis:</w:t>
      </w:r>
    </w:p>
    <w:p>
      <w:pPr>
        <w:pStyle w:val="ArticleScripture"/>
        <w:jc w:val="left"/>
      </w:pPr>
      <w:r>
        <w:rPr>
          <w:rFonts w:ascii="Microsoft YaHei" w:hAnsi="Microsoft YaHei" w:eastAsia="Microsoft YaHei" w:cs="Microsoft YaHei"/>
        </w:rPr>
        <w:t>翌日、</w:t>
      </w:r>
      <w:r>
        <w:rPr>
          <w:rFonts w:ascii="MS Gothic" w:hAnsi="MS Gothic" w:eastAsia="MS Gothic" w:cs="MS Gothic"/>
        </w:rPr>
        <w:t>ヨハネはイエスが</w:t>
      </w:r>
      <w:r>
        <w:rPr>
          <w:rFonts w:ascii="Microsoft YaHei" w:hAnsi="Microsoft YaHei" w:eastAsia="Microsoft YaHei" w:cs="Microsoft YaHei"/>
        </w:rPr>
        <w:t>自分</w:t>
      </w:r>
      <w:r>
        <w:rPr>
          <w:rFonts w:ascii="MS Gothic" w:hAnsi="MS Gothic" w:eastAsia="MS Gothic" w:cs="MS Gothic"/>
        </w:rPr>
        <w:t>のほうへ</w:t>
      </w:r>
      <w:r>
        <w:rPr>
          <w:rFonts w:ascii="Microsoft YaHei" w:hAnsi="Microsoft YaHei" w:eastAsia="Microsoft YaHei" w:cs="Microsoft YaHei"/>
        </w:rPr>
        <w:t>来</w:t>
      </w:r>
      <w:r>
        <w:rPr>
          <w:rFonts w:ascii="MS Gothic" w:hAnsi="MS Gothic" w:eastAsia="MS Gothic" w:cs="MS Gothic"/>
        </w:rPr>
        <w:t>られるのを</w:t>
      </w:r>
      <w:r>
        <w:rPr>
          <w:rFonts w:ascii="Microsoft YaHei" w:hAnsi="Microsoft YaHei" w:eastAsia="Microsoft YaHei" w:cs="Microsoft YaHei"/>
        </w:rPr>
        <w:t>見</w:t>
      </w:r>
      <w:r>
        <w:rPr>
          <w:rFonts w:ascii="MS Gothic" w:hAnsi="MS Gothic" w:eastAsia="MS Gothic" w:cs="MS Gothic"/>
        </w:rPr>
        <w:t>て</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、世</w:t>
      </w:r>
      <w:r>
        <w:rPr>
          <w:rFonts w:ascii="MS Gothic" w:hAnsi="MS Gothic" w:eastAsia="MS Gothic" w:cs="MS Gothic"/>
        </w:rPr>
        <w:t>の</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除</w:t>
      </w:r>
      <w:r>
        <w:rPr>
          <w:rFonts w:ascii="MS Gothic" w:hAnsi="MS Gothic" w:eastAsia="MS Gothic" w:cs="MS Gothic"/>
        </w:rPr>
        <w:t>く</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小羊</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S Gothic" w:hAnsi="MS Gothic" w:eastAsia="MS Gothic" w:cs="MS Gothic"/>
        </w:rPr>
        <w:t>ヨハネ</w:t>
      </w:r>
      <w:r>
        <w:rPr>
          <w:rFonts w:ascii="Times New Roman" w:hAnsi="Times New Roman" w:eastAsia="Times New Roman" w:cs="Times New Roman"/>
        </w:rPr>
        <w:t xml:space="preserve"> 1:29.</w:t>
      </w:r>
    </w:p>
    <w:p>
      <w:pPr>
        <w:pStyle w:val="ArticleBody"/>
        <w:jc w:val="left"/>
      </w:pPr>
      <w:r>
        <w:rPr>
          <w:rFonts w:ascii="Times New Roman" w:hAnsi="Times New Roman" w:eastAsia="Times New Roman" w:cs="Times New Roman"/>
        </w:rPr>
        <w:t>Ma embora João devesse identificar a transição do antigo Israel para o Israel espiritual, sua compreensão dessa transição era limitada.</w:t>
      </w:r>
    </w:p>
    <w:p>
      <w:pPr>
        <w:pStyle w:val="ArticleScripture"/>
        <w:jc w:val="left"/>
      </w:pPr>
      <w:r>
        <w:rPr>
          <w:rFonts w:ascii="Times New Roman" w:hAnsi="Times New Roman" w:eastAsia="Times New Roman" w:cs="Times New Roman"/>
        </w:rPr>
        <w:t>Kristus berkata, untuk membenarkan Yohanes, “Tetapi untuk apakah kamu pergi ke padang gurun? Hendak melihat seorang nabi? Benar, Aku berkata kepadamu, bahkan lebih daripada seorang nabi.” Yohanes bukan hanya seorang nabi untuk menubuatkan peristiwa-peristiwa yang akan datang, melainkan juga seorang anak perjanjian, yang dipenuhi dengan Roh Kudus sejak kelahirannya, dan yang ditetapkan oleh Allah untuk melaksanakan suatu pekerjaan khusus sebagai seorang pembaru, dalam mempersiapkan suatu umat bagi penerimaan akan Kristus. Nabi Yohanes adalah mata rantai penghubung antara kedua zaman penyelenggaraan ilahi.</w:t>
      </w:r>
    </w:p>
    <w:p>
      <w:pPr>
        <w:pStyle w:val="ArticleScripture"/>
        <w:jc w:val="left"/>
      </w:pPr>
      <w:r>
        <w:rPr>
          <w:rFonts w:ascii="Times New Roman" w:hAnsi="Times New Roman" w:eastAsia="Times New Roman" w:cs="Times New Roman"/>
        </w:rPr>
        <w:t>“Možda je pitanje hoćemo li moći razlikovati pravi put kojim trebamo ići. Ali ako smo spremni učiti, ako tražimo vodstvo od Boga i predamo Mu svoj život, On će nas povesti. Ne obećava da će ukloniti svaku poteškoću ili nam pokazati svaki korak unaprijed, nego da će nas voditi iz dana u dan. On ne traži od nas da sami riješimo sve nedoumice prije nego što pođemo naprijed; traži da Mu vjerujemo i poslušno idemo naprijed prema svjetlu koje nam daje.”</w:t>
      </w:r>
    </w:p>
    <w:p>
      <w:pPr>
        <w:pStyle w:val="ArticleScripture"/>
        <w:jc w:val="left"/>
      </w:pPr>
      <w:r>
        <w:rPr>
          <w:rFonts w:ascii="Times New Roman" w:hAnsi="Times New Roman" w:eastAsia="Times New Roman" w:cs="Times New Roman"/>
        </w:rPr>
        <w:t>“En yer cüzi şagird ki, İsa’ya tâbi oldu, onun mûcizelerine şahitlik etti ve ilâhî tâlim derslerini dinledi ve dudaklarından dökülen teselli edici sözleri işitti, Yuhanna vaftizciden daha imtiyazlı idi; zira onun daha açık bir nuru vardı. Dünyanın nuru olan O Zât vasıtasıyla iletilmiş olandan başka hiçbir nur, günahkâr, sukut etmiş insanın idraki üzerine parlamamış ve asla parlamayacaktır. Mesih ve onun vazifesi, gölgeli kurbanlar aracılığıyla ancak silik bir surette anlaşılmıştı. Hattâ Yuhanna bile, Mesih’in saltanatının Yeruşalim’de olacağını ve mukaddes kullardan müteşekkil tebaası bulunan dünyevî bir krallık kuracağını düşünüyordu.” Review and Herald, 8 Nisan 1873.</w:t>
      </w:r>
    </w:p>
    <w:p>
      <w:pPr>
        <w:pStyle w:val="ArticleBody"/>
        <w:jc w:val="left"/>
      </w:pPr>
      <w:r>
        <w:rPr>
          <w:rFonts w:ascii="Nirmala UI" w:hAnsi="Nirmala UI" w:eastAsia="Nirmala UI" w:cs="Nirmala UI"/>
        </w:rPr>
        <w:t>രൂപകാത്മകത്തിൽ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ആത്മീയത്തിലേക്കുള്ള</w:t>
      </w:r>
      <w:r>
        <w:rPr>
          <w:rFonts w:ascii="Times New Roman" w:hAnsi="Times New Roman" w:eastAsia="Times New Roman" w:cs="Times New Roman"/>
        </w:rPr>
        <w:t xml:space="preserve"> </w:t>
      </w:r>
      <w:r>
        <w:rPr>
          <w:rFonts w:ascii="Nirmala UI" w:hAnsi="Nirmala UI" w:eastAsia="Nirmala UI" w:cs="Nirmala UI"/>
        </w:rPr>
        <w:t>ആക്ഷരാർത്ഥപരമായ</w:t>
      </w:r>
      <w:r>
        <w:rPr>
          <w:rFonts w:ascii="Times New Roman" w:hAnsi="Times New Roman" w:eastAsia="Times New Roman" w:cs="Times New Roman"/>
        </w:rPr>
        <w:t xml:space="preserve"> </w:t>
      </w:r>
      <w:r>
        <w:rPr>
          <w:rFonts w:ascii="Nirmala UI" w:hAnsi="Nirmala UI" w:eastAsia="Nirmala UI" w:cs="Nirmala UI"/>
        </w:rPr>
        <w:t>മാറ്റത്തിന്റെ</w:t>
      </w:r>
      <w:r>
        <w:rPr>
          <w:rFonts w:ascii="Times New Roman" w:hAnsi="Times New Roman" w:eastAsia="Times New Roman" w:cs="Times New Roman"/>
        </w:rPr>
        <w:t xml:space="preserve"> </w:t>
      </w:r>
      <w:r>
        <w:rPr>
          <w:rFonts w:ascii="Nirmala UI" w:hAnsi="Nirmala UI" w:eastAsia="Nirmala UI" w:cs="Nirmala UI"/>
        </w:rPr>
        <w:t>പ്രവാചകപ്രയോഗങ്ങളെ</w:t>
      </w:r>
      <w:r>
        <w:rPr>
          <w:rFonts w:ascii="Times New Roman" w:hAnsi="Times New Roman" w:eastAsia="Times New Roman" w:cs="Times New Roman"/>
        </w:rPr>
        <w:t xml:space="preserve"> </w:t>
      </w:r>
      <w:r>
        <w:rPr>
          <w:rFonts w:ascii="Nirmala UI" w:hAnsi="Nirmala UI" w:eastAsia="Nirmala UI" w:cs="Nirmala UI"/>
        </w:rPr>
        <w:t>തിരിച്ചറിയേണ്ട</w:t>
      </w:r>
      <w:r>
        <w:rPr>
          <w:rFonts w:ascii="Times New Roman" w:hAnsi="Times New Roman" w:eastAsia="Times New Roman" w:cs="Times New Roman"/>
        </w:rPr>
        <w:t xml:space="preserve"> </w:t>
      </w:r>
      <w:r>
        <w:rPr>
          <w:rFonts w:ascii="Nirmala UI" w:hAnsi="Nirmala UI" w:eastAsia="Nirmala UI" w:cs="Nirmala UI"/>
        </w:rPr>
        <w:t>ബന്ധകകണ്ണിയായിരുന്ന</w:t>
      </w:r>
      <w:r>
        <w:rPr>
          <w:rFonts w:ascii="Times New Roman" w:hAnsi="Times New Roman" w:eastAsia="Times New Roman" w:cs="Times New Roman"/>
        </w:rPr>
        <w:t xml:space="preserve"> </w:t>
      </w:r>
      <w:r>
        <w:rPr>
          <w:rFonts w:ascii="Nirmala UI" w:hAnsi="Nirmala UI" w:eastAsia="Nirmala UI" w:cs="Nirmala UI"/>
        </w:rPr>
        <w:t>പ്രവാചകനും</w:t>
      </w:r>
      <w:r>
        <w:rPr>
          <w:rFonts w:ascii="Times New Roman" w:hAnsi="Times New Roman" w:eastAsia="Times New Roman" w:cs="Times New Roman"/>
        </w:rPr>
        <w:t xml:space="preserve"> </w:t>
      </w:r>
      <w:r>
        <w:rPr>
          <w:rFonts w:ascii="Nirmala UI" w:hAnsi="Nirmala UI" w:eastAsia="Nirmala UI" w:cs="Nirmala UI"/>
        </w:rPr>
        <w:t>അപ്പൊസ്തലനായ</w:t>
      </w:r>
      <w:r>
        <w:rPr>
          <w:rFonts w:ascii="Times New Roman" w:hAnsi="Times New Roman" w:eastAsia="Times New Roman" w:cs="Times New Roman"/>
        </w:rPr>
        <w:t xml:space="preserve"> </w:t>
      </w:r>
      <w:r>
        <w:rPr>
          <w:rFonts w:ascii="Nirmala UI" w:hAnsi="Nirmala UI" w:eastAsia="Nirmala UI" w:cs="Nirmala UI"/>
        </w:rPr>
        <w:t>പൗലൊസായിരുന്നു</w:t>
      </w:r>
      <w:r>
        <w:rPr>
          <w:rFonts w:ascii="Times New Roman" w:hAnsi="Times New Roman" w:eastAsia="Times New Roman" w:cs="Times New Roman"/>
        </w:rPr>
        <w:t xml:space="preserve">. </w:t>
      </w:r>
      <w:r>
        <w:rPr>
          <w:rFonts w:ascii="Nirmala UI" w:hAnsi="Nirmala UI" w:eastAsia="Nirmala UI" w:cs="Nirmala UI"/>
        </w:rPr>
        <w:t>ആക്ഷരാർത്ഥത്തിലുള്ള</w:t>
      </w:r>
      <w:r>
        <w:rPr>
          <w:rFonts w:ascii="Times New Roman" w:hAnsi="Times New Roman" w:eastAsia="Times New Roman" w:cs="Times New Roman"/>
        </w:rPr>
        <w:t xml:space="preserve"> </w:t>
      </w:r>
      <w:r>
        <w:rPr>
          <w:rFonts w:ascii="Nirmala UI" w:hAnsi="Nirmala UI" w:eastAsia="Nirmala UI" w:cs="Nirmala UI"/>
        </w:rPr>
        <w:t>യെരൂശലേം</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യെരൂശലേം</w:t>
      </w:r>
      <w:r>
        <w:rPr>
          <w:rFonts w:ascii="Times New Roman" w:hAnsi="Times New Roman" w:eastAsia="Times New Roman" w:cs="Times New Roman"/>
        </w:rPr>
        <w:t xml:space="preserve"> </w:t>
      </w:r>
      <w:r>
        <w:rPr>
          <w:rFonts w:ascii="Nirmala UI" w:hAnsi="Nirmala UI" w:eastAsia="Nirmala UI" w:cs="Nirmala UI"/>
        </w:rPr>
        <w:t>അല്ലെന്ന്</w:t>
      </w:r>
      <w:r>
        <w:rPr>
          <w:rFonts w:ascii="Times New Roman" w:hAnsi="Times New Roman" w:eastAsia="Times New Roman" w:cs="Times New Roman"/>
        </w:rPr>
        <w:t xml:space="preserve"> </w:t>
      </w:r>
      <w:r>
        <w:rPr>
          <w:rFonts w:ascii="Nirmala UI" w:hAnsi="Nirmala UI" w:eastAsia="Nirmala UI" w:cs="Nirmala UI"/>
        </w:rPr>
        <w:t>അദ്ദേഹം</w:t>
      </w:r>
      <w:r>
        <w:rPr>
          <w:rFonts w:ascii="Times New Roman" w:hAnsi="Times New Roman" w:eastAsia="Times New Roman" w:cs="Times New Roman"/>
        </w:rPr>
        <w:t xml:space="preserve"> </w:t>
      </w:r>
      <w:r>
        <w:rPr>
          <w:rFonts w:ascii="Nirmala UI" w:hAnsi="Nirmala UI" w:eastAsia="Nirmala UI" w:cs="Nirmala UI"/>
        </w:rPr>
        <w:t>മനസ്സിലാക്കി</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അന്നേരം</w:t>
      </w:r>
      <w:r>
        <w:rPr>
          <w:rFonts w:ascii="Times New Roman" w:hAnsi="Times New Roman" w:eastAsia="Times New Roman" w:cs="Times New Roman"/>
        </w:rPr>
        <w:t xml:space="preserve"> </w:t>
      </w:r>
      <w:r>
        <w:rPr>
          <w:rFonts w:ascii="Nirmala UI" w:hAnsi="Nirmala UI" w:eastAsia="Nirmala UI" w:cs="Nirmala UI"/>
        </w:rPr>
        <w:t>സ്വർഗീയ</w:t>
      </w:r>
      <w:r>
        <w:rPr>
          <w:rFonts w:ascii="Times New Roman" w:hAnsi="Times New Roman" w:eastAsia="Times New Roman" w:cs="Times New Roman"/>
        </w:rPr>
        <w:t xml:space="preserve"> </w:t>
      </w:r>
      <w:r>
        <w:rPr>
          <w:rFonts w:ascii="Nirmala UI" w:hAnsi="Nirmala UI" w:eastAsia="Nirmala UI" w:cs="Nirmala UI"/>
        </w:rPr>
        <w:t>യെരൂശലേമിലേക്കു</w:t>
      </w:r>
      <w:r>
        <w:rPr>
          <w:rFonts w:ascii="Times New Roman" w:hAnsi="Times New Roman" w:eastAsia="Times New Roman" w:cs="Times New Roman"/>
        </w:rPr>
        <w:t xml:space="preserve"> </w:t>
      </w:r>
      <w:r>
        <w:rPr>
          <w:rFonts w:ascii="Nirmala UI" w:hAnsi="Nirmala UI" w:eastAsia="Nirmala UI" w:cs="Nirmala UI"/>
        </w:rPr>
        <w:t>പരിവർത്തിതമായിരുന്നു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Car Agar est le mont Sinaï en Arabie, et elle correspond à la Jérusalem actuelle, qui est dans la servitude avec ses enfants. Mais la Jérusalem d’en haut est libre, et c’est elle qui est la mère de nous tous. Galates 4:25, 26.</w:t>
      </w:r>
    </w:p>
    <w:p>
      <w:pPr>
        <w:pStyle w:val="ArticleBody"/>
        <w:jc w:val="left"/>
      </w:pPr>
      <w:r>
        <w:rPr>
          <w:rFonts w:ascii="Times New Roman" w:hAnsi="Times New Roman" w:eastAsia="Times New Roman" w:cs="Times New Roman"/>
        </w:rPr>
        <w:t>Na sura ya pili ya 2 Wathesalonike, ambayo tumekuwa tukiiangalia, Paulo alitambulisha kwamba Rumi ya kipagani ya halisi ilikuwa ndiyo mamlaka iliyozuia Rumi ya kipapa ya kiroho isipande kwenye kiti cha enzi hadi mwaka 538. Katika sura hiyo anatambulisha kwamba “mtu wa dhambi” anayeketi katika hekalu la Mungu alikuwa ndiye “mfalme” yuleyule ambaye Danieli alimtambulisha katika sura ya kumi na moja, aya ya thelathini na sita. Uthibitisho kwamba “mfalme wa kaskazini” katika aya sita za mwisho za Danieli kumi na moja ni upapa ukawa ufunguo wa kuweka msingi wa mfumo wa kweli uliotumiwa na Future for America kutokana na kuongezeka kwa maarifa mwaka 1989.</w:t>
      </w:r>
    </w:p>
    <w:p>
      <w:pPr>
        <w:pStyle w:val="ArticleBody"/>
        <w:jc w:val="left"/>
      </w:pPr>
      <w:r>
        <w:rPr>
          <w:rFonts w:ascii="Times New Roman" w:hAnsi="Times New Roman" w:eastAsia="Times New Roman" w:cs="Times New Roman"/>
        </w:rPr>
        <w:t>Nasɛnkandɛ no ara mu, Paul kyerɛɛ sɛ abosonsomfoɔ Roma na na ɛsiw papacy no sɔreɛ ano kɔsi berɛ a wɔbɛyi abosonsomfoɔ Roma afiri hɔ; enti ɔdaa no adi sɛ “daa daa afɔrebɔ” a ɛwɔ Daniel nwoma no mu no gyina hɔ ma abosonsomfoɔ Roma. Saa nokorɛ no bɛyɛɛ safoa ankasa a wɔde hyehyɛɛ nokorɛ nhyehyɛeɛ no, a ɛmaa nimdeɛ no dɔɔso wɔ 1798 mu.</w:t>
      </w:r>
    </w:p>
    <w:p>
      <w:pPr>
        <w:pStyle w:val="ArticleBody"/>
        <w:jc w:val="left"/>
      </w:pPr>
      <w:r>
        <w:rPr>
          <w:rFonts w:ascii="Times New Roman" w:hAnsi="Times New Roman" w:eastAsia="Times New Roman" w:cs="Times New Roman"/>
        </w:rPr>
        <w:t>Katika historia ya William Miller, ujumbe ulitangazwa wakati ambapo mpito kutoka katika vuguvugu la Filadelfia kwenda katika vuguvugu la Laodikia ulikuwa unapaswa kutukia. Katika historia ya Future for America, mpito kutoka katika vuguvugu la Laodikia kwenda katika vuguvugu la Filadelfia sasa unatukia.</w:t>
      </w:r>
    </w:p>
    <w:p>
      <w:pPr>
        <w:pStyle w:val="ArticleBody"/>
        <w:jc w:val="left"/>
      </w:pPr>
      <w:r>
        <w:rPr>
          <w:rFonts w:ascii="Times New Roman" w:hAnsi="Times New Roman" w:eastAsia="Times New Roman" w:cs="Times New Roman"/>
        </w:rPr>
        <w:t>Ko e moʻoni naʻe fokotuʻu ʻe Paula ʻi he 2 Tesalonaika, ʻa ia naʻe fakahaaʻi ai ʻa e liliu mei he Loma fakapekani moʻoni ki he Loma fakapāpele fakalaumālie, naʻe hoko ia ko e makatuʻunga ki he mahino fakaepalōfita ʻa Miller. Naʻe fokotuʻu hake fakatouʻosi ʻa Sione ko e Papitaiso mo Paula ke fakamatalaʻi ʻa e liliu mei he moʻoni ki he fakalaumālie. Naʻe fakaʻilongaʻi ʻa William Miller ʻe Sione ko e Papitaiso, pea ʻi heʻene ngāué naʻe mahuʻinga lahi ke ne ʻiloʻi ʻa e vā mo e liliu ʻo e Loma fakapekani mo e Loma fakapāpele, ʻa e liliu naʻe fokotuʻu hake ai ʻa Sione ke ne fakahaaʻi.</w:t>
      </w:r>
    </w:p>
    <w:p>
      <w:pPr>
        <w:pStyle w:val="ArticleBody"/>
        <w:jc w:val="left"/>
      </w:pPr>
      <w:r>
        <w:rPr>
          <w:rFonts w:ascii="Times New Roman" w:hAnsi="Times New Roman" w:eastAsia="Times New Roman" w:cs="Times New Roman"/>
        </w:rPr>
        <w:t>Boekeni ya Daniele ezali na batángi mitano ya “ya mokolo na mokolo,” mpe ntango nyonso yango ezalaka liboso ya elembo ya bokonzi ya bopápa. Na kati ya mokili oyo ya mbongwana ya esakweli oyo tozali kotalela, batángi nyonso mitano esangisi mbongwana longwa na Roma ya solosolo kino na Roma ya molimo. “Ya mokolo na mokolo” na buku ya Daniele ezali moko ya bosolo oyo emonisamaki likoló ya bamesa mibale ya Habakuke, mpe yango wana ezali bosolo ya moboko oyo esengelaki kobatelama; bosolo oyo na nsuka ekokangama na mabanga ya motuya mpe mbongo ya lokuta mpe ya bokosi. Ezali likambo ya kokamwa te ete bosolo nyonso oyo emonisamaki likoló ya bakarte mibale mosantu ezali na bondimisi ya polele oyo epemami na kati ya mikanda ya Ellen White. Koboya moko nyonso ya bosolo ya moboko (bakisa mpe “ya mokolo na mokolo”), ezali na ntango moko mpe koboya bokonzi ya Molimo ya Esakweli.</w:t>
      </w:r>
    </w:p>
    <w:p>
      <w:pPr>
        <w:pStyle w:val="ArticleScripture"/>
        <w:jc w:val="left"/>
      </w:pPr>
      <w:r>
        <w:rPr>
          <w:rFonts w:ascii="Times New Roman" w:hAnsi="Times New Roman" w:eastAsia="Times New Roman" w:cs="Times New Roman"/>
        </w:rPr>
        <w:t>«Puis je vis, au sujet du “Perpétuel”, que le mot “sacrifice” avait été ajouté par la sagesse humaine, et qu’il n’appartient pas au texte ; et que le Seigneur en donna la juste compréhension à ceux qui proclamèrent le message de l’heure du jugement. Lorsque l’union existait, avant 1844, presque tous étaient unis dans la juste compréhension du “Perpétuel” ; mais depuis 1844, dans la confusion, d’autres vues ont été adoptées, et les ténèbres et la confusion en ont résulté.» Review and Herald, 1er novembre 1850.</w:t>
      </w:r>
    </w:p>
    <w:p>
      <w:pPr>
        <w:pStyle w:val="ArticleBody"/>
        <w:jc w:val="left"/>
      </w:pPr>
      <w:r>
        <w:rPr>
          <w:rFonts w:ascii="Times New Roman" w:hAnsi="Times New Roman" w:eastAsia="Times New Roman" w:cs="Times New Roman"/>
        </w:rPr>
        <w:t>Aqueles “que proclamaram o clamor da hora do juízo” compreendiam “o contínuo” como um símbolo do paganismo, e/ou da Roma pagã. Sua compreensão incluía o fato de reconhecerem que a palavra “sacrifício” não pertencia à passagem em Daniel, onde fora acrescentada pelos tradutores (por sabedoria humana) da Bíblia King James. A compreensão dos pioneiros também incluía que “o contínuo” era sempre apresentado em ligação com um dos dois símbolos do poder papal, e que o paganismo (“o contínuo”) sempre precedia o símbolo papal. Eles eram sempre identificados na sequência em que surgiam na história profética. Os livros de Daniel e Apocalipse nunca se desviam da sequência histórica de o paganismo preceder o papalismo, e, quando o livro de Apocalipse introduz o terceiro poder desolador do falso profeta, essa sequência é sempre mantida.</w:t>
      </w:r>
    </w:p>
    <w:p>
      <w:pPr>
        <w:pStyle w:val="ArticleBody"/>
        <w:jc w:val="left"/>
      </w:pPr>
      <w:r>
        <w:rPr>
          <w:rFonts w:ascii="Times New Roman" w:hAnsi="Times New Roman" w:eastAsia="Times New Roman" w:cs="Times New Roman"/>
        </w:rPr>
        <w:t>Bi moolom yi Pɔl jàngale ne mbir yu sax ci waxi yonent yi soppeekuñu jëm ci mbir yu ruu yi ci jamono banbuuru kurwaaŋ, am na jafe-jafe ci waxu Kirist bi mu yëglee yàqug Yerusalem, wi nekk ci xibaar yu baax yépp, ludul ci Yowaana. Ñaari màndarga yu baamtu gi te jëfandikoo ak “bës bu nekk” ci téereb Daniyeel mooy xërëmug yàqub ak tooñug yàqub. Ñaari màndarga yooyu diir nañu màndargag rab wi (xërëm gi) ak nataalug rab wi (tooñ gi).</w:t>
      </w:r>
    </w:p>
    <w:p>
      <w:pPr>
        <w:pStyle w:val="ArticleBody"/>
        <w:jc w:val="left"/>
      </w:pPr>
      <w:r>
        <w:rPr>
          <w:rFonts w:ascii="Times New Roman" w:hAnsi="Times New Roman" w:eastAsia="Times New Roman" w:cs="Times New Roman"/>
        </w:rPr>
        <w:t>De oertreding dy’t it pausdom tastiet om dejingen dy’t it as ketters beskôget te deadzjen, is de ferbining fan tsjerke en steat, mei de tsjerke yn behearsking fan dy ferhâlding. Dêrom stelt Daniël de ferbining fan tsjerke en steat, dy’t it byld fan it pauslike bist is, foar as de oertrêding fan ’e ferwoasting. De Bibel wiist ôfgoaderij oan as in grouwel, en al de ôfgoaderij fan ’e pauslike macht wurdt fertsjintwurdige troch har ôfgoadyske sabbat, dy’t Johannes it teken fan it bist neamt, en Daniël de grouwel dy’t ferwoasting bringt.</w:t>
      </w:r>
    </w:p>
    <w:p>
      <w:pPr>
        <w:pStyle w:val="ArticleScripture"/>
        <w:jc w:val="left"/>
      </w:pPr>
      <w:r>
        <w:rPr>
          <w:rFonts w:ascii="Times New Roman" w:hAnsi="Times New Roman" w:eastAsia="Times New Roman" w:cs="Times New Roman"/>
        </w:rPr>
        <w:t>E d’fra uno di quelli uscì un piccolo corno, che divenne grandissimo verso il mezzogiorno, verso l’oriente e verso il paese splendido. E si ingrandì fino a raggiungere l’esercito del cielo; e fece cadere a terra parte di quell’esercito e delle stelle, e le calpestò. Sì, si innalzò perfino fino al principe dell’esercito; per opera sua fu tolto il sacrificio quotidiano, e il luogo del suo santuario fu abbattuto. E gli fu dato un esercito contro il sacrificio quotidiano a motivo della trasgressione, ed esso gettò la verità a terra; agì e prosperò. Daniele 8:9–12.</w:t>
      </w:r>
    </w:p>
    <w:p>
      <w:pPr>
        <w:pStyle w:val="ArticleBody"/>
        <w:jc w:val="left"/>
      </w:pPr>
      <w:r>
        <w:rPr>
          <w:rFonts w:ascii="Times New Roman" w:hAnsi="Times New Roman" w:eastAsia="Times New Roman" w:cs="Times New Roman"/>
        </w:rPr>
        <w:t>Nous traiterons ces versets plus en détail dans un autre article, mais, au verset onze, la puissance qui s’éleva jusqu’à se magnifier contre le Christ était la Rome païenne, lorsqu’elle tenta de le faire mourir à sa naissance, puis y parvint finalement à la croix. Le verset déclare que « par lui » (la Rome païenne), « le continuel fut ôté ». Le mot hébreu traduit par « ôté » est « rum », et il signifie « élever et exalter ». La Rome païenne devait élever et exalter la religion du paganisme, et c’est précisément ce qu’elle fit dans l’histoire. C’est pourquoi on l’appelle la Rome « païenne ».</w:t>
      </w:r>
    </w:p>
    <w:p>
      <w:pPr>
        <w:pStyle w:val="ArticleBody"/>
        <w:jc w:val="left"/>
      </w:pPr>
      <w:r>
        <w:rPr>
          <w:rFonts w:ascii="Times New Roman" w:hAnsi="Times New Roman" w:eastAsia="Times New Roman" w:cs="Times New Roman"/>
        </w:rPr>
        <w:t>شعر بعدی تصریح می‌کند که به روم پاپی «لشکری» (قدرتی نظامی) داده شد که بر ضدِ «قربانیِ دائمی» بود، یا می‌بایست بر آن غلبه کند؛ یعنی بر «دائمی» (بت‌پرستی). این نیز حقیقتی تاریخی است، زیرا برای غلبه بر مانعی که بر سر راه عروج او به قدرت نهاده شده بود، از قدرت نظامی به‌وسیلهٔ پاپیّت استفاده شد (هرچند او هرگز سپاهِ خاصِ خود را نداشته است). آن قدرت از رومِ بت‌پرست سرچشمه گرفت. قدرت نظامی‌ای که او به کار گرفت، از طریق «تعدّی» به وی داده شد؛ زیرا تعدّی‌ای که به او اجازه داد لشکرهای پادشاهانی را که در سال 538 او را بر تخت نشاندند، تحت کنترل خود درآورد، همان تعدّیِ پیوند کلیسا و دولت بود. نخست، در آیهٔ یازدهم، رومِ بت‌پرست مورد خطاب قرار می‌گیرد و به محققِ متن اعلام می‌شود که رومِ بت‌پرست در برابر مسیح برخواهد خاست و دینِ بت‌پرستی را سرافراز خواهد ساخت.</w:t>
      </w:r>
    </w:p>
    <w:p>
      <w:pPr>
        <w:pStyle w:val="ArticleBody"/>
        <w:jc w:val="left"/>
      </w:pPr>
      <w:r>
        <w:rPr>
          <w:rFonts w:ascii="Times New Roman" w:hAnsi="Times New Roman" w:eastAsia="Times New Roman" w:cs="Times New Roman"/>
        </w:rPr>
        <w:t>Versul următor descrie fărădelegea unirii dintre biserică și stat care a îngăduit papalității să biruie și să înlăture piedica pe care Roma păgână o exercitase împotriva ei. Istoria susține aplicarea ambelor versete. „Necurmatul” reprezintă fie Roma păgână, puterea care s-a ridicat împotriva lui Hristos, fie religia păgânismului care a fost înălțată de Roma păgână. Simbolul „necurmatului” este apoi urmat de papalitate, întrucât el identifică fărădelegea unirii dintre biserică și stat, care este tocmai ceea ce împuternicește papalitatea cu o oaste pentru a-și face lucrarea murdară. A treia folosire de către Daniel a expresiei „necurmatul” este întrebarea care produce răspunsul ce constituie stâlpul central al adventismului.</w:t>
      </w:r>
    </w:p>
    <w:p>
      <w:pPr>
        <w:pStyle w:val="ArticleScripture"/>
        <w:jc w:val="left"/>
      </w:pPr>
      <w:r>
        <w:rPr>
          <w:rFonts w:ascii="Times New Roman" w:hAnsi="Times New Roman" w:eastAsia="Times New Roman" w:cs="Times New Roman"/>
        </w:rPr>
        <w:t>Alors j’entendis un saint qui parlait; et un autre saint dit à ce saint qui parlait: Jusques à quand durera la vision concernant le sacrifice perpétuel et la transgression dévastatrice, qui livre à la fois le sanctuaire et l’armée pour être foulés aux pieds? Daniel 8:13.</w:t>
      </w:r>
    </w:p>
    <w:p>
      <w:pPr>
        <w:pStyle w:val="ArticleBody"/>
        <w:jc w:val="left"/>
      </w:pPr>
      <w:r>
        <w:rPr>
          <w:rFonts w:ascii="Times New Roman" w:hAnsi="Times New Roman" w:eastAsia="Times New Roman" w:cs="Times New Roman"/>
        </w:rPr>
        <w:t>Trong câu này, câu hỏi được nêu ra là khải tượng sẽ kéo dài bao lâu; như vậy, điều được đòi hỏi là một câu trả lời biểu thị khoảng thời gian, chứ không phải một thời điểm. Câu hỏi không phải là vào ngày nào khải tượng sẽ được ứng nghiệm, mà là thời lượng của khải tượng là bao lâu. Câu này không hỏi “Khi nào?”, mà hỏi, “Bao lâu?” Khải tượng nói về các quyền lực tàn phá của ngoại giáo, được biểu tượng là “của lễ hằng ngày,” và giáo quyền La Mã, như được biểu tượng bởi sự vi phạm của ngôi giáo hoàng, điều được hoàn tất khi nó phạm tội tà dâm với các vua trên đất. Hai quyền lực tàn phá ấy—ngoại giáo, tiếp theo là giáo quyền La Mã—đã được định để giày đạp đền thánh và đạo binh trong một thời kỳ “bảy kỳ.”</w:t>
      </w:r>
    </w:p>
    <w:p>
      <w:pPr>
        <w:pStyle w:val="ArticleBody"/>
        <w:jc w:val="left"/>
      </w:pPr>
      <w:r>
        <w:rPr>
          <w:rFonts w:ascii="Nirmala UI" w:hAnsi="Nirmala UI" w:eastAsia="Nirmala UI" w:cs="Nirmala UI"/>
        </w:rPr>
        <w:t>ਯਹ</w:t>
      </w:r>
      <w:r>
        <w:rPr>
          <w:rFonts w:ascii="Times New Roman" w:hAnsi="Times New Roman" w:eastAsia="Times New Roman" w:cs="Times New Roman"/>
        </w:rPr>
        <w:t xml:space="preserve"> </w:t>
      </w:r>
      <w:r>
        <w:rPr>
          <w:rFonts w:ascii="Nirmala UI" w:hAnsi="Nirmala UI" w:eastAsia="Nirmala UI" w:cs="Nirmala UI"/>
        </w:rPr>
        <w:t>ਪਛਾਣਨਾ</w:t>
      </w:r>
      <w:r>
        <w:rPr>
          <w:rFonts w:ascii="Times New Roman" w:hAnsi="Times New Roman" w:eastAsia="Times New Roman" w:cs="Times New Roman"/>
        </w:rPr>
        <w:t xml:space="preserve"> </w:t>
      </w:r>
      <w:r>
        <w:rPr>
          <w:rFonts w:ascii="Nirmala UI" w:hAnsi="Nirmala UI" w:eastAsia="Nirmala UI" w:cs="Nirmala UI"/>
        </w:rPr>
        <w:t>ਮਹੱਤਵਪੂਰਨ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ਸ਼ਾਬਦਿਕ</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ਸਥਾਨ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ਰੌੰਦ</w:t>
      </w:r>
      <w:r>
        <w:rPr>
          <w:rFonts w:ascii="Times New Roman" w:hAnsi="Times New Roman" w:eastAsia="Times New Roman" w:cs="Times New Roman"/>
        </w:rPr>
        <w:t>-</w:t>
      </w:r>
      <w:r>
        <w:rPr>
          <w:rFonts w:ascii="Nirmala UI" w:hAnsi="Nirmala UI" w:eastAsia="Nirmala UI" w:cs="Nirmala UI"/>
        </w:rPr>
        <w:t>ਫਿਰਾਉ</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70 </w:t>
      </w:r>
      <w:r>
        <w:rPr>
          <w:rFonts w:ascii="Nirmala UI" w:hAnsi="Nirmala UI" w:eastAsia="Nirmala UI" w:cs="Nirmala UI"/>
        </w:rPr>
        <w:t>ਈਸਵੀ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ਅਧਾਰਮੀ</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ਵਿਨਾਸ਼</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ਅਧਾਰਮੀ</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ਬਹੁਵਚਨ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ਸ਼ਾਬਦਿਕ</w:t>
      </w:r>
      <w:r>
        <w:rPr>
          <w:rFonts w:ascii="Times New Roman" w:hAnsi="Times New Roman" w:eastAsia="Times New Roman" w:cs="Times New Roman"/>
        </w:rPr>
        <w:t xml:space="preserve"> </w:t>
      </w:r>
      <w:r>
        <w:rPr>
          <w:rFonts w:ascii="Nirmala UI" w:hAnsi="Nirmala UI" w:eastAsia="Nirmala UI" w:cs="Nirmala UI"/>
        </w:rPr>
        <w:t>ਅਧਾਰਮਿਕਤਾ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ਸ਼ਾਬਦਿਕ</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ਸਥਾਨ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ਸ਼ਾਬਦਿਕ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ਰੌਂਦਿਆ।</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ਰੌਂਦਿਆ।</w:t>
      </w:r>
    </w:p>
    <w:p>
      <w:pPr>
        <w:pStyle w:val="ArticleScripture"/>
        <w:jc w:val="left"/>
      </w:pP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आंगन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बयालीस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ओढ़े</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11:2, 3</w:t>
      </w:r>
    </w:p>
    <w:p>
      <w:pPr>
        <w:pStyle w:val="ArticleBody"/>
        <w:jc w:val="left"/>
      </w:pPr>
      <w:r>
        <w:rPr>
          <w:rFonts w:ascii="Times New Roman" w:hAnsi="Times New Roman" w:eastAsia="Times New Roman" w:cs="Times New Roman"/>
        </w:rPr>
        <w:t>Jean-Baptiste était un prophète de liaison qui identifia le changement de dispensation du sanctuaire terrestre au sanctuaire céleste, sans connaître toute la plénitude de son œuvre. Paul était un prophète de liaison qui identifia le changement de dispensation d’Israël littéral (l’armée) à Israël spirituel. La Jérusalem qui fut foulée aux pieds pendant quarante-deux mois était la Jérusalem spirituelle.</w:t>
      </w:r>
    </w:p>
    <w:p>
      <w:pPr>
        <w:pStyle w:val="ArticleScripture"/>
        <w:jc w:val="left"/>
      </w:pPr>
      <w:r>
        <w:rPr>
          <w:rFonts w:ascii="Times New Roman" w:hAnsi="Times New Roman" w:eastAsia="Times New Roman" w:cs="Times New Roman"/>
        </w:rPr>
        <w:t>“Les périodes ici mentionnées — « quarante-deux mois » et « mille deux cent soixante jours » — sont identiques, représentant pareillement le temps durant lequel l’Église du Christ devait subir l’oppression de Rome. Les 1260 années de suprématie papale commencèrent en 538 apr. J.-C. et devaient, par conséquent, prendre fin en 1798. À cette époque, une armée française entra dans Rome et fit du pape un prisonnier, et il mourut en exil. Bien qu’un nouveau pape ait été élu peu après, la hiérarchie papale n’a jamais depuis été en mesure d’exercer la puissance qu’elle possédait auparavant. » The Great Controversy, 266.</w:t>
      </w:r>
    </w:p>
    <w:p>
      <w:pPr>
        <w:pStyle w:val="ArticleBody"/>
        <w:jc w:val="left"/>
      </w:pPr>
      <w:r>
        <w:rPr>
          <w:rFonts w:ascii="Times New Roman" w:hAnsi="Times New Roman" w:eastAsia="Times New Roman" w:cs="Times New Roman"/>
        </w:rPr>
        <w:t>Paul alifafanua kwamba katika kipindi cha mpito kilichotukia katika historia ya msalaba, Yerusalemu wa kiroho, “ulio juu,” ukawa mji ambao Mungu alichagua kuliweka jina lake, na Yerusalemu halisi ukaacha kuwa Yerusalemu wa unabii wa Biblia.</w:t>
      </w:r>
    </w:p>
    <w:p>
      <w:pPr>
        <w:pStyle w:val="ArticleScripture"/>
        <w:jc w:val="left"/>
      </w:pPr>
      <w:r>
        <w:rPr>
          <w:rFonts w:ascii="Times New Roman" w:hAnsi="Times New Roman" w:eastAsia="Times New Roman" w:cs="Times New Roman"/>
        </w:rPr>
        <w:t>Kuyit Agar i khuṡtlang Sinai i Arabia, bad ka iadei bad ka Jerusalem kaba mynta, bad ka long ha ka jinglong mraw lem bad ki khun jong ka. Hynrei ka Jerusalem kaba na jrong ka laitluid, kaba long ka kmie jong ngi baroh. Galatia 4:25, 26.</w:t>
      </w:r>
    </w:p>
    <w:p>
      <w:pPr>
        <w:pStyle w:val="ArticleBody"/>
        <w:jc w:val="left"/>
      </w:pPr>
      <w:r>
        <w:rPr>
          <w:rFonts w:ascii="Times New Roman" w:hAnsi="Times New Roman" w:eastAsia="Times New Roman" w:cs="Times New Roman"/>
        </w:rPr>
        <w:t>Cette vérité est essentielle à comprendre correctement, et la fausse application de la Jérusalem littérale comme symbole de la prophétie biblique fait partie de la tromperie élaborée par les Jésuites pour saper la vérité selon laquelle le pape de Rome est l’antichrist. Ce faux enseignement engendre, au sein du protestantisme apostat, une croyance qui les conduit à considérer à tort la nation juive moderne d’Israël comme un symbole prophétique. La Jérusalem littérale a cessé d’être la Jérusalem de Dieu au temps de la croix.</w:t>
      </w:r>
    </w:p>
    <w:p>
      <w:pPr>
        <w:pStyle w:val="ArticleScripture"/>
        <w:jc w:val="left"/>
      </w:pPr>
      <w:r>
        <w:rPr>
          <w:rFonts w:ascii="Times New Roman" w:hAnsi="Times New Roman" w:eastAsia="Times New Roman" w:cs="Times New Roman"/>
        </w:rPr>
        <w:t>“Bajta Yerusaalem hundee iddoo qulqulluu miti. Sababiin isaa Kiristoosin diduu fi fannifamuusaatiin abaarsi Waaqayyoo ishee irra jira. Xurii adaa badii ishee irra boqotee jira; ibidda qulqulleessu samii irraa dhufuun hamma isheen qulqulleeffamtutti deebi’ees iddoo qulqulluu hin taatu. Yeroo lafti cubbuun abaaramte kun xurii cubbuu hundumaa irraa qulqulleeffamtu, Kiristoos ammas Tulluu Ejersa irratti ni dhaabata. Miilli Isaa yommuu isa tuqu, inni lamatti ni baqaqa, dirree guddaa ta’ee magaalatti Waaqayyoof qophaa’e ni ta’a.” Review and Herald, July 30, 1901.</w:t>
      </w:r>
    </w:p>
    <w:p>
      <w:pPr>
        <w:pStyle w:val="ArticleBody"/>
        <w:jc w:val="left"/>
      </w:pPr>
      <w:r>
        <w:rPr>
          <w:rFonts w:ascii="Times New Roman" w:hAnsi="Times New Roman" w:eastAsia="Times New Roman" w:cs="Times New Roman"/>
        </w:rPr>
        <w:t>Kubaluleka kokwahlukanisa phakathi kweYerusalem engokoqobo neYerusalem yokomoya kuya kuqwalaselwa xa sihlola isiprofeto sikaKristu esingokuphela kwehlabathi. Okwesine uDaniyeli achonge “iminikelo yemihla ngemihla,” kusekwisahluko seshumi elinanye.</w:t>
      </w:r>
    </w:p>
    <w:p>
      <w:pPr>
        <w:pStyle w:val="ArticleScripture"/>
        <w:jc w:val="left"/>
      </w:pPr>
      <w:r>
        <w:rPr>
          <w:rFonts w:ascii="Times New Roman" w:hAnsi="Times New Roman" w:eastAsia="Times New Roman" w:cs="Times New Roman"/>
        </w:rPr>
        <w:t>Et des forces se tiendront de sa part, elles profaneront le sanctuaire de la forteresse, elles ôteront le sacrifice perpétuel, et elles établiront l’abomination qui cause la désolation. Daniel 11:31.</w:t>
      </w:r>
    </w:p>
    <w:p>
      <w:pPr>
        <w:pStyle w:val="ArticleBody"/>
        <w:jc w:val="left"/>
      </w:pPr>
      <w:r>
        <w:rPr>
          <w:rFonts w:ascii="Times New Roman" w:hAnsi="Times New Roman" w:eastAsia="Times New Roman" w:cs="Times New Roman"/>
        </w:rPr>
        <w:t>Ce verset désigne l’œuvre de la Rome païenne dans l’établissement de la papauté sur le trône de la terre en l’an 538. Les « bras » représentent la force militaire de la Rome païenne qui se leva en faveur de la papauté à partir de Clovis, roi des Francs, en l’an 496. Divers rois européens œuvrèrent à l’établissement de la papauté après Clovis, mais le verset désigne quatre choses que les rois européens (les bras) firent pour la papauté, une fois qu’ils eurent transgressé en formant une alliance de l’Église et de l’État avec la prostituée de Tyr.</w:t>
      </w:r>
    </w:p>
    <w:p>
      <w:pPr>
        <w:pStyle w:val="ArticleBody"/>
        <w:jc w:val="left"/>
      </w:pPr>
      <w:r>
        <w:rPr>
          <w:rFonts w:ascii="Times New Roman" w:hAnsi="Times New Roman" w:eastAsia="Times New Roman" w:cs="Times New Roman"/>
        </w:rPr>
        <w:t>Nadat walipoisimamia upapa, “waliutia unajisi” au kuharibu mji wa Roma, uliokuwa ishara ya nguvu ya Roma ya kipagani na ya kipapa. Unajisi wa aya hiyo ulitekelezwa mara kwa mara katika miaka yote, mji wa Roma ulipowekwa chini ya mashambulizi ya kijeshi ya daima. Wafalme hao wa Ulaya (mikono) pia “wangeondoa sadaka ya daima.” Neno la Kiebrania lililotafsiriwa kuwa “kuondoa” katika aya hii si “rum,” kama lilivyokuwa katika sura ya nane. Katika aya hii, neno lililotafsiriwa kuwa “kuondoa” ni “sur,” nalo humaanisha kuondoa. Mikono ya wafalme wa Ulaya ingeondoa upinzani wa kipagani dhidi ya kuinuka kwa upapa katika mwaka 508. Kisha katika mwaka 538, mikono hiyo ingeliweka upapa juu ya kiti cha enzi cha dunia. Halafu katika Baraza la Orléans, katika mwaka huo huo, upapa ulitekeleza sheria ya Jumapili.</w:t>
      </w:r>
    </w:p>
    <w:p>
      <w:pPr>
        <w:pStyle w:val="ArticleBody"/>
        <w:jc w:val="left"/>
      </w:pPr>
      <w:r>
        <w:rPr>
          <w:rFonts w:ascii="Times New Roman" w:hAnsi="Times New Roman" w:eastAsia="Times New Roman" w:cs="Times New Roman"/>
        </w:rPr>
        <w:t>Le dimanche comme jour d’adoration est ce que Sœur White appelle le sabbat « idole », et l’idolâtrie est la définition biblique parfaite du mot « abomination ». En l’an 538, les bras de la Rome païenne placèrent l’abomination qui cause la désolation.</w:t>
      </w:r>
    </w:p>
    <w:p>
      <w:pPr>
        <w:pStyle w:val="ArticleScripture"/>
        <w:jc w:val="left"/>
      </w:pPr>
      <w:r>
        <w:rPr>
          <w:rFonts w:ascii="Times New Roman" w:hAnsi="Times New Roman" w:eastAsia="Times New Roman" w:cs="Times New Roman"/>
        </w:rPr>
        <w:t>« Tous ceux qui exalteront et adoreront le sabbat idolâtre, un jour que Dieu n’a pas béni, prêtent au diable et à ses anges tout le pouvoir de la capacité que Dieu leur a donnée, pouvoir qu’ils ont perverti pour en faire un usage mauvais. Inspirés par un autre esprit, qui aveugle leur discernement, ils ne peuvent voir que l’exaltation du dimanche est entièrement une institution de l’Église catholique. » Selected Messages, livre 3, 423.</w:t>
      </w:r>
    </w:p>
    <w:p>
      <w:pPr>
        <w:pStyle w:val="ArticleBody"/>
        <w:jc w:val="left"/>
      </w:pPr>
      <w:r>
        <w:rPr>
          <w:rFonts w:ascii="Times New Roman" w:hAnsi="Times New Roman" w:eastAsia="Times New Roman" w:cs="Times New Roman"/>
        </w:rPr>
        <w:t>Porofesi ne abakasa byombi ishyirwa mu bikorwa tumaze kugaragaza ry’umurongo wa mirongo itatu n’umwe. Iyo tuvuga ko ubuhanuzi bushyigikira iri shyirwa mu bikorwa, tuba dushaka kuvuga ko hari ubundi buhanuzi buvuga kuri ayo makuru nyene, nubwo tutabwinjiza muri iki kiganiro muri iki gihe. Ijambo rya gatanu kandi rya nyuma Daniyeli akoresha rivuga “ibya buri munsi,” riboneka mu gice cya cumi na kabiri.</w:t>
      </w:r>
    </w:p>
    <w:p>
      <w:pPr>
        <w:pStyle w:val="ArticleScripture"/>
        <w:jc w:val="left"/>
      </w:pPr>
      <w:r>
        <w:rPr>
          <w:rFonts w:ascii="Times New Roman" w:hAnsi="Times New Roman" w:eastAsia="Times New Roman" w:cs="Times New Roman"/>
        </w:rPr>
        <w:t>Na tangu wakati ambapo sadaka ya kila siku itaondolewa, na chukizo lifanyalo ukiwa kusimamishwa, kutakuwa na siku elfu moja mia mbili na tisini. Heri yeye angojeaye, na kufika hata siku elfu moja mia tatu na thelathini na tano. Danieli 12:11, 12.</w:t>
      </w:r>
    </w:p>
    <w:p>
      <w:pPr>
        <w:pStyle w:val="ArticleBody"/>
        <w:jc w:val="left"/>
      </w:pPr>
      <w:r>
        <w:rPr>
          <w:rFonts w:ascii="Times New Roman" w:hAnsi="Times New Roman" w:eastAsia="Times New Roman" w:cs="Times New Roman"/>
        </w:rPr>
        <w:t>Esesiprofeto nuk lịch sử nupuih takzet rằng dalam tahun 508, perlawanan terhadap kebangkitan kepausan pada dasarnya berakhir, ketika yang terakhir dari tiga hambatan geografis (bangsa Goth) dicabut, sebagaimana diidentifikasi oleh Daniel pasal tujuh.</w:t>
      </w:r>
    </w:p>
    <w:p>
      <w:pPr>
        <w:pStyle w:val="ArticleScripture"/>
        <w:jc w:val="left"/>
      </w:pPr>
      <w:r>
        <w:rPr>
          <w:rFonts w:ascii="Times New Roman" w:hAnsi="Times New Roman" w:eastAsia="Times New Roman" w:cs="Times New Roman"/>
        </w:rPr>
        <w:t>I niðurskoðaði hornini, og sí, ímillum tey kom upp annað lítið horn, framman undan hvørjum trý av teimum fyrru hornunum vórðu rivin upp við rót; og sí, í hesum horninum vóru eygu sum mannaeygu, og ein munnur, ið talaði stór orð. Daniel 7:8.</w:t>
      </w:r>
    </w:p>
    <w:p>
      <w:pPr>
        <w:pStyle w:val="ArticleBody"/>
        <w:jc w:val="left"/>
      </w:pPr>
      <w:r>
        <w:rPr>
          <w:rFonts w:ascii="Times New Roman" w:hAnsi="Times New Roman" w:eastAsia="Times New Roman" w:cs="Times New Roman"/>
        </w:rPr>
        <w:t>Na tebulo e pedi e kgethwa go bontšhitšwe dinaka tše tharo tšeo di tlošitšwego; gomme ge sa boraro sa mapheko ao a mararo a tikologo se rakilwe motseng wa Roma, ka ngwaga wa 508, go ganetša go tsoga ga maatla a bopapa gwa tlošwa. Go hlomiwa mo go bolelwago ka gona temaneng ya lesome le motšo o tee go emela mengwaga ye masome a mararo magareng ga 508 le 538. Go šupa mengwaga ye masome a mararo yeo ka yona go lokišetšwa go hloma motho wa sebe tempeleng ya Modimo go phethagaditšwego ka yona.</w:t>
      </w:r>
    </w:p>
    <w:p>
      <w:pPr>
        <w:pStyle w:val="ArticleBody"/>
        <w:jc w:val="left"/>
      </w:pPr>
      <w:r>
        <w:rPr>
          <w:rFonts w:ascii="Times New Roman" w:hAnsi="Times New Roman" w:eastAsia="Times New Roman" w:cs="Times New Roman"/>
        </w:rPr>
        <w:t>Neno lililotafsiriwa kuwa “limeondolewa” pia ni “sur,” lenye maana ya kuondoa, na katika mwaka 508 upinzani dhidi ya kuinuka kwa upapa uliondolewa (ukachukuliwa mbali). Tangu tarehe hiyo, miaka elfu moja mia mbili na tisini hukupeleka hadi 1798, na jeraha la mauti la upapa. Siku elfu moja mia tatu na thelathini na tano hukupeleka hadi katika fadhaa ya kwanza, na mwanzo wa wakati wa kukawia mwishoni kabisa mwa mwaka 1843. Aya hiyo inaahidi baraka kwa wale wanao “fika” katika 1843. Neno “fika” humaanisha kugusa. Siku ya kwanza ya 1844 huashiria fadhaa ya kwanza, lakini siku ya mwisho ya 1843 hugusa dakika ya kwanza ya 1844. Siku ya mwisho ya mwaka hugusa siku ya kwanza ya mwaka unaofuata. Baraka inayohusishwa na tarehe hiyo imethibitishwa na historia na unabii.</w:t>
      </w:r>
    </w:p>
    <w:p>
      <w:pPr>
        <w:pStyle w:val="ArticleBody"/>
        <w:jc w:val="left"/>
      </w:pPr>
      <w:r>
        <w:rPr>
          <w:rFonts w:ascii="Times New Roman" w:hAnsi="Times New Roman" w:eastAsia="Times New Roman" w:cs="Times New Roman"/>
        </w:rPr>
        <w:t>Nous poursuivrons, dans le prochain article, notre examen de la signification du « continuel » en tant que vérité fondamentale.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តាំងពីឆ្នាំ</w:t>
      </w:r>
      <w:r>
        <w:rPr>
          <w:rFonts w:ascii="Times New Roman" w:hAnsi="Times New Roman" w:eastAsia="Times New Roman" w:cs="Times New Roman"/>
        </w:rPr>
        <w:t xml:space="preserve"> 1840–1844 </w:t>
      </w:r>
      <w:r>
        <w:rPr>
          <w:rFonts w:ascii="Leelawadee UI" w:hAnsi="Leelawadee UI" w:eastAsia="Leelawadee UI" w:cs="Leelawadee UI"/>
        </w:rPr>
        <w:t>សារទាំងអស់ដែលបានប្រទានមក</w:t>
      </w:r>
      <w:r>
        <w:rPr>
          <w:rFonts w:ascii="Times New Roman" w:hAnsi="Times New Roman" w:eastAsia="Times New Roman" w:cs="Times New Roman"/>
        </w:rPr>
        <w:t xml:space="preserve"> </w:t>
      </w:r>
      <w:r>
        <w:rPr>
          <w:rFonts w:ascii="Leelawadee UI" w:hAnsi="Leelawadee UI" w:eastAsia="Leelawadee UI" w:cs="Leelawadee UI"/>
        </w:rPr>
        <w:t>ត្រូវតែធ្វើឲ្យមានអំណាចយ៉ាងខ្លាំងនៅពេលនេះ</w:t>
      </w:r>
      <w:r>
        <w:rPr>
          <w:rFonts w:ascii="Times New Roman" w:hAnsi="Times New Roman" w:eastAsia="Times New Roman" w:cs="Times New Roman"/>
        </w:rPr>
        <w:t xml:space="preserve"> </w:t>
      </w:r>
      <w:r>
        <w:rPr>
          <w:rFonts w:ascii="Leelawadee UI" w:hAnsi="Leelawadee UI" w:eastAsia="Leelawadee UI" w:cs="Leelawadee UI"/>
        </w:rPr>
        <w:t>ពីព្រោះមានមនុស្សជាច្រើនបានបាត់បង់ទិសដៅរបស់ខ្លួន។</w:t>
      </w:r>
      <w:r>
        <w:rPr>
          <w:rFonts w:ascii="Times New Roman" w:hAnsi="Times New Roman" w:eastAsia="Times New Roman" w:cs="Times New Roman"/>
        </w:rPr>
        <w:t xml:space="preserve"> </w:t>
      </w:r>
      <w:r>
        <w:rPr>
          <w:rFonts w:ascii="Leelawadee UI" w:hAnsi="Leelawadee UI" w:eastAsia="Leelawadee UI" w:cs="Leelawadee UI"/>
        </w:rPr>
        <w:t>សារទាំងនេះត្រូវទៅដល់ក្រុមជំនុំទាំងអស់។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Le Christ a dit : “Heureux vos yeux, parce qu’ils voient ; et vos oreilles, parce qu’elles entendent. Car je vous le dis en vérité, plusieurs prophètes et justes ont désiré voir les choses que vous voyez, et ne les ont point vues ; et entendre les choses que vous entendez, et ne les ont point entendues” [Matthieu 13:16, 17]. Heureux les yeux qui ont vu les choses qui ont été vues en 1843 et en 1844. »</w:t>
      </w:r>
    </w:p>
    <w:p>
      <w:pPr>
        <w:pStyle w:val="ArticleScripture"/>
        <w:jc w:val="left"/>
      </w:pPr>
      <w:r>
        <w:rPr>
          <w:rFonts w:ascii="Times New Roman" w:hAnsi="Times New Roman" w:eastAsia="Times New Roman" w:cs="Times New Roman"/>
        </w:rPr>
        <w:t>Ndërsa mesazhi u dha. Dhe nuk duhet të ketë asnjë vonesë në përsëritjen e mesazhit, sepse shenjat e kohërave po përmbushen; vepra përmbyllëse duhet të kryhet. Një vepër e madhe do të bëhet për një kohë të shkurtër. Së shpejti, me caktimin e Perëndisë, do të jepet një mesazh që do të zmadhohet në një britmë të fuqishme. Atëherë Danieli do të qëndrojë në pjesën e tij, për të dhënë dëshminë e vet.” Manuscript Releases, vëllimi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Empat Puluh Dua</dc:title>
  <dc:subject>فێلێنێن پەیوەندیدانێن</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