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quarante-trois</w:t>
      </w:r>
    </w:p>
    <w:p>
      <w:pPr>
        <w:pStyle w:val="ArticleSubtitle"/>
        <w:jc w:val="left"/>
      </w:pPr>
      <w:r>
        <w:rPr>
          <w:rFonts w:ascii="Segoe UI" w:hAnsi="Segoe UI" w:eastAsia="Segoe UI" w:cs="Segoe UI"/>
        </w:rPr>
        <w:t>كشف</w:t>
      </w:r>
      <w:r>
        <w:rPr>
          <w:rFonts w:ascii="Arial" w:hAnsi="Arial" w:eastAsia="Arial" w:cs="Arial"/>
        </w:rPr>
        <w:t xml:space="preserve"> </w:t>
      </w:r>
      <w:r>
        <w:rPr>
          <w:rFonts w:ascii="Segoe UI" w:hAnsi="Segoe UI" w:eastAsia="Segoe UI" w:cs="Segoe UI"/>
        </w:rPr>
        <w:t>رمزية</w:t>
      </w:r>
      <w:r>
        <w:rPr>
          <w:rFonts w:ascii="Arial" w:hAnsi="Arial" w:eastAsia="Arial" w:cs="Arial"/>
        </w:rPr>
        <w:t xml:space="preserve"> </w:t>
      </w:r>
      <w:r>
        <w:rPr>
          <w:rFonts w:ascii="Segoe UI" w:hAnsi="Segoe UI" w:eastAsia="Segoe UI" w:cs="Segoe UI"/>
        </w:rPr>
        <w:t>رِجْسَةِ</w:t>
      </w:r>
      <w:r>
        <w:rPr>
          <w:rFonts w:ascii="Arial" w:hAnsi="Arial" w:eastAsia="Arial" w:cs="Arial"/>
        </w:rPr>
        <w:t xml:space="preserve"> </w:t>
      </w:r>
      <w:r>
        <w:rPr>
          <w:rFonts w:ascii="Segoe UI" w:hAnsi="Segoe UI" w:eastAsia="Segoe UI" w:cs="Segoe UI"/>
        </w:rPr>
        <w:t>الْخَرَابِ</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النبوءة</w:t>
      </w:r>
      <w:r>
        <w:rPr>
          <w:rFonts w:ascii="Arial" w:hAnsi="Arial" w:eastAsia="Arial" w:cs="Arial"/>
        </w:rPr>
        <w:t xml:space="preserve"> </w:t>
      </w:r>
      <w:r>
        <w:rPr>
          <w:rFonts w:ascii="Segoe UI" w:hAnsi="Segoe UI" w:eastAsia="Segoe UI" w:cs="Segoe UI"/>
        </w:rPr>
        <w:t>الكتابية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لقد صارَ تحديدُ بولس لروما الوثنية بأنها القوة التي كفَّت البابوية عن الصعود إلى السلطة في سنة 538، الشهادةَ التي أدرك بها وليم ميلر أن «المستمر»، في سفر دانيال، يمثّل الوثنية. وكان الإطار التفسيري لوليم ميلر قائماً على قوتين مُخرِّبتين: الوثنية ثم البابوية. وكان أهمُّ اكتشافٍ توصّل إليه ميلر تأييداً لذلك الإطار هو شهادة بولس في 2 تسالونيكي، الأصحاح الثاني، حيث يبيّن بولس أن الكبحَ الواقع على البابوية، والناشئ عن روما الوثنية، لا بد أن يُرفَع لكي يُوضَع «إنسان الخطية» في هيكل الله، مظهراً نفسه أنه هو الله.</w:t>
      </w:r>
    </w:p>
    <w:p>
      <w:pPr>
        <w:pStyle w:val="ArticleBody"/>
        <w:jc w:val="left"/>
      </w:pPr>
      <w:r>
        <w:rPr>
          <w:rFonts w:ascii="Times New Roman" w:hAnsi="Times New Roman" w:eastAsia="Times New Roman" w:cs="Times New Roman"/>
        </w:rPr>
        <w:t>Ny bokin’i Daniela, ny tandindon’ny “isan’andro” izay maneho ny fanompoan-tsampy dia arahina mandrakariva tandindon’ny fahefana papaly, na aseho ho fandikan-dalàna mahatonga fandravàna izany, na ho fahavetavetana mahatonga fandravàna. Kanefa ao amin’ny fampitandreman’i Kristy ho an’ny Kristianina mikasika ny fahirano sy ny fandravana an’i Jerosalema izay nitranga nandritra ny telo taona sy tapany, hatramin’ny taona 66 ka hatramin’ny 70 taor. J.K., dia nolazain’i Kristy fa “ny fahavetavetan’ny fandravana, izay nolazain’i Daniela mpaminany,” no famantarana ho an’ireo Kristianina tao Jerosalema mba handosirany avy hatrany. Ny tantara dia manamarina fa tsy ny tandindon’i Roma papaly no io famantarana io, fa ny an’i Roma mpanompo sampy. Tokony ho fantatry ny mahatoky io famantarana io, raha tiany ny hisoroka ny fahirano sy ny fandravana. Moa ve “ny fahavetavetan’ny fandravana, izay nolazain’i Daniela mpaminany,” tandindon’i Roma mpanompo sampy, sa an’i Roma papaly?</w:t>
      </w:r>
    </w:p>
    <w:p>
      <w:pPr>
        <w:pStyle w:val="ArticleScripture"/>
        <w:jc w:val="left"/>
      </w:pPr>
      <w:r>
        <w:rPr>
          <w:rFonts w:ascii="Times New Roman" w:hAnsi="Times New Roman" w:eastAsia="Times New Roman" w:cs="Times New Roman"/>
        </w:rPr>
        <w:t>Maka apabila kamu melihat pembinasa keji, yang difirmankan oleh nabi Daniel, berdiri di tempat yang kudus, (barangsiapa membacanya, hendaklah ia mengerti:) maka mereka yang di Yudea harus melarikan diri ke pegunungan: orang yang berada di atas sotoh janganlah turun untuk mengambil sesuatu dari dalam rumahnya: dan orang yang berada di ladang janganlah kembali untuk mengambil pakaiannya. Dan celakalah mereka yang sedang mengandung, dan mereka yang menyusui pada masa itu! Tetapi berdoalah, supaya pelarianmu jangan terjadi pada musim dingin, atau pada hari Sabat: karena pada waktu itu akan terjadi kesusahan besar, seperti yang belum pernah terjadi sejak permulaan dunia sampai sekarang, dan yang sekali-kali tidak akan terjadi lagi. Dan sekiranya masa itu tidak dipersingkat, tidak ada seorang pun yang akan selamat: tetapi oleh karena orang-orang pilihan, masa itu akan dipersingkat. Matius 24:15–22.</w:t>
      </w:r>
    </w:p>
    <w:p>
      <w:pPr>
        <w:pStyle w:val="ArticleBody"/>
        <w:jc w:val="left"/>
      </w:pPr>
      <w:r>
        <w:rPr>
          <w:rFonts w:ascii="Times New Roman" w:hAnsi="Times New Roman" w:eastAsia="Times New Roman" w:cs="Times New Roman"/>
        </w:rPr>
        <w:t>Sister White annote sur la manière dont cet avertissement s’accomplit dans l’histoire de la destruction de Jérusalem de l’an 66 à l’an 70 apr. J.-C., et elle indique que l’étendard, ou l’enseigne de l’armée romaine, était le signe donné aux chrétiens qui se trouvaient encore à Jérusalem pour prendre la fuite. Ainsi, « l’abomination de la désolation, dont a parlé Daniel, le prophète », était-elle la Rome païenne, ou bien la Rome papale, sur laquelle Miller fondait son cadre d’interprétation ?</w:t>
      </w:r>
    </w:p>
    <w:p>
      <w:pPr>
        <w:pStyle w:val="ArticleBody"/>
        <w:jc w:val="left"/>
      </w:pPr>
      <w:r>
        <w:rPr>
          <w:rFonts w:ascii="Times New Roman" w:hAnsi="Times New Roman" w:eastAsia="Times New Roman" w:cs="Times New Roman"/>
        </w:rPr>
        <w:t>William Miller led to understand both manifestations of Rome (pagan followed by papal), but he was compelled by the history in which he lived to treat both kingdoms as one kingdom. And of course, they are one kingdom, but they also represent two successive kingdoms. Compelled by the prophetic history of 1798, Miller had to address Rome as primarily one kingdom. In 1798, Miller believed Christ’s Second Coming was approximately twenty-five years in the future. He knew full well that papal Rome had received a deadly wound in 1798. For Miller, there were no other earthly kingdoms to follow papal Rome, for Christ was about to return.</w:t>
      </w:r>
    </w:p>
    <w:p>
      <w:pPr>
        <w:pStyle w:val="ArticleBody"/>
        <w:jc w:val="left"/>
      </w:pPr>
      <w:r>
        <w:rPr>
          <w:rFonts w:ascii="Times New Roman" w:hAnsi="Times New Roman" w:eastAsia="Times New Roman" w:cs="Times New Roman"/>
        </w:rPr>
        <w:t>Dans le contexte historique où se trouvait Miller, il comprit que la statue du chapitre deux de Daniel représentait quatre royaumes terrestres, car c’était là le témoignage de Daniel.</w:t>
      </w:r>
    </w:p>
    <w:p>
      <w:pPr>
        <w:pStyle w:val="ArticleScripture"/>
        <w:jc w:val="left"/>
      </w:pPr>
      <w:r>
        <w:rPr>
          <w:rFonts w:ascii="Times New Roman" w:hAnsi="Times New Roman" w:eastAsia="Times New Roman" w:cs="Times New Roman"/>
        </w:rPr>
        <w:t>Et le quatrième royaume sera fort comme le fer; car, de même que le fer brise et soumet toutes choses, ainsi, comme le fer qui met en pièces toutes ces choses, il les brisera et les écrasera. Et comme tu as vu les pieds et les orteils, en partie d’argile de potier et en partie de fer, le royaume sera divisé; mais il y aura en lui quelque chose de la force du fer, puisque tu as vu le fer mêlé à l’argile fangeuse. Daniel 2:40, 41.</w:t>
      </w:r>
    </w:p>
    <w:p>
      <w:pPr>
        <w:pStyle w:val="ArticleBody"/>
        <w:jc w:val="left"/>
      </w:pPr>
      <w:r>
        <w:rPr>
          <w:rFonts w:ascii="Times New Roman" w:hAnsi="Times New Roman" w:eastAsia="Times New Roman" w:cs="Times New Roman"/>
        </w:rPr>
        <w:t>Miller comprenait qu’il n’y avait que quatre royaumes, et que le quatrième et dernier royaume était Rome, dont il savait par l’histoire qu’elle était d’abord la Rome païenne, puis la Rome papale. Pour Miller, le quatrième royaume, conformément à la parole de Daniel, était « divisé », mais, pour lui, cette division ne représentait qu’une distinction entre les aspects littéral et spirituel du royaume de Rome. Il avait raison, mais sa compréhension était limitée.</w:t>
      </w:r>
    </w:p>
    <w:p>
      <w:pPr>
        <w:pStyle w:val="ArticleBody"/>
        <w:jc w:val="left"/>
      </w:pPr>
      <w:r>
        <w:rPr>
          <w:rFonts w:ascii="Times New Roman" w:hAnsi="Times New Roman" w:eastAsia="Times New Roman" w:cs="Times New Roman"/>
        </w:rPr>
        <w:t>Միլլերը չտեսավ, որ հեթանոսական և պապական Հռոմի բաժանումը հիմնված էր այն բաժանման վրա, որը Պողոսը բարձրացվեց նույնացնելու համար։ Պողոսը (և Հովհաննես Մկրտիչը) ցույց տվեցին, որ խաչի ժամանակաշրջանում բառացին պետք է անցում կատարեր դեպի հոգևորը։ Առանց այդ ըմբռնման Միլլերը հարկադրված էր ընդունել, որ Հռոմը, ըստ էության, մեկ թագավորություն էր, որն ուներ երկու փուլ։ Եվ, իհարկե, նա ճիշտ էր (սակայն սահմանափակ կերպով)։ Նա չէր կարող տեսնել, որ հոգևոր Հռոմը ներկայացված էր բառացի Բաբելոնով, որովհետև հոգևոր Հռոմը (պապականությունը) նաև հոգևոր Բաբելոն է։</w:t>
      </w:r>
    </w:p>
    <w:p>
      <w:pPr>
        <w:pStyle w:val="ArticleBody"/>
        <w:jc w:val="left"/>
      </w:pPr>
      <w:r>
        <w:rPr>
          <w:rFonts w:ascii="Times New Roman" w:hAnsi="Times New Roman" w:eastAsia="Times New Roman" w:cs="Times New Roman"/>
        </w:rPr>
        <w:t>IKhabhiloni engokoqobo, njengombuso wokuqala kwemine kuDaniyeli isahluko sesibili, yayizoba ngumfanekiso wombuso wesine, ngokuba owokuqala ngaso sonke isikhathi ufanekisa owokugcina. IRoma yobuqaba yayifanekiswe yiBhabhiloni, kodwa kokubili iRoma yobuqaba neBhabhiloni kwakufanekisa iRoma yomoya (upapa). Ngakho-ke upapa wayengumbuso wesihlanu, futhi wawumelwe yiBhabhiloni. Lesi yisizathu esiyisisekelo esenza uDadewethu White aqhathanise ukuthunjwa kuka-Israyeli ongokoqobo eBhabhiloni iminyaka engamashumi ayisikhombisa, nokuthunjwa kuka-Israyeli womoya eBhabhiloni yomoya iminyaka eyinkulungwane namakhulu amabili namashumi ayisithupha.</w:t>
      </w:r>
    </w:p>
    <w:p>
      <w:pPr>
        <w:pStyle w:val="ArticleScripture"/>
        <w:jc w:val="left"/>
      </w:pPr>
      <w:r>
        <w:rPr>
          <w:rFonts w:ascii="Times New Roman" w:hAnsi="Times New Roman" w:eastAsia="Times New Roman" w:cs="Times New Roman"/>
        </w:rPr>
        <w:t>«Kaniisni Waaqayyoo lafa irratti jirtu yeroo dheeraa kana keessatti ari’atama hamaa dhaabbataa kana jalatti akkuma dhuguma booji’amtee turte, ilmaan Israa’el yeroo boojuu isaanii keessatti Baabilon keessatti booji’amanii turan sanaa wajjin walqixa turte.» Prophets and Kings, 714.</w:t>
      </w:r>
    </w:p>
    <w:p>
      <w:pPr>
        <w:pStyle w:val="ArticleBody"/>
        <w:jc w:val="left"/>
      </w:pPr>
      <w:r>
        <w:rPr>
          <w:rFonts w:ascii="Leelawadee UI" w:hAnsi="Leelawadee UI" w:eastAsia="Leelawadee UI" w:cs="Leelawadee UI"/>
        </w:rPr>
        <w:t>ด้วยเหตุนี้</w:t>
      </w:r>
      <w:r>
        <w:rPr>
          <w:rFonts w:ascii="Times New Roman" w:hAnsi="Times New Roman" w:eastAsia="Times New Roman" w:cs="Times New Roman"/>
        </w:rPr>
        <w:t xml:space="preserve"> </w:t>
      </w:r>
      <w:r>
        <w:rPr>
          <w:rFonts w:ascii="Leelawadee UI" w:hAnsi="Leelawadee UI" w:eastAsia="Leelawadee UI" w:cs="Leelawadee UI"/>
        </w:rPr>
        <w:t>มิลเลอร์จึงไม่มีปัญหาในการใช้คำพยากรณ์ที่สำเร็จสัมฤทธิ์ซึ่งระบุถึงโรมนอกศาสนาโดยเฉพาะ</w:t>
      </w:r>
      <w:r>
        <w:rPr>
          <w:rFonts w:ascii="Times New Roman" w:hAnsi="Times New Roman" w:eastAsia="Times New Roman" w:cs="Times New Roman"/>
        </w:rPr>
        <w:t xml:space="preserve"> </w:t>
      </w:r>
      <w:r>
        <w:rPr>
          <w:rFonts w:ascii="Leelawadee UI" w:hAnsi="Leelawadee UI" w:eastAsia="Leelawadee UI" w:cs="Leelawadee UI"/>
        </w:rPr>
        <w:t>สลับกับโรมสันตะปาปา</w:t>
      </w:r>
      <w:r>
        <w:rPr>
          <w:rFonts w:ascii="Times New Roman" w:hAnsi="Times New Roman" w:eastAsia="Times New Roman" w:cs="Times New Roman"/>
        </w:rPr>
        <w:t xml:space="preserve"> </w:t>
      </w:r>
      <w:r>
        <w:rPr>
          <w:rFonts w:ascii="Leelawadee UI" w:hAnsi="Leelawadee UI" w:eastAsia="Leelawadee UI" w:cs="Leelawadee UI"/>
        </w:rPr>
        <w:t>เราจะยกตัวอย่างเรื่องนี้ต่อไปภายหน้า</w:t>
      </w:r>
      <w:r>
        <w:rPr>
          <w:rFonts w:ascii="Times New Roman" w:hAnsi="Times New Roman" w:eastAsia="Times New Roman" w:cs="Times New Roman"/>
        </w:rPr>
        <w:t xml:space="preserve"> </w:t>
      </w:r>
      <w:r>
        <w:rPr>
          <w:rFonts w:ascii="Leelawadee UI" w:hAnsi="Leelawadee UI" w:eastAsia="Leelawadee UI" w:cs="Leelawadee UI"/>
        </w:rPr>
        <w:t>แต่หากเราเข้าใจว่ามิลเลอร์มองว่าโรมนอกศาสนาและโรมสันตะปาปาเป็นราชอาณาจักรเดียวกัน</w:t>
      </w:r>
      <w:r>
        <w:rPr>
          <w:rFonts w:ascii="Times New Roman" w:hAnsi="Times New Roman" w:eastAsia="Times New Roman" w:cs="Times New Roman"/>
        </w:rPr>
        <w:t xml:space="preserve"> </w:t>
      </w:r>
      <w:r>
        <w:rPr>
          <w:rFonts w:ascii="Leelawadee UI" w:hAnsi="Leelawadee UI" w:eastAsia="Leelawadee UI" w:cs="Leelawadee UI"/>
        </w:rPr>
        <w:t>เราก็จะเข้าใจได้ว่าเหตุใดมิลเลอร์จึงไม่มีปัญหากับการที่พระเยซูทรงอ้างถึง</w:t>
      </w:r>
      <w:r>
        <w:rPr>
          <w:rFonts w:ascii="Times New Roman" w:hAnsi="Times New Roman" w:eastAsia="Times New Roman" w:cs="Times New Roman"/>
        </w:rPr>
        <w:t xml:space="preserve"> “</w:t>
      </w:r>
      <w:r>
        <w:rPr>
          <w:rFonts w:ascii="Leelawadee UI" w:hAnsi="Leelawadee UI" w:eastAsia="Leelawadee UI" w:cs="Leelawadee UI"/>
        </w:rPr>
        <w:t>สิ่งน่าสะอิดสะเอียนซึ่งก่อให้เกิดความรกร้างว่างเปล่า</w:t>
      </w:r>
      <w:r>
        <w:rPr>
          <w:rFonts w:ascii="Times New Roman" w:hAnsi="Times New Roman" w:eastAsia="Times New Roman" w:cs="Times New Roman"/>
        </w:rPr>
        <w:t xml:space="preserve"> </w:t>
      </w:r>
      <w:r>
        <w:rPr>
          <w:rFonts w:ascii="Leelawadee UI" w:hAnsi="Leelawadee UI" w:eastAsia="Leelawadee UI" w:cs="Leelawadee UI"/>
        </w:rPr>
        <w:t>อันดาเนียลผู้เผยพระวจนะได้กล่าวไว้</w:t>
      </w:r>
      <w:r>
        <w:rPr>
          <w:rFonts w:ascii="Times New Roman" w:hAnsi="Times New Roman" w:eastAsia="Times New Roman" w:cs="Times New Roman"/>
        </w:rPr>
        <w:t xml:space="preserve">” </w:t>
      </w:r>
      <w:r>
        <w:rPr>
          <w:rFonts w:ascii="Leelawadee UI" w:hAnsi="Leelawadee UI" w:eastAsia="Leelawadee UI" w:cs="Leelawadee UI"/>
        </w:rPr>
        <w:t>ว่าเป็นความสำเร็จสัมฤทธิ์ของโรมนอกศาสนา</w:t>
      </w:r>
      <w:r>
        <w:rPr>
          <w:rFonts w:ascii="Times New Roman" w:hAnsi="Times New Roman" w:eastAsia="Times New Roman" w:cs="Times New Roman"/>
        </w:rPr>
        <w:t xml:space="preserve"> </w:t>
      </w:r>
      <w:r>
        <w:rPr>
          <w:rFonts w:ascii="Leelawadee UI" w:hAnsi="Leelawadee UI" w:eastAsia="Leelawadee UI" w:cs="Leelawadee UI"/>
        </w:rPr>
        <w:t>ขณะเดียวกันก็ยังเข้าใจว่าถ้อยคำ</w:t>
      </w:r>
      <w:r>
        <w:rPr>
          <w:rFonts w:ascii="Times New Roman" w:hAnsi="Times New Roman" w:eastAsia="Times New Roman" w:cs="Times New Roman"/>
        </w:rPr>
        <w:t xml:space="preserve"> “</w:t>
      </w:r>
      <w:r>
        <w:rPr>
          <w:rFonts w:ascii="Leelawadee UI" w:hAnsi="Leelawadee UI" w:eastAsia="Leelawadee UI" w:cs="Leelawadee UI"/>
        </w:rPr>
        <w:t>สิ่งน่าสะอิดสะเอียนซึ่งก่อให้เกิดความรกร้างว่างเปล่า</w:t>
      </w:r>
      <w:r>
        <w:rPr>
          <w:rFonts w:ascii="Times New Roman" w:hAnsi="Times New Roman" w:eastAsia="Times New Roman" w:cs="Times New Roman"/>
        </w:rPr>
        <w:t xml:space="preserve">” </w:t>
      </w:r>
      <w:r>
        <w:rPr>
          <w:rFonts w:ascii="Leelawadee UI" w:hAnsi="Leelawadee UI" w:eastAsia="Leelawadee UI" w:cs="Leelawadee UI"/>
        </w:rPr>
        <w:t>ในพระธรรมดาเนียลเป็นสัญลักษณ์ของโรมสันตะปาปา</w:t>
      </w:r>
      <w:r>
        <w:rPr>
          <w:rFonts w:ascii="Times New Roman" w:hAnsi="Times New Roman" w:eastAsia="Times New Roman" w:cs="Times New Roman"/>
        </w:rPr>
        <w:t xml:space="preserve"> </w:t>
      </w:r>
      <w:r>
        <w:rPr>
          <w:rFonts w:ascii="Leelawadee UI" w:hAnsi="Leelawadee UI" w:eastAsia="Leelawadee UI" w:cs="Leelawadee UI"/>
        </w:rPr>
        <w:t>มิลเลอร์ไม่อาจมองเห็นอำนาจสามประการที่ก่อให้เกิดความรกร้างได้</w:t>
      </w:r>
      <w:r>
        <w:rPr>
          <w:rFonts w:ascii="Times New Roman" w:hAnsi="Times New Roman" w:eastAsia="Times New Roman" w:cs="Times New Roman"/>
        </w:rPr>
        <w:t xml:space="preserve"> </w:t>
      </w:r>
      <w:r>
        <w:rPr>
          <w:rFonts w:ascii="Leelawadee UI" w:hAnsi="Leelawadee UI" w:eastAsia="Leelawadee UI" w:cs="Leelawadee UI"/>
        </w:rPr>
        <w:t>และด้วยเหตุนี้</w:t>
      </w:r>
      <w:r>
        <w:rPr>
          <w:rFonts w:ascii="Times New Roman" w:hAnsi="Times New Roman" w:eastAsia="Times New Roman" w:cs="Times New Roman"/>
        </w:rPr>
        <w:t xml:space="preserve"> </w:t>
      </w:r>
      <w:r>
        <w:rPr>
          <w:rFonts w:ascii="Leelawadee UI" w:hAnsi="Leelawadee UI" w:eastAsia="Leelawadee UI" w:cs="Leelawadee UI"/>
        </w:rPr>
        <w:t>กรอบความเข้าใจเชิงพยากรณ์ของเขาจึงมีขอบเขตจำกัด</w:t>
      </w:r>
      <w:r>
        <w:rPr>
          <w:rFonts w:ascii="Times New Roman" w:hAnsi="Times New Roman" w:eastAsia="Times New Roman" w:cs="Times New Roman"/>
        </w:rPr>
        <w:t xml:space="preserve"> </w:t>
      </w:r>
      <w:r>
        <w:rPr>
          <w:rFonts w:ascii="Leelawadee UI" w:hAnsi="Leelawadee UI" w:eastAsia="Leelawadee UI" w:cs="Leelawadee UI"/>
        </w:rPr>
        <w:t>แม้จะถูกต้องก็ตาม</w:t>
      </w:r>
    </w:p>
    <w:p>
      <w:pPr>
        <w:pStyle w:val="ArticleBody"/>
        <w:jc w:val="left"/>
      </w:pPr>
      <w:r>
        <w:rPr>
          <w:rFonts w:ascii="Times New Roman" w:hAnsi="Times New Roman" w:eastAsia="Times New Roman" w:cs="Times New Roman"/>
        </w:rPr>
        <w:t>Mais comment devons-nous comprendre la divergence que présente l’accomplissement historique de l’an 66 apr. J.-C., lorsque la Rome païenne plaça ses enseignes dans les enceintes sacrées du temple, accomplissant ainsi la prédiction du Christ? « L’abomination de la désolation, dont a parlé Daniel le prophète », est-elle un symbole de la Rome païenne ou de la Rome papale? La réponse à ce dilemme est assez simple, dès lors que l’on reconnaît trois puissances dévastatrices au lieu de deux. Nous devrions commencer par le commentaire de sœur White sur l’accomplissement de la prédiction du Christ concernant la destruction de Jérusalem.</w:t>
      </w:r>
    </w:p>
    <w:p>
      <w:pPr>
        <w:pStyle w:val="ArticleScripture"/>
        <w:jc w:val="left"/>
      </w:pPr>
      <w:r>
        <w:rPr>
          <w:rFonts w:ascii="Times New Roman" w:hAnsi="Times New Roman" w:eastAsia="Times New Roman" w:cs="Times New Roman"/>
        </w:rPr>
        <w:t>« Dans la crucifixion du Christ par les Juifs était impliquée la destruction de Jérusalem. Le sang répandu au Calvaire fut le poids qui les fit sombrer dans la ruine pour ce monde et pour le monde à venir. Ainsi en sera-t-il au grand jour final, lorsque le jugement tombera sur ceux qui auront rejeté la grâce de Dieu. Le Christ, leur pierre d’achoppement, leur apparaîtra alors comme une montagne vengeresse. La gloire de sa face, qui est vie pour les justes, sera pour les méchants un feu consumant. À cause de l’amour rejeté, de la grâce méprisée, le pécheur sera détruit. »</w:t>
      </w:r>
    </w:p>
    <w:p>
      <w:pPr>
        <w:pStyle w:val="ArticleScripture"/>
        <w:jc w:val="left"/>
      </w:pPr>
      <w:r>
        <w:rPr>
          <w:rFonts w:ascii="Times New Roman" w:hAnsi="Times New Roman" w:eastAsia="Times New Roman" w:cs="Times New Roman"/>
        </w:rPr>
        <w:t>“Ɓe misaliiji ɗuɗɗi e cappanɗe ndeeɓeeti, Yesu hollii ko waɗata Yahuudiyankooɓe si ɓe calii Ɓiɗɗo Alla. Nder haaɓre ɗee, O waɗii nderedeele makko e yimɓe fuu nder kala jaamanu waɗɓe tanyiɗi heɓde mo ɗum Redeemer maɓɓe. Kala cappannde ɗon ko ndeeɓeeteeɗo ɗee yimɓe. Suudu ceniinde ndee laaɓtaama, ɓiɗɗo mooyɗo, remooɓe fewre ɓe ngalaa goonga, e maɓɓe joɓɓe ɗii waɗɓe hoynaade, fuu ɗi ngoodi nanndiral mum nder dawrugol kala waɗɗo hakke. Si o tuubaaɗaa, kiita ndu ɓe ngol ciftinnoo laatoto ɗum makko.” The Desire of Ages, 600.</w:t>
      </w:r>
    </w:p>
    <w:p>
      <w:pPr>
        <w:pStyle w:val="ArticleBody"/>
        <w:jc w:val="left"/>
      </w:pPr>
      <w:r>
        <w:rPr>
          <w:rFonts w:ascii="Times New Roman" w:hAnsi="Times New Roman" w:eastAsia="Times New Roman" w:cs="Times New Roman"/>
        </w:rPr>
        <w:t>Павел, указывая на переход от буквального к духовному, показывает, что он произошёл в период Креста; и надлежит отметить, что разрушение Иерусалима непосредственно связано с Крестом. Разрушение буквального Иерусалима, впервые совершённое буквальным Вавилоном, было в последний раз совершено буквальным Римом, ибо Иисус всегда представляет конец вместе с началом. Попрание святилища и воинства, начавшееся с языческой власти Вавилона, завершилось языческой властью Рима.</w:t>
      </w:r>
    </w:p>
    <w:p>
      <w:pPr>
        <w:pStyle w:val="ArticleBody"/>
        <w:jc w:val="left"/>
      </w:pPr>
      <w:r>
        <w:rPr>
          <w:rFonts w:ascii="Times New Roman" w:hAnsi="Times New Roman" w:eastAsia="Times New Roman" w:cs="Times New Roman"/>
        </w:rPr>
        <w:t>Kupokonywa kwa kiroho kwa Yerusalemu wa kiroho kulitekelezwa na Roma ya kipapa, na vipindi vyote hivyo viwili vya kukanyagwa chini (halisi na kiroho) vinafananisha kukanyagwa chini kwa watu wa Mungu na nguvu ya tatu iharibuyo, ambayo kwa upande wa Roma huitwa Roma ya kisasa.</w:t>
      </w:r>
    </w:p>
    <w:p>
      <w:pPr>
        <w:pStyle w:val="ArticleBody"/>
        <w:jc w:val="left"/>
      </w:pPr>
      <w:r>
        <w:rPr>
          <w:rFonts w:ascii="Times New Roman" w:hAnsi="Times New Roman" w:eastAsia="Times New Roman" w:cs="Times New Roman"/>
        </w:rPr>
        <w:t>Има три опустошителни сили, всяка от които преследва Божия народ: змейят на езичеството, следван от морския звяр на католицизма, а след него — земният звяр на Съединените щати (лъжепророкът). Езичеството беше представено чрез различни езически сили, които потъпкваха буквалния Израил. След това папството потъпкваше духовния Израил в продължение на хиляда двеста и шестдесет години — от 538 до 1798 г. Тройният съюз на змея, звяра и лъжепророка е съвременният Рим и той също потъпква Божия народ по време на „часа“ на кризата, свързана със закона за неделята. Трите опустошителни сили — змейят, звярът и лъжепророкът — са представени още и като езически Рим, папски Рим и съвременен Рим.</w:t>
      </w:r>
    </w:p>
    <w:p>
      <w:pPr>
        <w:pStyle w:val="ArticleBody"/>
        <w:jc w:val="left"/>
      </w:pPr>
      <w:r>
        <w:rPr>
          <w:rFonts w:ascii="Times New Roman" w:hAnsi="Times New Roman" w:eastAsia="Times New Roman" w:cs="Times New Roman"/>
        </w:rPr>
        <w:t>Nk’uko Ibyahishuwe igice cya cumi na karindwi kibivuga, ubupagani ni bo bami bane ba mbere; umwami wa gatanu ni ubupapa, kandi abami ba gatandatu, uwa karindwi, n’uwa munani ni ubumwe bw’inshuro eshatu bwa Roma ya none.</w:t>
      </w:r>
    </w:p>
    <w:p>
      <w:pPr>
        <w:pStyle w:val="ArticleScripture"/>
        <w:jc w:val="left"/>
      </w:pPr>
      <w:r>
        <w:rPr>
          <w:rFonts w:ascii="Times New Roman" w:hAnsi="Times New Roman" w:eastAsia="Times New Roman" w:cs="Times New Roman"/>
        </w:rPr>
        <w:t>Et il y a sept rois : cinq sont tombés, un est, et l’autre n’est pas encore venu ; et, lorsqu’il sera venu, il doit demeurer peu de temps. Et la bête qui était, et qui n’est plus, est elle-même un huitième roi, et elle est du nombre des sept, et elle va à la perdition. Apocalypse 17:10, 11.</w:t>
      </w:r>
    </w:p>
    <w:p>
      <w:pPr>
        <w:pStyle w:val="ArticleBody"/>
        <w:jc w:val="left"/>
      </w:pPr>
      <w:r>
        <w:rPr>
          <w:rFonts w:ascii="Times New Roman" w:hAnsi="Times New Roman" w:eastAsia="Times New Roman" w:cs="Times New Roman"/>
        </w:rPr>
        <w:t>Yn nhermau Daniel pennod dau, paganiaeth yw’r bedair teyrnas i gyd, o Fabilon llythrennol hyd at Rufain lythrennol. Babilon ysbrydol yw’r babaeth (y pen aur), ac y mae undeb triphlyg y ddraig, y bwystfil, a’r gau broffwyd (Rhufain fodern), yn cael ei gynrychioli gan undeb triphlyg Media-Persia ysbrydol, Gwlad Groeg ysbrydol, a Rhufain ysbrydol (y mae ei glwyf marwol wedi ei iacháu).</w:t>
      </w:r>
    </w:p>
    <w:p>
      <w:pPr>
        <w:pStyle w:val="ArticleBody"/>
        <w:jc w:val="left"/>
      </w:pPr>
      <w:r>
        <w:rPr>
          <w:rFonts w:ascii="Times New Roman" w:hAnsi="Times New Roman" w:eastAsia="Times New Roman" w:cs="Times New Roman"/>
        </w:rPr>
        <w:t>Lorsque Jésus se référa à « l’abomination de la désolation, dont a parlé Daniel le prophète », il désignait un « signe » précis que les chrétiens doivent reconnaître dans chacune des trois Romes. La Rome païenne, la Rome papale et la Rome moderne persécutent toutes le peuple de Dieu. Cette persécution est représentée prophétiquement comme le fait de fouler aux pieds le sanctuaire et l’armée. Jésus donna un avertissement de l’approche de cette persécution pour chacune des trois périodes de persécution. Lorsque le « signe » de l’autorité de Rome fut placé dans le sanctuaire, le moment de fuir Jérusalem était arrivé. Jésus n’employait pas l’expression de Daniel, « l’abomination de la désolation », comme symbole d’une puissance terrestre, mais comme symbole du signe que les chrétiens devaient reconnaître.</w:t>
      </w:r>
    </w:p>
    <w:p>
      <w:pPr>
        <w:pStyle w:val="ArticleScripture"/>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विशेषकर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प्रतिशोधात्मक</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पराकाष्ठा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असंदिग्ध</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भयावह</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अनुयायियों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w:t>
      </w:r>
      <w:r>
        <w:rPr>
          <w:rFonts w:ascii="Nirmala UI" w:hAnsi="Nirmala UI" w:eastAsia="Nirmala UI" w:cs="Nirmala UI"/>
        </w:rPr>
        <w:t>इसलिये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उजाड़नेवाली</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पहाड़ों</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Matthew 24:15, 16; Luke 21:20, 21.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फर्लांग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सुरक्षा</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पलायन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तत्काल</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संयोगवश</w:t>
      </w:r>
      <w:r>
        <w:rPr>
          <w:rFonts w:ascii="Times New Roman" w:hAnsi="Times New Roman" w:eastAsia="Times New Roman" w:cs="Times New Roman"/>
        </w:rPr>
        <w:t xml:space="preserve"> </w:t>
      </w:r>
      <w:r>
        <w:rPr>
          <w:rFonts w:ascii="Nirmala UI" w:hAnsi="Nirmala UI" w:eastAsia="Nirmala UI" w:cs="Nirmala UI"/>
        </w:rPr>
        <w:t>छत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मूल्यवान</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परिश्रम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हिचकिचाना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सार्वत्रिक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The Great Controversy, 25.</w:t>
      </w:r>
    </w:p>
    <w:p>
      <w:pPr>
        <w:pStyle w:val="ArticleBody"/>
        <w:jc w:val="left"/>
      </w:pPr>
      <w:r>
        <w:rPr>
          <w:rFonts w:ascii="Times New Roman" w:hAnsi="Times New Roman" w:eastAsia="Times New Roman" w:cs="Times New Roman"/>
        </w:rPr>
        <w:t>In der betreffenden Passage bezeichnet Schwester White den „Gräuel der Verwüstung“ als ein „untrügliches Zeichen“, das durch die „götzenbildlichen Feldzeichen der Römer“ dargestellt wurde, die sie „auf dem heiligen Boden“ des Heiligtums aufrichteten. Jesus gebrauchte den „Gräuel der Verwüstung“ nicht, um irgendeine Macht des heidnischen oder päpstlichen Rom darzustellen, sondern als ein „Zeichen“. Als das „Zeichen“ auf dem heiligen Boden des Tempels aufgerichtet wurde, sollten die Christen aus Jerusalem fliehen, „damit sie nicht in die allgemeine Zerstörung verwickelt würden“. Schwester White geht später in derselben Passage noch weiter und macht deutlich, dass die Weissagung Christi, welche die Zerstörung bezeichnete, mehr als eine Erfüllung hatte.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သခင်ကယ်တင်ရှင်၏</w:t>
      </w:r>
      <w:r>
        <w:rPr>
          <w:rFonts w:ascii="Times New Roman" w:hAnsi="Times New Roman" w:eastAsia="Times New Roman" w:cs="Times New Roman"/>
        </w:rPr>
        <w:t xml:space="preserve"> </w:t>
      </w:r>
      <w:r>
        <w:rPr>
          <w:rFonts w:ascii="Myanmar Text" w:hAnsi="Myanmar Text" w:eastAsia="Myanmar Text" w:cs="Myanmar Text"/>
        </w:rPr>
        <w:t>ယေရုရှလင်မြို့အပေါ်</w:t>
      </w:r>
      <w:r>
        <w:rPr>
          <w:rFonts w:ascii="Times New Roman" w:hAnsi="Times New Roman" w:eastAsia="Times New Roman" w:cs="Times New Roman"/>
        </w:rPr>
        <w:t xml:space="preserve"> </w:t>
      </w:r>
      <w:r>
        <w:rPr>
          <w:rFonts w:ascii="Myanmar Text" w:hAnsi="Myanmar Text" w:eastAsia="Myanmar Text" w:cs="Myanmar Text"/>
        </w:rPr>
        <w:t>တရားစီရင်ခြင်းများ</w:t>
      </w:r>
      <w:r>
        <w:rPr>
          <w:rFonts w:ascii="Times New Roman" w:hAnsi="Times New Roman" w:eastAsia="Times New Roman" w:cs="Times New Roman"/>
        </w:rPr>
        <w:t xml:space="preserve"> </w:t>
      </w:r>
      <w:r>
        <w:rPr>
          <w:rFonts w:ascii="Myanmar Text" w:hAnsi="Myanmar Text" w:eastAsia="Myanmar Text" w:cs="Myanmar Text"/>
        </w:rPr>
        <w:t>လာရောက်ကျရောက်မည်ဟု</w:t>
      </w:r>
      <w:r>
        <w:rPr>
          <w:rFonts w:ascii="Times New Roman" w:hAnsi="Times New Roman" w:eastAsia="Times New Roman" w:cs="Times New Roman"/>
        </w:rPr>
        <w:t xml:space="preserve"> </w:t>
      </w:r>
      <w:r>
        <w:rPr>
          <w:rFonts w:ascii="Myanmar Text" w:hAnsi="Myanmar Text" w:eastAsia="Myanmar Text" w:cs="Myanmar Text"/>
        </w:rPr>
        <w:t>ဟောကြားခဲ့သော</w:t>
      </w:r>
      <w:r>
        <w:rPr>
          <w:rFonts w:ascii="Times New Roman" w:hAnsi="Times New Roman" w:eastAsia="Times New Roman" w:cs="Times New Roman"/>
        </w:rPr>
        <w:t xml:space="preserve"> </w:t>
      </w:r>
      <w:r>
        <w:rPr>
          <w:rFonts w:ascii="Myanmar Text" w:hAnsi="Myanmar Text" w:eastAsia="Myanmar Text" w:cs="Myanmar Text"/>
        </w:rPr>
        <w:t>ပရောဖက်ပြုချက်သည်</w:t>
      </w:r>
      <w:r>
        <w:rPr>
          <w:rFonts w:ascii="Times New Roman" w:hAnsi="Times New Roman" w:eastAsia="Times New Roman" w:cs="Times New Roman"/>
        </w:rPr>
        <w:t xml:space="preserve"> </w:t>
      </w:r>
      <w:r>
        <w:rPr>
          <w:rFonts w:ascii="Myanmar Text" w:hAnsi="Myanmar Text" w:eastAsia="Myanmar Text" w:cs="Myanmar Text"/>
        </w:rPr>
        <w:t>နောက်တစ်ကြိမ်</w:t>
      </w:r>
      <w:r>
        <w:rPr>
          <w:rFonts w:ascii="Times New Roman" w:hAnsi="Times New Roman" w:eastAsia="Times New Roman" w:cs="Times New Roman"/>
        </w:rPr>
        <w:t xml:space="preserve"> </w:t>
      </w:r>
      <w:r>
        <w:rPr>
          <w:rFonts w:ascii="Myanmar Text" w:hAnsi="Myanmar Text" w:eastAsia="Myanmar Text" w:cs="Myanmar Text"/>
        </w:rPr>
        <w:t>ပြည့်စုံခြင်းကို</w:t>
      </w:r>
      <w:r>
        <w:rPr>
          <w:rFonts w:ascii="Times New Roman" w:hAnsi="Times New Roman" w:eastAsia="Times New Roman" w:cs="Times New Roman"/>
        </w:rPr>
        <w:t xml:space="preserve"> </w:t>
      </w:r>
      <w:r>
        <w:rPr>
          <w:rFonts w:ascii="Myanmar Text" w:hAnsi="Myanmar Text" w:eastAsia="Myanmar Text" w:cs="Myanmar Text"/>
        </w:rPr>
        <w:t>ရရှိမည်ဖြစ်သည်။</w:t>
      </w:r>
      <w:r>
        <w:rPr>
          <w:rFonts w:ascii="Times New Roman" w:hAnsi="Times New Roman" w:eastAsia="Times New Roman" w:cs="Times New Roman"/>
        </w:rPr>
        <w:t xml:space="preserve"> </w:t>
      </w:r>
      <w:r>
        <w:rPr>
          <w:rFonts w:ascii="Myanmar Text" w:hAnsi="Myanmar Text" w:eastAsia="Myanmar Text" w:cs="Myanmar Text"/>
        </w:rPr>
        <w:t>ထိုကြောက်မက်ဖွယ်</w:t>
      </w:r>
      <w:r>
        <w:rPr>
          <w:rFonts w:ascii="Times New Roman" w:hAnsi="Times New Roman" w:eastAsia="Times New Roman" w:cs="Times New Roman"/>
        </w:rPr>
        <w:t xml:space="preserve"> </w:t>
      </w:r>
      <w:r>
        <w:rPr>
          <w:rFonts w:ascii="Myanmar Text" w:hAnsi="Myanmar Text" w:eastAsia="Myanmar Text" w:cs="Myanmar Text"/>
        </w:rPr>
        <w:t>ပျက်စီးဆင်းရဲခြင်းသည်</w:t>
      </w:r>
      <w:r>
        <w:rPr>
          <w:rFonts w:ascii="Times New Roman" w:hAnsi="Times New Roman" w:eastAsia="Times New Roman" w:cs="Times New Roman"/>
        </w:rPr>
        <w:t xml:space="preserve"> </w:t>
      </w:r>
      <w:r>
        <w:rPr>
          <w:rFonts w:ascii="Myanmar Text" w:hAnsi="Myanmar Text" w:eastAsia="Myanmar Text" w:cs="Myanmar Text"/>
        </w:rPr>
        <w:t>ထိုအနာဂတ်ပြည့်စုံခြင်း၏</w:t>
      </w:r>
      <w:r>
        <w:rPr>
          <w:rFonts w:ascii="Times New Roman" w:hAnsi="Times New Roman" w:eastAsia="Times New Roman" w:cs="Times New Roman"/>
        </w:rPr>
        <w:t xml:space="preserve"> </w:t>
      </w:r>
      <w:r>
        <w:rPr>
          <w:rFonts w:ascii="Myanmar Text" w:hAnsi="Myanmar Text" w:eastAsia="Myanmar Text" w:cs="Myanmar Text"/>
        </w:rPr>
        <w:t>မှိန်ဖျော့သော</w:t>
      </w:r>
      <w:r>
        <w:rPr>
          <w:rFonts w:ascii="Times New Roman" w:hAnsi="Times New Roman" w:eastAsia="Times New Roman" w:cs="Times New Roman"/>
        </w:rPr>
        <w:t xml:space="preserve"> </w:t>
      </w:r>
      <w:r>
        <w:rPr>
          <w:rFonts w:ascii="Myanmar Text" w:hAnsi="Myanmar Text" w:eastAsia="Myanmar Text" w:cs="Myanmar Text"/>
        </w:rPr>
        <w:t>အရိပ်မျှသာ</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ရွေးချယ်ခံမြို့၏</w:t>
      </w:r>
      <w:r>
        <w:rPr>
          <w:rFonts w:ascii="Times New Roman" w:hAnsi="Times New Roman" w:eastAsia="Times New Roman" w:cs="Times New Roman"/>
        </w:rPr>
        <w:t xml:space="preserve"> </w:t>
      </w:r>
      <w:r>
        <w:rPr>
          <w:rFonts w:ascii="Myanmar Text" w:hAnsi="Myanmar Text" w:eastAsia="Myanmar Text" w:cs="Myanmar Text"/>
        </w:rPr>
        <w:t>ကံကြမ္မာ၌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ကရုဏာတော်ကို</w:t>
      </w:r>
      <w:r>
        <w:rPr>
          <w:rFonts w:ascii="Times New Roman" w:hAnsi="Times New Roman" w:eastAsia="Times New Roman" w:cs="Times New Roman"/>
        </w:rPr>
        <w:t xml:space="preserve"> </w:t>
      </w:r>
      <w:r>
        <w:rPr>
          <w:rFonts w:ascii="Myanmar Text" w:hAnsi="Myanmar Text" w:eastAsia="Myanmar Text" w:cs="Myanmar Text"/>
        </w:rPr>
        <w:t>ငြင်းပယ်၍</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ခြေဖဝါးအောက်တွင်</w:t>
      </w:r>
      <w:r>
        <w:rPr>
          <w:rFonts w:ascii="Times New Roman" w:hAnsi="Times New Roman" w:eastAsia="Times New Roman" w:cs="Times New Roman"/>
        </w:rPr>
        <w:t xml:space="preserve"> </w:t>
      </w:r>
      <w:r>
        <w:rPr>
          <w:rFonts w:ascii="Myanmar Text" w:hAnsi="Myanmar Text" w:eastAsia="Myanmar Text" w:cs="Myanmar Text"/>
        </w:rPr>
        <w:t>နင်းချေခဲ့သော</w:t>
      </w:r>
      <w:r>
        <w:rPr>
          <w:rFonts w:ascii="Times New Roman" w:hAnsi="Times New Roman" w:eastAsia="Times New Roman" w:cs="Times New Roman"/>
        </w:rPr>
        <w:t xml:space="preserve"> </w:t>
      </w:r>
      <w:r>
        <w:rPr>
          <w:rFonts w:ascii="Myanmar Text" w:hAnsi="Myanmar Text" w:eastAsia="Myanmar Text" w:cs="Myanmar Text"/>
        </w:rPr>
        <w:t>လောကတစ်ခုလုံး၏</w:t>
      </w:r>
      <w:r>
        <w:rPr>
          <w:rFonts w:ascii="Times New Roman" w:hAnsi="Times New Roman" w:eastAsia="Times New Roman" w:cs="Times New Roman"/>
        </w:rPr>
        <w:t xml:space="preserve"> </w:t>
      </w:r>
      <w:r>
        <w:rPr>
          <w:rFonts w:ascii="Myanmar Text" w:hAnsi="Myanmar Text" w:eastAsia="Myanmar Text" w:cs="Myanmar Text"/>
        </w:rPr>
        <w:t>အဆုံးသတ်ဒုက္ခကို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မြင်တွေ့နိုင်သည်။</w:t>
      </w:r>
      <w:r>
        <w:rPr>
          <w:rFonts w:ascii="Times New Roman" w:hAnsi="Times New Roman" w:eastAsia="Times New Roman" w:cs="Times New Roman"/>
        </w:rPr>
        <w:t xml:space="preserve"> </w:t>
      </w:r>
      <w:r>
        <w:rPr>
          <w:rFonts w:ascii="Myanmar Text" w:hAnsi="Myanmar Text" w:eastAsia="Myanmar Text" w:cs="Myanmar Text"/>
        </w:rPr>
        <w:t>ရာဇဝတ်မှုများဖြင့်</w:t>
      </w:r>
      <w:r>
        <w:rPr>
          <w:rFonts w:ascii="Times New Roman" w:hAnsi="Times New Roman" w:eastAsia="Times New Roman" w:cs="Times New Roman"/>
        </w:rPr>
        <w:t xml:space="preserve"> </w:t>
      </w:r>
      <w:r>
        <w:rPr>
          <w:rFonts w:ascii="Myanmar Text" w:hAnsi="Myanmar Text" w:eastAsia="Myanmar Text" w:cs="Myanmar Text"/>
        </w:rPr>
        <w:t>ပြည့်နှက်ခဲ့သော</w:t>
      </w:r>
      <w:r>
        <w:rPr>
          <w:rFonts w:ascii="Times New Roman" w:hAnsi="Times New Roman" w:eastAsia="Times New Roman" w:cs="Times New Roman"/>
        </w:rPr>
        <w:t xml:space="preserve"> </w:t>
      </w:r>
      <w:r>
        <w:rPr>
          <w:rFonts w:ascii="Myanmar Text" w:hAnsi="Myanmar Text" w:eastAsia="Myanmar Text" w:cs="Myanmar Text"/>
        </w:rPr>
        <w:t>ရာစုနှစ်ရှည်လျားသော</w:t>
      </w:r>
      <w:r>
        <w:rPr>
          <w:rFonts w:ascii="Times New Roman" w:hAnsi="Times New Roman" w:eastAsia="Times New Roman" w:cs="Times New Roman"/>
        </w:rPr>
        <w:t xml:space="preserve"> </w:t>
      </w:r>
      <w:r>
        <w:rPr>
          <w:rFonts w:ascii="Myanmar Text" w:hAnsi="Myanmar Text" w:eastAsia="Myanmar Text" w:cs="Myanmar Text"/>
        </w:rPr>
        <w:t>ကာလတစ်လျှောက်</w:t>
      </w:r>
      <w:r>
        <w:rPr>
          <w:rFonts w:ascii="Times New Roman" w:hAnsi="Times New Roman" w:eastAsia="Times New Roman" w:cs="Times New Roman"/>
        </w:rPr>
        <w:t xml:space="preserve"> </w:t>
      </w:r>
      <w:r>
        <w:rPr>
          <w:rFonts w:ascii="Myanmar Text" w:hAnsi="Myanmar Text" w:eastAsia="Myanmar Text" w:cs="Myanmar Text"/>
        </w:rPr>
        <w:t>မြေကြီးသည်</w:t>
      </w:r>
      <w:r>
        <w:rPr>
          <w:rFonts w:ascii="Times New Roman" w:hAnsi="Times New Roman" w:eastAsia="Times New Roman" w:cs="Times New Roman"/>
        </w:rPr>
        <w:t xml:space="preserve"> </w:t>
      </w:r>
      <w:r>
        <w:rPr>
          <w:rFonts w:ascii="Myanmar Text" w:hAnsi="Myanmar Text" w:eastAsia="Myanmar Text" w:cs="Myanmar Text"/>
        </w:rPr>
        <w:t>မြင်တွေ့ခဲ့ရသော</w:t>
      </w:r>
      <w:r>
        <w:rPr>
          <w:rFonts w:ascii="Times New Roman" w:hAnsi="Times New Roman" w:eastAsia="Times New Roman" w:cs="Times New Roman"/>
        </w:rPr>
        <w:t xml:space="preserve"> </w:t>
      </w:r>
      <w:r>
        <w:rPr>
          <w:rFonts w:ascii="Myanmar Text" w:hAnsi="Myanmar Text" w:eastAsia="Myanmar Text" w:cs="Myanmar Text"/>
        </w:rPr>
        <w:t>လူသားဒုက္ခဆင်းရဲ၏</w:t>
      </w:r>
      <w:r>
        <w:rPr>
          <w:rFonts w:ascii="Times New Roman" w:hAnsi="Times New Roman" w:eastAsia="Times New Roman" w:cs="Times New Roman"/>
        </w:rPr>
        <w:t xml:space="preserve"> </w:t>
      </w:r>
      <w:r>
        <w:rPr>
          <w:rFonts w:ascii="Myanmar Text" w:hAnsi="Myanmar Text" w:eastAsia="Myanmar Text" w:cs="Myanmar Text"/>
        </w:rPr>
        <w:t>မှတ်တမ်းများမှာ</w:t>
      </w:r>
      <w:r>
        <w:rPr>
          <w:rFonts w:ascii="Times New Roman" w:hAnsi="Times New Roman" w:eastAsia="Times New Roman" w:cs="Times New Roman"/>
        </w:rPr>
        <w:t xml:space="preserve"> </w:t>
      </w:r>
      <w:r>
        <w:rPr>
          <w:rFonts w:ascii="Myanmar Text" w:hAnsi="Myanmar Text" w:eastAsia="Myanmar Text" w:cs="Myanmar Text"/>
        </w:rPr>
        <w:t>မှောင်မိုက်လှသည်။</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ဆင်ခြင်ကြည့်ရှုရာ၌</w:t>
      </w:r>
      <w:r>
        <w:rPr>
          <w:rFonts w:ascii="Times New Roman" w:hAnsi="Times New Roman" w:eastAsia="Times New Roman" w:cs="Times New Roman"/>
        </w:rPr>
        <w:t xml:space="preserve"> </w:t>
      </w:r>
      <w:r>
        <w:rPr>
          <w:rFonts w:ascii="Myanmar Text" w:hAnsi="Myanmar Text" w:eastAsia="Myanmar Text" w:cs="Myanmar Text"/>
        </w:rPr>
        <w:t>နှလုံးသည်</w:t>
      </w:r>
      <w:r>
        <w:rPr>
          <w:rFonts w:ascii="Times New Roman" w:hAnsi="Times New Roman" w:eastAsia="Times New Roman" w:cs="Times New Roman"/>
        </w:rPr>
        <w:t xml:space="preserve"> </w:t>
      </w:r>
      <w:r>
        <w:rPr>
          <w:rFonts w:ascii="Myanmar Text" w:hAnsi="Myanmar Text" w:eastAsia="Myanmar Text" w:cs="Myanmar Text"/>
        </w:rPr>
        <w:t>နာကျင်ညှိုးနွမ်းလာ၍</w:t>
      </w:r>
      <w:r>
        <w:rPr>
          <w:rFonts w:ascii="Times New Roman" w:hAnsi="Times New Roman" w:eastAsia="Times New Roman" w:cs="Times New Roman"/>
        </w:rPr>
        <w:t xml:space="preserve"> </w:t>
      </w:r>
      <w:r>
        <w:rPr>
          <w:rFonts w:ascii="Myanmar Text" w:hAnsi="Myanmar Text" w:eastAsia="Myanmar Text" w:cs="Myanmar Text"/>
        </w:rPr>
        <w:t>စိတ်သည်</w:t>
      </w:r>
      <w:r>
        <w:rPr>
          <w:rFonts w:ascii="Times New Roman" w:hAnsi="Times New Roman" w:eastAsia="Times New Roman" w:cs="Times New Roman"/>
        </w:rPr>
        <w:t xml:space="preserve"> </w:t>
      </w:r>
      <w:r>
        <w:rPr>
          <w:rFonts w:ascii="Myanmar Text" w:hAnsi="Myanmar Text" w:eastAsia="Myanmar Text" w:cs="Myanmar Text"/>
        </w:rPr>
        <w:t>အားလျော့မောပန်းသွားသည်။</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ငြင်းပယ်ခြင်း၏</w:t>
      </w:r>
      <w:r>
        <w:rPr>
          <w:rFonts w:ascii="Times New Roman" w:hAnsi="Times New Roman" w:eastAsia="Times New Roman" w:cs="Times New Roman"/>
        </w:rPr>
        <w:t xml:space="preserve"> </w:t>
      </w:r>
      <w:r>
        <w:rPr>
          <w:rFonts w:ascii="Myanmar Text" w:hAnsi="Myanmar Text" w:eastAsia="Myanmar Text" w:cs="Myanmar Text"/>
        </w:rPr>
        <w:t>အကျိုးဆက်များသည်</w:t>
      </w:r>
      <w:r>
        <w:rPr>
          <w:rFonts w:ascii="Times New Roman" w:hAnsi="Times New Roman" w:eastAsia="Times New Roman" w:cs="Times New Roman"/>
        </w:rPr>
        <w:t xml:space="preserve"> </w:t>
      </w:r>
      <w:r>
        <w:rPr>
          <w:rFonts w:ascii="Myanmar Text" w:hAnsi="Myanmar Text" w:eastAsia="Myanmar Text" w:cs="Myanmar Text"/>
        </w:rPr>
        <w:t>ကြောက်မက်ဖွယ်</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အနာဂတ်၏</w:t>
      </w:r>
      <w:r>
        <w:rPr>
          <w:rFonts w:ascii="Times New Roman" w:hAnsi="Times New Roman" w:eastAsia="Times New Roman" w:cs="Times New Roman"/>
        </w:rPr>
        <w:t xml:space="preserve"> </w:t>
      </w:r>
      <w:r>
        <w:rPr>
          <w:rFonts w:ascii="Myanmar Text" w:hAnsi="Myanmar Text" w:eastAsia="Myanmar Text" w:cs="Myanmar Text"/>
        </w:rPr>
        <w:t>ဗျာဒိတ်တော်များတွင်</w:t>
      </w:r>
      <w:r>
        <w:rPr>
          <w:rFonts w:ascii="Times New Roman" w:hAnsi="Times New Roman" w:eastAsia="Times New Roman" w:cs="Times New Roman"/>
        </w:rPr>
        <w:t xml:space="preserve"> </w:t>
      </w:r>
      <w:r>
        <w:rPr>
          <w:rFonts w:ascii="Myanmar Text" w:hAnsi="Myanmar Text" w:eastAsia="Myanmar Text" w:cs="Myanmar Text"/>
        </w:rPr>
        <w:t>ထိုထက်ပင်</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မှောင်မိုက်သော</w:t>
      </w:r>
      <w:r>
        <w:rPr>
          <w:rFonts w:ascii="Times New Roman" w:hAnsi="Times New Roman" w:eastAsia="Times New Roman" w:cs="Times New Roman"/>
        </w:rPr>
        <w:t xml:space="preserve"> </w:t>
      </w:r>
      <w:r>
        <w:rPr>
          <w:rFonts w:ascii="Myanmar Text" w:hAnsi="Myanmar Text" w:eastAsia="Myanmar Text" w:cs="Myanmar Text"/>
        </w:rPr>
        <w:t>မြင်ကွင်းတစ်ခုကို</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အတိတ်၏</w:t>
      </w:r>
      <w:r>
        <w:rPr>
          <w:rFonts w:ascii="Times New Roman" w:hAnsi="Times New Roman" w:eastAsia="Times New Roman" w:cs="Times New Roman"/>
        </w:rPr>
        <w:t xml:space="preserve"> </w:t>
      </w:r>
      <w:r>
        <w:rPr>
          <w:rFonts w:ascii="Myanmar Text" w:hAnsi="Myanmar Text" w:eastAsia="Myanmar Text" w:cs="Myanmar Text"/>
        </w:rPr>
        <w:t>မှတ်တမ်းများ</w:t>
      </w:r>
      <w:r>
        <w:rPr>
          <w:rFonts w:ascii="Times New Roman" w:hAnsi="Times New Roman" w:eastAsia="Times New Roman" w:cs="Times New Roman"/>
        </w:rPr>
        <w:t>—</w:t>
      </w:r>
      <w:r>
        <w:rPr>
          <w:rFonts w:ascii="Myanmar Text" w:hAnsi="Myanmar Text" w:eastAsia="Myanmar Text" w:cs="Myanmar Text"/>
        </w:rPr>
        <w:t>ဆူပူမှုများ၊</w:t>
      </w:r>
      <w:r>
        <w:rPr>
          <w:rFonts w:ascii="Times New Roman" w:hAnsi="Times New Roman" w:eastAsia="Times New Roman" w:cs="Times New Roman"/>
        </w:rPr>
        <w:t xml:space="preserve"> </w:t>
      </w:r>
      <w:r>
        <w:rPr>
          <w:rFonts w:ascii="Myanmar Text" w:hAnsi="Myanmar Text" w:eastAsia="Myanmar Text" w:cs="Myanmar Text"/>
        </w:rPr>
        <w:t>ပဋိပက္ခများ၊</w:t>
      </w:r>
      <w:r>
        <w:rPr>
          <w:rFonts w:ascii="Times New Roman" w:hAnsi="Times New Roman" w:eastAsia="Times New Roman" w:cs="Times New Roman"/>
        </w:rPr>
        <w:t xml:space="preserve"> </w:t>
      </w:r>
      <w:r>
        <w:rPr>
          <w:rFonts w:ascii="Myanmar Text" w:hAnsi="Myanmar Text" w:eastAsia="Myanmar Text" w:cs="Myanmar Text"/>
        </w:rPr>
        <w:t>တော်လှန်ပြောင်းလဲမှုများ၏</w:t>
      </w:r>
      <w:r>
        <w:rPr>
          <w:rFonts w:ascii="Times New Roman" w:hAnsi="Times New Roman" w:eastAsia="Times New Roman" w:cs="Times New Roman"/>
        </w:rPr>
        <w:t xml:space="preserve"> </w:t>
      </w:r>
      <w:r>
        <w:rPr>
          <w:rFonts w:ascii="Myanmar Text" w:hAnsi="Myanmar Text" w:eastAsia="Myanmar Text" w:cs="Myanmar Text"/>
        </w:rPr>
        <w:t>ရှည်လျားသော</w:t>
      </w:r>
      <w:r>
        <w:rPr>
          <w:rFonts w:ascii="Times New Roman" w:hAnsi="Times New Roman" w:eastAsia="Times New Roman" w:cs="Times New Roman"/>
        </w:rPr>
        <w:t xml:space="preserve"> </w:t>
      </w:r>
      <w:r>
        <w:rPr>
          <w:rFonts w:ascii="Myanmar Text" w:hAnsi="Myanmar Text" w:eastAsia="Myanmar Text" w:cs="Myanmar Text"/>
        </w:rPr>
        <w:t>အစဉ်အလာ၊</w:t>
      </w:r>
      <w:r>
        <w:rPr>
          <w:rFonts w:ascii="Times New Roman" w:hAnsi="Times New Roman" w:eastAsia="Times New Roman" w:cs="Times New Roman"/>
        </w:rPr>
        <w:t xml:space="preserve"> ‘</w:t>
      </w:r>
      <w:r>
        <w:rPr>
          <w:rFonts w:ascii="Myanmar Text" w:hAnsi="Myanmar Text" w:eastAsia="Myanmar Text" w:cs="Myanmar Text"/>
        </w:rPr>
        <w:t>စစ်သူရဲ၏</w:t>
      </w:r>
      <w:r>
        <w:rPr>
          <w:rFonts w:ascii="Times New Roman" w:hAnsi="Times New Roman" w:eastAsia="Times New Roman" w:cs="Times New Roman"/>
        </w:rPr>
        <w:t xml:space="preserve"> </w:t>
      </w:r>
      <w:r>
        <w:rPr>
          <w:rFonts w:ascii="Myanmar Text" w:hAnsi="Myanmar Text" w:eastAsia="Myanmar Text" w:cs="Myanmar Text"/>
        </w:rPr>
        <w:t>စစ်ပွဲတိုင်းသည်</w:t>
      </w:r>
      <w:r>
        <w:rPr>
          <w:rFonts w:ascii="Times New Roman" w:hAnsi="Times New Roman" w:eastAsia="Times New Roman" w:cs="Times New Roman"/>
        </w:rPr>
        <w:t xml:space="preserve"> </w:t>
      </w:r>
      <w:r>
        <w:rPr>
          <w:rFonts w:ascii="Myanmar Text" w:hAnsi="Myanmar Text" w:eastAsia="Myanmar Text" w:cs="Myanmar Text"/>
        </w:rPr>
        <w:t>ဆူညံသောအသံနှင့်၎င်း၊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လိမ့်လျက်ရှိသော</w:t>
      </w:r>
      <w:r>
        <w:rPr>
          <w:rFonts w:ascii="Times New Roman" w:hAnsi="Times New Roman" w:eastAsia="Times New Roman" w:cs="Times New Roman"/>
        </w:rPr>
        <w:t xml:space="preserve"> </w:t>
      </w:r>
      <w:r>
        <w:rPr>
          <w:rFonts w:ascii="Myanmar Text" w:hAnsi="Myanmar Text" w:eastAsia="Myanmar Text" w:cs="Myanmar Text"/>
        </w:rPr>
        <w:t>ဝတ်ရုံများနှင့်၎င်း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(Isaiah 9:5)—</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လူ့စိတ်ဆန္ဒ၏</w:t>
      </w:r>
      <w:r>
        <w:rPr>
          <w:rFonts w:ascii="Times New Roman" w:hAnsi="Times New Roman" w:eastAsia="Times New Roman" w:cs="Times New Roman"/>
        </w:rPr>
        <w:t xml:space="preserve"> </w:t>
      </w:r>
      <w:r>
        <w:rPr>
          <w:rFonts w:ascii="Myanmar Text" w:hAnsi="Myanmar Text" w:eastAsia="Myanmar Text" w:cs="Myanmar Text"/>
        </w:rPr>
        <w:t>ပေါက်ကွဲထွက်မှုနှင့်</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အမျက်ဒေါသကို</w:t>
      </w:r>
      <w:r>
        <w:rPr>
          <w:rFonts w:ascii="Times New Roman" w:hAnsi="Times New Roman" w:eastAsia="Times New Roman" w:cs="Times New Roman"/>
        </w:rPr>
        <w:t xml:space="preserve"> </w:t>
      </w:r>
      <w:r>
        <w:rPr>
          <w:rFonts w:ascii="Myanmar Text" w:hAnsi="Myanmar Text" w:eastAsia="Myanmar Text" w:cs="Myanmar Text"/>
        </w:rPr>
        <w:t>ထိန်းချုပ်တားဆီးမထားတော့ဘဲ၊</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ထိန်းသိမ်းကာကွယ်သော</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မတရားသောသူတို့ထံမှ</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ရုပ်သိမ်းခံရမည့်</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ကြောက်မက်ဖွယ်ရာများနှင့်</w:t>
      </w:r>
      <w:r>
        <w:rPr>
          <w:rFonts w:ascii="Times New Roman" w:hAnsi="Times New Roman" w:eastAsia="Times New Roman" w:cs="Times New Roman"/>
        </w:rPr>
        <w:t xml:space="preserve"> </w:t>
      </w:r>
      <w:r>
        <w:rPr>
          <w:rFonts w:ascii="Myanmar Text" w:hAnsi="Myanmar Text" w:eastAsia="Myanmar Text" w:cs="Myanmar Text"/>
        </w:rPr>
        <w:t>နှိုင်းယှဉ်လျှင်</w:t>
      </w:r>
      <w:r>
        <w:rPr>
          <w:rFonts w:ascii="Times New Roman" w:hAnsi="Times New Roman" w:eastAsia="Times New Roman" w:cs="Times New Roman"/>
        </w:rPr>
        <w:t xml:space="preserve"> </w:t>
      </w:r>
      <w:r>
        <w:rPr>
          <w:rFonts w:ascii="Myanmar Text" w:hAnsi="Myanmar Text" w:eastAsia="Myanmar Text" w:cs="Myanmar Text"/>
        </w:rPr>
        <w:t>ဘာမျှ</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လောကသည်</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မမြင်ဖူးသကဲ့သို့</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အုပ်စိုးမှု၏</w:t>
      </w:r>
      <w:r>
        <w:rPr>
          <w:rFonts w:ascii="Times New Roman" w:hAnsi="Times New Roman" w:eastAsia="Times New Roman" w:cs="Times New Roman"/>
        </w:rPr>
        <w:t xml:space="preserve"> </w:t>
      </w:r>
      <w:r>
        <w:rPr>
          <w:rFonts w:ascii="Myanmar Text" w:hAnsi="Myanmar Text" w:eastAsia="Myanmar Text" w:cs="Myanmar Text"/>
        </w:rPr>
        <w:t>အကျိုးဆက်များကို</w:t>
      </w:r>
      <w:r>
        <w:rPr>
          <w:rFonts w:ascii="Times New Roman" w:hAnsi="Times New Roman" w:eastAsia="Times New Roman" w:cs="Times New Roman"/>
        </w:rPr>
        <w:t xml:space="preserve"> </w:t>
      </w:r>
      <w:r>
        <w:rPr>
          <w:rFonts w:ascii="Myanmar Text" w:hAnsi="Myanmar Text" w:eastAsia="Myanmar Text" w:cs="Myanmar Text"/>
        </w:rPr>
        <w:t>မြင်တွေ့ရလိမ့်မည်။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छुड़ाई</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4:3</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विलाप</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देखेंगे।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भेजेगा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दिशाओं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24:30, 31</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श्वास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भस्म</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2 </w:t>
      </w:r>
      <w:r>
        <w:rPr>
          <w:rFonts w:ascii="Nirmala UI" w:hAnsi="Nirmala UI" w:eastAsia="Nirmala UI" w:cs="Nirmala UI"/>
        </w:rPr>
        <w:t>थिस्सलुनीकियों</w:t>
      </w:r>
      <w:r>
        <w:rPr>
          <w:rFonts w:ascii="Times New Roman" w:hAnsi="Times New Roman" w:eastAsia="Times New Roman" w:cs="Times New Roman"/>
        </w:rPr>
        <w:t xml:space="preserve"> 2:8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पापमय</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सामंजस्य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प्रकृतियाँ</w:t>
      </w:r>
      <w:r>
        <w:rPr>
          <w:rFonts w:ascii="Times New Roman" w:hAnsi="Times New Roman" w:eastAsia="Times New Roman" w:cs="Times New Roman"/>
        </w:rPr>
        <w:t xml:space="preserve"> </w:t>
      </w:r>
      <w:r>
        <w:rPr>
          <w:rFonts w:ascii="Nirmala UI" w:hAnsi="Nirmala UI" w:eastAsia="Nirmala UI" w:cs="Nirmala UI"/>
        </w:rPr>
        <w:t>बुराई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भस्म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“Lalaki watu wajihadhari wasije wakapuuza fundisho walilopewa katika maneno ya Kristo. Kama vile alivyowaonya wanafunzi Wake juu ya kuangamizwa kwa Yerusalemu, akiwapa ishara ya uharibifu unaokaribia, ili wapate kufanya kimbilio lao; vivyo hivyo ameonya ulimwengu juu ya siku ya uangamivu wa mwisho, naye amewapa dalili za kukaribia kwake, ili wote watakaotaka wapate kuukimbia ghadhabu ijayo. Yesu asema: ‘Kutakuwa na ishara katika jua, na katika mwezi, na katika nyota; na juu ya nchi fadhaa ya mataifa.’ Luka 21:25; Mathayo 24:29; Marko 13:24–26; Ufunuo 6:12–17. Wale wanaoziona ishara hizi za kutangulia kuja Kwake wanapaswa ‘kujua ya kwamba kumekaribia, mlangoni kabisa.’ Mathayo 24:33. ‘Basi kesheni,’ hayo ndiyo maneno Yake ya maonyo. Marko 13:35. Wale wanaoitii onyo hilo hawataachwa gizani, hata siku hiyo iwafikie bila kutarajiwa. Bali kwa wale wasiotaka kukesha, ‘siku ya Bwana huja kama mwivi usiku.’ 1 Wathesalonike 5:2–5.” Pambano Kuu, 36, 37.</w:t>
      </w:r>
    </w:p>
    <w:p>
      <w:pPr>
        <w:pStyle w:val="ArticleBody"/>
        <w:jc w:val="left"/>
      </w:pPr>
      <w:r>
        <w:rPr>
          <w:rFonts w:ascii="Times New Roman" w:hAnsi="Times New Roman" w:eastAsia="Times New Roman" w:cs="Times New Roman"/>
        </w:rPr>
        <w:t>Nde Eriyabo White yabhandikaga ayo magambo, hari hakiri kuzabaho gusohozwa kwa nyuma kw’irimbuka rya Yerusalemu. Urubanza rwo guhora rwashyizwe mu bikorwa ku Roma ya none (ikiyoka, inyamaswa n’umuhanuzi w’ibinyoma), ku iherezo ry’isi, rugaragaza uguhanuka kwa nyuma kwa Babuloni yo mu buryo bw’umwuka; ariko Babuloni yo mu buryo bw’umwuka (ubupapa) yamaze guhanuka rimwe mu mwaka wa 1798. Irimbuka rya Yerusalemu rihagararira urubanza rwo guhora rw’Imana ku itorero ryagomeye Imana.</w:t>
      </w:r>
    </w:p>
    <w:p>
      <w:pPr>
        <w:pStyle w:val="ArticleBody"/>
        <w:jc w:val="left"/>
      </w:pPr>
      <w:r>
        <w:rPr>
          <w:rFonts w:ascii="Times New Roman" w:hAnsi="Times New Roman" w:eastAsia="Times New Roman" w:cs="Times New Roman"/>
        </w:rPr>
        <w:t>La destruction de Jérusalem au cours des trois ans et demi allant de l’an 66 apr. J.-C. à l’an 70 apr. J.-C. est une figure de la destruction opérée par le jugement rétributif de Dieu à la fin du monde, jugement qui s’abat sur la Rome moderne (le dragon, la bête et le faux prophète). Le siège et la destruction de Jérusalem, accomplis par le paganisme de l’an 66 apr. J.-C. jusqu’à l’an 70 apr. J.-C., durèrent exactement trois ans et demi.</w:t>
      </w:r>
    </w:p>
    <w:p>
      <w:pPr>
        <w:pStyle w:val="ArticleBody"/>
        <w:jc w:val="left"/>
      </w:pPr>
      <w:r>
        <w:rPr>
          <w:rFonts w:ascii="Times New Roman" w:hAnsi="Times New Roman" w:eastAsia="Times New Roman" w:cs="Times New Roman"/>
        </w:rPr>
        <w:t>Le siège et la destruction de la Jérusalem spirituelle, accomplis par la papauté, durèrent trois ans et demi prophétiques, de 538 à 1798. Ces deux illustrations préfigurent le siège et la destruction de Jérusalem durant l’« heure » de la crise de la loi dominicale provoquée par la Rome moderne. La dernière des trois destructions de Jérusalem est renversée, comme elle est représentée dans le livre de Daniel.</w:t>
      </w:r>
    </w:p>
    <w:p>
      <w:pPr>
        <w:pStyle w:val="ArticleBody"/>
        <w:jc w:val="left"/>
      </w:pPr>
      <w:r>
        <w:rPr>
          <w:rFonts w:ascii="Times New Roman" w:hAnsi="Times New Roman" w:eastAsia="Times New Roman" w:cs="Times New Roman"/>
        </w:rPr>
        <w:t>ספר דניאל פותח בכך שבבל כובשת ומחריבה את ירושלים, והוא מסתיים בחורבנה של בבל ובניצחונה של ירושלים. בכל אחת משלוש המלחמות ניתנה למאמינים המשיחיים אות, להודיעם לנוס מפני המלחמה הקרבה. בשנת 66 לספירה היה זה כאשר צבאות רומי האלילית הציבו את נסיהם (דגלי מלחמתם) על אדמת הקודש של המקדש. בשנת 538 היה זה כאשר “איש החטא” נתגלה, יושב בהיכל האלוהים (הכנסייה המשיחית), ומראה את עצמו כאילו הוא אלוהים, כאשר העביר חוק יום ראשון במועצת אורליאן באותה שנה. אכיפת שמירת יום ראשון היא מה שהאפיפיורות מזהה כהוכחה לסמכותה על העולם המשיחי, שכן הם טוענים (ובצדק) שאין כל תמיכה לעבודת יום ראשון בדבר אלוהים, והעובדה שהם הנהיגו את יום ראשון כיום הפולחן בנצרות היא הוכחה לכך שסמכותן של מסורותיהם ומנהגיהם האליליים נעלה מן המקרא.</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គ្រិស្តបរិស័ទត្រូវបំបែកខ្លួនចេញពីសាសនាចក្ររ៉ូម៉ាំង</w:t>
      </w:r>
      <w:r>
        <w:rPr>
          <w:rFonts w:ascii="Times New Roman" w:hAnsi="Times New Roman" w:eastAsia="Times New Roman" w:cs="Times New Roman"/>
        </w:rPr>
        <w:t xml:space="preserve"> </w:t>
      </w:r>
      <w:r>
        <w:rPr>
          <w:rFonts w:ascii="Leelawadee UI" w:hAnsi="Leelawadee UI" w:eastAsia="Leelawadee UI" w:cs="Leelawadee UI"/>
        </w:rPr>
        <w:t>មិនមែនតែដោយសារវាមិនមែនជាសាសនាចក្រគ្រិស្តពិតប្រាកដប៉ុណ្ណោះទេ</w:t>
      </w:r>
      <w:r>
        <w:rPr>
          <w:rFonts w:ascii="Times New Roman" w:hAnsi="Times New Roman" w:eastAsia="Times New Roman" w:cs="Times New Roman"/>
        </w:rPr>
        <w:t xml:space="preserve"> </w:t>
      </w:r>
      <w:r>
        <w:rPr>
          <w:rFonts w:ascii="Leelawadee UI" w:hAnsi="Leelawadee UI" w:eastAsia="Leelawadee UI" w:cs="Leelawadee UI"/>
        </w:rPr>
        <w:t>ប៉ុន្តែថែមទាំងដោយសារសញ្ញានៃអំណាចសម្តេចប៉ាបត្រូវបានដាក់នៅក្នុងបរិវេណបរិសុទ្ធរបស់សាសនាចក្ររបស់ព្រះផងដែរ។</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កំណត់សម្គាល់អំពីដំណើរការនៃការបំបែកខ្លួនក្នុងប្រវត្តិសាស្ត្រនោះ</w:t>
      </w:r>
      <w:r>
        <w:rPr>
          <w:rFonts w:ascii="Times New Roman" w:hAnsi="Times New Roman" w:eastAsia="Times New Roman" w:cs="Times New Roman"/>
        </w:rPr>
        <w:t xml:space="preserve"> </w:t>
      </w:r>
      <w:r>
        <w:rPr>
          <w:rFonts w:ascii="Leelawadee UI" w:hAnsi="Leelawadee UI" w:eastAsia="Leelawadee UI" w:cs="Leelawadee UI"/>
        </w:rPr>
        <w:t>ដែលបានចាប់ផ្ដើមសម័យកាលដែលសាសនាចក្ររបស់ព្រះបានភៀសខ្លួនចូលទៅក្នុងទីរហោស្ថានអស់រយៈពេលមួយពាន់ពីររយហុកសិបឆ្នាំ។</w:t>
      </w:r>
    </w:p>
    <w:p>
      <w:pPr>
        <w:pStyle w:val="ArticleScripture"/>
        <w:jc w:val="left"/>
      </w:pPr>
      <w:r>
        <w:rPr>
          <w:rFonts w:ascii="Times New Roman" w:hAnsi="Times New Roman" w:eastAsia="Times New Roman" w:cs="Times New Roman"/>
        </w:rPr>
        <w:t>“Amaa ifaa fi mootii dukkanaa gidduutti tokkummaan hin jiru, hordoftoota isaanii gidduuttis tokkummaan jiraachuu hin danda’u. Yommuu Kiristaanonni warra amantii waaqeffannaa waaqolii irraa garagalfamaniis garuu guutummaatti hin jijjiiramne wajjin tokkummaatti makamuu irratti walii galan, karaa dhugaadhaa irraa isa dheeraa fi dheeraa isaan fageessu irra seenan. Seexanni hordoftoota Kiristoos keessaa baay’ee guddaa ta’an akka dogoggorsuu danda’eef gammade. Sana booddee humna isaa isaan irratti caalaatti hojiirra oolche, warra Waaqayyoof amanamoo ta’anii hafan akka ari’atanis isaan kakaase. Warri yeroo tokko amantii Kiristaanaa dhugaa ittisaa turan, amantii sana akkamitti mormuun danda’amu akka isaanitti hubatan eenyullee hin turre; Kiristaanonni gantoonni kunis, michoota isaanii warra walakkaa qofa waaqeffannaa waaqolii irraa ba’an wajjin tokkummaa uumuudhaan, bu’uura barumsa Kiristoos keessaa isa hundumaa caalaa barbaachisaa ta’e irratti waraana isaanii qajeelchan.”</w:t>
      </w:r>
    </w:p>
    <w:p>
      <w:pPr>
        <w:pStyle w:val="ArticleScripture"/>
        <w:jc w:val="left"/>
      </w:pPr>
      <w:r>
        <w:rPr>
          <w:rFonts w:ascii="Times New Roman" w:hAnsi="Times New Roman" w:eastAsia="Times New Roman" w:cs="Times New Roman"/>
        </w:rPr>
        <w:t>“Il fallut une lutte désespérée pour que ceux qui voulaient demeurer fidèles tiennent ferme contre les séductions et les abominations déguisées sous des vêtements sacerdotaux et introduites dans l’Église. La Bible n’était pas acceptée comme la norme de la foi. La doctrine de la liberté religieuse était qualifiée d’hérésie, et ses défenseurs étaient haïs et proscrits.</w:t>
      </w:r>
    </w:p>
    <w:p>
      <w:pPr>
        <w:pStyle w:val="ArticleScripture"/>
        <w:jc w:val="left"/>
      </w:pPr>
      <w:r>
        <w:rPr>
          <w:rFonts w:ascii="Times New Roman" w:hAnsi="Times New Roman" w:eastAsia="Times New Roman" w:cs="Times New Roman"/>
        </w:rPr>
        <w:t>«Tirs ar ur c’hrogad hir ha kriz, e tivizas ar nebeud re feal bezañ distroet eus pep unvaniezh gant an iliz apostat, ma ne fellfe ket dezhi c’hoazh en em ziskoulmañ diouzh ar gaou hag an idolerezh. Gwelet o devoa e oa an disparti ur reted diamodis ma fellje dezho sentiñ ouzh Ger Doue. Ne daredont ket gouzañv fazioù maroel evit o eneoù o-unan, nag reiñ ur skouer a lakafe en arvar feiz o bugale hag o bugale-vihan. Evit bezañ sur a beoc’h hag unvaniezh e oant prest da ober kement gouestlad a c’halle bezañ kenglotaus gant fealded da Zoue; met santout a raent e vefe zoken ar peoc’h prenet re ger pa vije da aberzhiñ ar bennaenn. Ma c’halled bezañ suraet an unvaniezh hepken dre gejañ gant ar wirionez hag ar reizhder, neuze ra vo disheñvelder, ha zoken brezel.» The Great Controversy, 45.</w:t>
      </w:r>
    </w:p>
    <w:p>
      <w:pPr>
        <w:pStyle w:val="ArticleBody"/>
        <w:jc w:val="left"/>
      </w:pPr>
      <w:r>
        <w:rPr>
          <w:rFonts w:ascii="Times New Roman" w:hAnsi="Times New Roman" w:eastAsia="Times New Roman" w:cs="Times New Roman"/>
        </w:rPr>
        <w:t>Tugomba gukomeza ibi bitekerezo mu ngingo ikurikira.</w:t>
      </w:r>
    </w:p>
    <w:p>
      <w:pPr>
        <w:pStyle w:val="ArticleScripture"/>
        <w:jc w:val="left"/>
      </w:pPr>
      <w:r>
        <w:rPr>
          <w:rFonts w:ascii="Times New Roman" w:hAnsi="Times New Roman" w:eastAsia="Times New Roman" w:cs="Times New Roman"/>
        </w:rPr>
        <w:t>«∞telïta s'étend devant nus. Le rideau est sur le point d'être levé. Nus qui occupons cette position solennelle et responsable, que faisons-nus, à quoi pensons-nus, pour nous attacher à notre égoïste amour de l'aisance, tandis que des âmes périssent autour de nus? Nos cœurs sont-ils devenus entièrement insensibles? Ne pouvons-nus sentir ni comprendre que nus avons une œuvre à accomplir pour le salut des autres? Frères, êtes-vous de cette classe qui, ayant des yeux, ne voient point, et qui, ayant des oreilles, n'entendent point? Est-ce en vain que Dieu vous a donné la connaissance de sa volonté? Est-ce en vain qu'il vous a envoyé avertissement sur avertissement? Croyez-vous aux déclarations de la vérité éternelle concernant ce qui est sur le point de fondre sur la terre, croyez-vous que les jugements de Dieu sont suspendus au-dessus du peuple, et pouvez-vous encore demeurer à votre aise, indolents, insouciants, amis des plaisirs?»</w:t>
      </w:r>
    </w:p>
    <w:p>
      <w:pPr>
        <w:pStyle w:val="ArticleScripture"/>
        <w:jc w:val="left"/>
      </w:pPr>
      <w:r>
        <w:rPr>
          <w:rFonts w:ascii="Times New Roman" w:hAnsi="Times New Roman" w:eastAsia="Times New Roman" w:cs="Times New Roman"/>
        </w:rPr>
        <w:t>“Agora não é tempo para o povo de Deus estar fixando as suas afeições nem ajuntando o seu tesouro no mundo. Não está longe o tempo em que, como os primeiros discípulos, seremos forçados a buscar refúgio em lugares desertos e solitários. Assim como o cerco de Jerusalém pelos exércitos romanos foi o sinal para a fuga dos cristãos da Judeia, assim a assunção de poder por parte de nossa nação no decreto que impõe o sábado papal será para nós uma advertência. Então será tempo de deixar as grandes cidades, em preparação para deixar as menores em busca de lares retirados em lugares isolados entre as montanhas. E agora, em vez de buscarmos aqui moradias dispendiosas, devemos estar-nos preparando para mudar-nos para uma pátria melhor, isto é, a celestial. Em vez de gastar nossos recursos na satisfação própria, devemos estudar a maneira de economizar. Todo talento emprestado por Deus deve ser usado para Sua glória ao dar-se a advertência ao mundo. Deus tem uma obra para Seus cooperadores realizarem nas cidades. Nossas missões devem ser mantidas; novas missões devem ser abertas. Levar avante esta obra com êxito exigirá dispêndio não pequeno. Necessitam-se casas de adoração, onde o povo possa ser convidado a ouvir as verdades para este tempo. Foi precisamente para este fim que Deus confiou um capital aos Seus mordomos. Não permitais que vossa propriedade fique presa em empreendimentos mundanos, de modo que esta obra seja impedida. Colocai vossos recursos onde possais dispor deles para o benefício da causa de Deus. Enviai adiante para o Céu os vossos tesouros.”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quarante-trois</dc:title>
  <dc:subject>كشف رمزية رِجْسَةِ الْخَرَابِ في النبوءة الكتابية</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