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quarante-quatre</w:t>
      </w:r>
    </w:p>
    <w:p>
      <w:pPr>
        <w:pStyle w:val="ArticleSubtitle"/>
        <w:jc w:val="left"/>
      </w:pPr>
      <w:r>
        <w:rPr>
          <w:rFonts w:ascii="Arial" w:hAnsi="Arial" w:eastAsia="Arial" w:cs="Arial"/>
        </w:rPr>
        <w:t>Dévoiler les fondements perdus : les vérités prophétiques de William Miller et les derniers jours de l’adventisme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أُخفيت الحقائقُ التأسيسيةُ لوليم ميلر عبر الأجيال الأربعة للأدفنتية. وإنَّ استعادةَ تلك الحقائق التأسيسية قد عُرضت في حلمه الثاني، ويجري التعريف بها مرارًا في الكتاب المقدس وروح النبوة على أنها العمل الذي ينبغي لشعب الله في الأيام الأخيرة أن ينجزوه. ويُبيّن حلمُ ميلر أنه عندما يُعيد رجلُ فرشاةِ التراب الجواهرَ إلى مواضعها، فإنها ستتألّق عشرةَ أضعافٍ أشدَّ من الشمس.</w:t>
      </w:r>
    </w:p>
    <w:p>
      <w:pPr>
        <w:pStyle w:val="ArticleBody"/>
        <w:jc w:val="left"/>
      </w:pPr>
      <w:r>
        <w:rPr>
          <w:rFonts w:ascii="Times New Roman" w:hAnsi="Times New Roman" w:eastAsia="Times New Roman" w:cs="Times New Roman"/>
        </w:rPr>
        <w:t>Millerin kehys perustui siihen, että hän tunnisti kaksi hävitystä aikaansaavaa valtaa, pakanuuden ja sitä seuraavan paaviuden, ja apostoli Paavalin todistus Thessalonikalaiskirjeen toisessa luvussa antoi Millerille tämän kehyksen ankkurin. Siinä Paavali osoittaa, että pakanallinen Rooma oli pidättänyt paaviutta nousemasta valtaan, kunnes pakanallinen Rooma poistettiin tieltä. Toisessa Thessalonikalaiskirjeessä Paavali antoi myös Future for America -järjestön kehykselle ankkurin, kun hän osoitti, että luvun ”synnin ihminen” esitetään myös kuninkaana, joka korottaa itsensä, Danielin kirjan yhdennessätoista luvussa ja jakeessa kolmekymmentäkuusi.</w:t>
      </w:r>
    </w:p>
    <w:p>
      <w:pPr>
        <w:pStyle w:val="ArticleBody"/>
        <w:jc w:val="left"/>
      </w:pPr>
      <w:r>
        <w:rPr>
          <w:rFonts w:ascii="Times New Roman" w:hAnsi="Times New Roman" w:eastAsia="Times New Roman" w:cs="Times New Roman"/>
        </w:rPr>
        <w:t>Kama ilivyo muhimu kuona, kuongezeka kwa maarifa katika mwendo wa malaika wa kwanza na wa tatu kulihusiana moja kwa moja na ushuhuda wa Paulo katika sura ya pili ya Wathesalonike. Katika wakati wa mwisho mwaka 1798, na pia mwaka 1989, kitabu cha Danieli kilifunuliwa, na hivyo kuanzisha mchakato wa majaribu wa hatua tatu. Mchakato wa majaribu daima huzalisha makundi mawili ya waabudu katika historia ambayo kitabu cha Danieli kinafunuliwa. Ni muhimu kuona maandiko ya Paulo kwa uhusiano na kuongezeka kwa maarifa katika wakati wa mwisho, kwa maana ni katika sura hiyo hiyo ambapo Paulo anaonya kwamba wale wasioipokea “upendo wa kweli,” watapokea upotevu mkuu kutoka kwa Mungu. Upotevu huo mkuu ndio unaowajia waovu katika Danieli sura ya kumi na mbili, wanaokataa kuongezeka kwa maarifa. Katika historia zote mbili, upotevu huo mkuu unarejelea Uadventista kwa namna ya moja kwa moja zaidi.</w:t>
      </w:r>
    </w:p>
    <w:p>
      <w:pPr>
        <w:pStyle w:val="ArticleScripture"/>
        <w:jc w:val="left"/>
      </w:pPr>
      <w:r>
        <w:rPr>
          <w:rFonts w:ascii="Times New Roman" w:hAnsi="Times New Roman" w:eastAsia="Times New Roman" w:cs="Times New Roman"/>
        </w:rPr>
        <w:t>« Celui qui voit au-delà des apparences, qui lit dans le cœur de tous les hommes, dit de ceux qui ont reçu une grande lumière : “Ils ne sont ni affligés ni saisis d’étonnement à cause de leur condition morale et spirituelle.” Oui, ils ont choisi leurs propres voies, et leur âme se complaît dans leurs abominations. Moi aussi, je choisirai leurs égarements, et je ferai venir sur eux ce qu’ils redoutent ; parce que, quand j’ai appelé, nul n’a répondu ; quand j’ai parlé, ils n’ont pas écouté ; mais ils ont fait ce qui est mal à mes yeux, et ils ont choisi ce en quoi je ne prenais point plaisir.” “Dieu leur enverra une puissance d’égarement, pour qu’ils croient au mensonge,” parce qu’ils n’ont pas reçu l’amour de la vérité, afin d’être sauvés, “mais qu’ils ont pris plaisir à l’injustice.” Ésaïe 66:3, 4 ; 2 Thessaloniciens 2:11, 10, 12.</w:t>
      </w:r>
    </w:p>
    <w:p>
      <w:pPr>
        <w:pStyle w:val="ArticleScripture"/>
        <w:jc w:val="left"/>
      </w:pPr>
      <w:r>
        <w:rPr>
          <w:rFonts w:ascii="Times New Roman" w:hAnsi="Times New Roman" w:eastAsia="Times New Roman" w:cs="Times New Roman"/>
        </w:rPr>
        <w:t>“Gurũ wa kũu Igũrũ akũũriire atĩrĩ: ‘Nĩ ũheni ũrĩkũ mũnene ũngĩhota kũheenia meciiria gũkĩra kwĩrora ta nĩmũgĩteka igũrũ rĩa mũhingo ũrĩa mwagĩrĩire, na atĩ Ngai nĩakũnyita wĩra wanyu, no hĩndĩ ya ma nĩmũraruta maũndũ maingĩ kũringana na mĩtugo ya thĩ, na nĩmũrehaga ihĩtia kũrĩ Jehova? Ai, nĩ ũheni mũnene, ũheni ũrĩa ũgũcokagia ngoro, ũrĩa ũhingagĩra meciiria, rĩrĩa andũ arĩa maarĩ mamenyete ma atĩri ma, makĩhĩta mũhianano wa ũ-Ngai ta nĩwe roho na hinya wa wo; rĩrĩa meciragia atĩ marĩ atonga na nĩmakũrĩte indo nyingĩ, na matirĩ na gĩkũyũ kĩngĩ, hĩndĩ ya ma nĩ marĩ na gĩkũyũ gĩa kĩrĩa gĩothe.’”</w:t>
      </w:r>
    </w:p>
    <w:p>
      <w:pPr>
        <w:pStyle w:val="ArticleScripture"/>
        <w:jc w:val="left"/>
      </w:pPr>
      <w:r>
        <w:rPr>
          <w:rFonts w:ascii="Times New Roman" w:hAnsi="Times New Roman" w:eastAsia="Times New Roman" w:cs="Times New Roman"/>
        </w:rPr>
        <w:t>“Le Dieu n’a pas changé à l’égard de Ses serviteurs fidèles qui gardent leurs vêtements sans tache. Mais beaucoup s’écrient : « Paix et sûreté », tandis qu’une ruine soudaine fond sur eux. À moins qu’il n’y ait une repentance profonde, à moins que les hommes n’humilient leur cœur par la confession et ne reçoivent la vérité telle qu’elle est en Jésus, ils n’entreront jamais dans le ciel. Lorsque la purification aura lieu dans nos rangs, nous ne nous reposerons plus dans une fausse sécurité, nous glorifiant d’être riches, enrichis de biens, et de n’avoir besoin de rien.</w:t>
      </w:r>
    </w:p>
    <w:p>
      <w:pPr>
        <w:pStyle w:val="ArticleScripture"/>
        <w:jc w:val="left"/>
      </w:pPr>
      <w:r>
        <w:rPr>
          <w:rFonts w:ascii="Times New Roman" w:hAnsi="Times New Roman" w:eastAsia="Times New Roman" w:cs="Times New Roman"/>
        </w:rPr>
        <w:t>“Ko lahko resnicoljubno reče: ‘Naše zlato je preizkušeno v ognju; naša oblačila so neomadeževana od sveta’? Videla sem, kako je naš Učitelj pokazal na oblačila tako imenovane pravičnosti. Ko jih je strgal z njih, je razkril nečistost spodaj. Nato mi je rekel: ‘Ali ne vidiš, kako so s pretvarjanjem zakrili svojo nečistost in gnilobo značaja? “Kako je zvesto mesto postalo nečistnica!” Hiša mojega Očeta je postala hiša kupčije, kraj, od koder sta božanska navzočnost in slava odšli! Zaradi tega je navzoča slabost in manjka moči.’” Testimonies, zvezek 8, 249, 250.</w:t>
      </w:r>
    </w:p>
    <w:p>
      <w:pPr>
        <w:pStyle w:val="ArticleBody"/>
        <w:jc w:val="left"/>
      </w:pPr>
      <w:r>
        <w:rPr>
          <w:rFonts w:ascii="Times New Roman" w:hAnsi="Times New Roman" w:eastAsia="Times New Roman" w:cs="Times New Roman"/>
        </w:rPr>
        <w:t>L’adventisme était « la cité fidèle » lorsqu’il proclama le Cri de minuit en 1844. En 1863, il commença le processus de rejet des « fondements » qui avaient été établis par le ministère de William Miller. Lorsqu’ils se mirent à écarter les vérités fondamentales, les recouvrant ainsi de pierres précieuses et de pièces de monnaie contrefaites, ils édifiaient un nouveau fondement. Ceux qui ont commencé, poursuivi et continuent cette œuvre sont désignés, dans les écrits de l’Esprit de prophétie, comme « ceux qui ont reçu une grande lumière ».</w:t>
      </w:r>
    </w:p>
    <w:p>
      <w:pPr>
        <w:pStyle w:val="ArticleBody"/>
        <w:jc w:val="left"/>
      </w:pPr>
      <w:r>
        <w:rPr>
          <w:rFonts w:ascii="Times New Roman" w:hAnsi="Times New Roman" w:eastAsia="Times New Roman" w:cs="Times New Roman"/>
        </w:rPr>
        <w:t>“Најголемата светлина” што некогаш ја имаа, во Милеровиот сон беше претставена како скапоцените камења во ковчежето, кое Милер го постави на маса во средината на својата соба, и кои сјаеја посилно од „сонцето“. Во штотуку наведениот пасус, сестра Вајт ги определува „оние што имале голема светлина“, но „ги избрале своите сопствени патишта“.</w:t>
      </w:r>
    </w:p>
    <w:p>
      <w:pPr>
        <w:pStyle w:val="ArticleBody"/>
        <w:jc w:val="left"/>
      </w:pPr>
      <w:r>
        <w:rPr>
          <w:rFonts w:ascii="Times New Roman" w:hAnsi="Times New Roman" w:eastAsia="Times New Roman" w:cs="Times New Roman"/>
        </w:rPr>
        <w:t>Waliichagua njia mpya mwaka 1863. Anasema kwamba ni “udanganyifu wa kuvutia, unaoteka mawazo ya watu pale ambapo wale ambao wakati mmoja waliijua kweli, hukosea wakidhani sura ya utauwa ndiyo roho na nguvu yake; wanapodhani kwamba wao ni matajiri, wameongezewa mali, wala hawana haja ya kitu chochote, ilhali kwa hakika wanahitaji kila kitu.”</w:t>
      </w:r>
    </w:p>
    <w:p>
      <w:pPr>
        <w:pStyle w:val="ArticleBody"/>
        <w:jc w:val="left"/>
      </w:pPr>
      <w:r>
        <w:rPr>
          <w:rFonts w:ascii="Times New Roman" w:hAnsi="Times New Roman" w:eastAsia="Times New Roman" w:cs="Times New Roman"/>
        </w:rPr>
        <w:t>O loo faailoa mai e ia le tulaga o Laotikaia, lea na la iloa faatasi ma lona toalua na tupu i le 1856. Ona tofotofoina lea o i laʻua mo le fitu tausaga, ae na lē manuia i le tofotofoga i le 1863, ma amata ai ona fausia le faavae pepelo lea e aumaia ai le faaseseega malosi o le feʻau lapataʻi a Paulo i Tesalonia. O le lapataʻiga a Paulo i Tesalonia o se taula mo le gaoioiga i le amataga ma le faaiʻuga o le Faʻa-Ativene, ma e ogatusa atoatoa ma le miti a Miller, lea e faatatau i le amataga ma le faaiʻuga o le Faʻa-Ativene. O lana miti o loo faailoa mai ai e faapea, pe a faataunuuina le galuega o le toe faafoʻi mai o maa tāua muamua o le upu moni, o le a susulu na upu moni e sefulu ona sili atu nai lo le taimi na muamua susulu mai ai i le Alaga o le Vaeluaga o le Po i le amataga o le Faʻa-Ativene. E faapefea la ona susulu atu le malamalama o le malamalamaaga a Miller i le taimi nei e sili atu nai lo le taimi na ia muaʻi iloa ai le upu moni?</w:t>
      </w:r>
    </w:p>
    <w:p>
      <w:pPr>
        <w:pStyle w:val="ArticleBody"/>
        <w:jc w:val="left"/>
      </w:pPr>
      <w:r>
        <w:rPr>
          <w:rFonts w:ascii="Nirmala UI" w:hAnsi="Nirmala UI" w:eastAsia="Nirmala UI" w:cs="Nirmala UI"/>
        </w:rPr>
        <w:t>੨</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ਦਰਸਾਈਆਂ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ਹੀਰਿਆਂ</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ਦਰਸਾਈਆਂ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ਬਹਾਲ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ਖਿੜਕੀ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ਰਚਣ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ਓਹਲੇ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ਛੱਡਣ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ਇਨਕਾਰ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“The daily”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w:t>
      </w:r>
      <w:r>
        <w:rPr>
          <w:rFonts w:ascii="Nirmala UI" w:hAnsi="Nirmala UI" w:eastAsia="Nirmala UI" w:cs="Nirmala UI"/>
        </w:rPr>
        <w:t>ਢਾਂਚੇ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ਲੰਗਰ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“the daily”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ਮੂਰਤੀਪੂਜਕਤਾ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ਕੀਤੀ।</w:t>
      </w:r>
    </w:p>
    <w:p>
      <w:pPr>
        <w:pStyle w:val="ArticleBody"/>
        <w:jc w:val="left"/>
      </w:pPr>
      <w:r>
        <w:rPr>
          <w:rFonts w:ascii="Times New Roman" w:hAnsi="Times New Roman" w:eastAsia="Times New Roman" w:cs="Times New Roman"/>
        </w:rPr>
        <w:t>La Bible, l’Esprit de prophétie et l’histoire attestent tous que le cri de l’heure du jugement, de 1798 à 1844, fut la proclamation du message découvert et présenté par William Miller. C’est pourquoi ce mouvement est appelé le mouvement millérite. Logiquement, rejeter ce mouvement, c’est rejeter la lumière qui fut produite en 1798, que Daniel identifia comme un accroissement de la connaissance.</w:t>
      </w:r>
    </w:p>
    <w:p>
      <w:pPr>
        <w:pStyle w:val="ArticleBody"/>
        <w:jc w:val="left"/>
      </w:pPr>
      <w:r>
        <w:rPr>
          <w:rFonts w:ascii="Times New Roman" w:hAnsi="Times New Roman" w:eastAsia="Times New Roman" w:cs="Times New Roman"/>
        </w:rPr>
        <w:t>Ésaïe parle des ivrognes d’Éphraïm, et il identifie ces ivrognes aux hommes moqueurs qui gouvernent le peuple de Jérusalem. Ésaïe précise qu’ils ne sont pas ivres de vin littéral, mais de vin spirituel. Dans la Bible, le vin spirituel désigne, selon le contexte, soit la vraie doctrine, soit la fausse. Les ivrognes d’Éphraïm sont ivres de fausse doctrine, laquelle est le vin de Babylone, représenté par la prostituée de Tyr au chapitre dix-sept de l’Apocalypse et par Belshatsar lors de sa dernière nuit de festin.</w:t>
      </w:r>
    </w:p>
    <w:p>
      <w:pPr>
        <w:pStyle w:val="ArticleBody"/>
        <w:jc w:val="left"/>
      </w:pPr>
      <w:r>
        <w:rPr>
          <w:rFonts w:ascii="Times New Roman" w:hAnsi="Times New Roman" w:eastAsia="Times New Roman" w:cs="Times New Roman"/>
        </w:rPr>
        <w:t>Isaïe a identifié les effets de l’ivresse spirituelle qui s’abat sur les hommes moqueurs qui gouvernent le peuple de Jérusalem.</w:t>
      </w:r>
    </w:p>
    <w:p>
      <w:pPr>
        <w:pStyle w:val="ArticleScripture"/>
        <w:jc w:val="left"/>
      </w:pPr>
      <w:r>
        <w:rPr>
          <w:rFonts w:ascii="Times New Roman" w:hAnsi="Times New Roman" w:eastAsia="Times New Roman" w:cs="Times New Roman"/>
        </w:rPr>
        <w:t>Kwimani, mushangale; linyeni, mukolole: balikolelwe, lelo te kuvinyo; balituntumana, lelo te ku bikolwa bikali. Pantu Yehova amupongolwelapo umupashi wa tulo twakushika, kabili alisala amenso yenu: baporofeti na bakateka benu, baloleshi, ni bo afimbile. Kabili ukumwenako kwa fyonse kwaba kuli imwe nge fyebo fye buku ilyasindikwa, ilyo abantu bapele kuli umo uwasambilila, ukutila, Belenga ici, ndalomba: nao atila, Nshingabelenga; pantu calisindikwa: Kabili buku bapele kuli uyo ushasambilila, ukutila, Belenga ici, ndalomba: nao atila, Nshasambilila. Eico Mukama atile, Pantu aba bantu belela kumpalama na kanwa kabo, kabili na milomo yabo bampela umucinshi, lelo balifumya imitima yabo ukutali na ine, kabili ukutina kwabo kuli ine kusambilishiwa ku malango ya bantu: Eico, moneni, nkatwalilila ukucita umulimo uwakushangaza pakati ka aba bantu, ee, umulimo uwakushangaza no kumwenako: pantu amano ya bantu babo abacenjela yakonaika, kabili ukumfwa kwa bantu babo abamano kukafiswa. Calanda kuli abo abasakamana ukufisa amano yabo ukutali na Yehova, kabili imilimo yabo ili mu mfifi, kabili batila, Nani uletumona? kabili nani uletwishiba? Mucine, ukupilibula kwenu ifintu panshi na pa mulu kukeshibwa nge bulongo bwa mubumbi: pantu bushe icitwa cingalanda pali uyo wa cicita, Ukuti, Tana ncita? nangu cintu icabumbwa cingalanda pali uyo wa cibumba, Ukuti, Tali na mano? Esaya 29:9–16.</w:t>
      </w:r>
    </w:p>
    <w:p>
      <w:pPr>
        <w:pStyle w:val="ArticleBody"/>
        <w:jc w:val="left"/>
      </w:pPr>
      <w:r>
        <w:rPr>
          <w:rFonts w:ascii="Times New Roman" w:hAnsi="Times New Roman" w:eastAsia="Times New Roman" w:cs="Times New Roman"/>
        </w:rPr>
        <w:t>Mwanamke White ananukuu aya hizi kisha anaongeza:</w:t>
      </w:r>
    </w:p>
    <w:p>
      <w:pPr>
        <w:pStyle w:val="ArticleScripture"/>
        <w:jc w:val="left"/>
      </w:pPr>
      <w:r>
        <w:rPr>
          <w:rFonts w:ascii="Times New Roman" w:hAnsi="Times New Roman" w:eastAsia="Times New Roman" w:cs="Times New Roman"/>
        </w:rPr>
        <w:t>«هر کلمهٔ این به انجام خواهد رسید. کسانی هستند که دل‌های خویش را در حضور خدا فروتن نمی‌سازند و به راستی و درستی سلوک نخواهند کرد. آنان مقاصد حقیقی خود را پنهان می‌دارند و با فرشتهٔ ساقط‌شده مشارکت نگاه می‌دارند؛ همان که دروغ را دوست می‌دارد و به عمل می‌آورد. دشمن روح خود را بر مردانی می‌نهد که می‌تواند از ایشان برای فریب دادن کسانی که تا اندازه‌ای در تاریکی‌اند، استفاده کند. برخی آکنده از ظلمتِ غالب می‌شوند و حقیقت را به کنار نهاده، خطا را اختیار می‌کنند. آن روزی که نبوت بدان اشاره کرده است، فرا رسیده است. عیسی مسیح شناخته نمی‌شود. عیسی مسیح برای ایشان افسانه‌ای بیش نیست. در این مرحله از تاریخ زمین، بسیاری چون مردان مست رفتار می‌کنند. «درنگ کنید و متحیّر شوید؛ فریاد برآورید و فریاد کنید؛ ایشان مست‌اند، لیکن نه از شراب؛ تلوتلو می‌خورند، لیکن نه از مسکر. زیرا خداوند روحِ خوابِ عمیق را بر شما ریخته، و چشمان شما را بسته است. انبیا و رؤسای شما، یعنی رائیان را، پوشانیده است.» مستیِ روحانی بر بسیاری مستولی است که گمان می‌برند همان قومی هستند که سرافراز خواهند شد. ایمان دینیِ ایشان دقیقاً همان‌گونه است که در این آیهٔ کتاب‌مقدس تصویر شده است. تحت تأثیر آن، نمی‌توانند راست گام بردارند. آنان در شیوهٔ عمل خود راه‌های کج می‌سازند. یکی و سپس دیگری، به این سو و آن سو متزلزل می‌شوند. خداوند با شفقتی عظیم بر آنان می‌نگرد. راهِ حقیقت را نشناخته‌اند. آنان نیرنگ‌پردازانِ علم‌نما هستند، و کسانی که می‌توانستند و می‌بایست یاری دهند، به سبب بیناییِ روشنِ روحانی، خود فریب خورده‌اند و کاری شریرانه را پشتیبانی می‌کنند.»</w:t>
      </w:r>
    </w:p>
    <w:p>
      <w:pPr>
        <w:pStyle w:val="ArticleScripture"/>
        <w:jc w:val="left"/>
      </w:pPr>
      <w:r>
        <w:rPr>
          <w:rFonts w:ascii="Times New Roman" w:hAnsi="Times New Roman" w:eastAsia="Times New Roman" w:cs="Times New Roman"/>
        </w:rPr>
        <w:t>«Өдрийн төгсгөлийн эдгээр үйл явдлууд удахгүй шийдвэрлэх шинжтэй болно. Эдгээр спиритист мэхлэлүүд үнэн хэрэгтээ юу болох нь—ёс бус сүнснүүдийн нууц ажиллагаа мөн болох нь—илчлэгдмэгц, тэдгээрт оролцож үйлдсэн хүмүүс ухаан санаагаа алдсан хүмүүс мэт болно.</w:t>
      </w:r>
    </w:p>
    <w:p>
      <w:pPr>
        <w:pStyle w:val="ArticleScripture"/>
        <w:jc w:val="left"/>
      </w:pPr>
      <w:r>
        <w:rPr>
          <w:rFonts w:ascii="Times New Roman" w:hAnsi="Times New Roman" w:eastAsia="Times New Roman" w:cs="Times New Roman"/>
        </w:rPr>
        <w:t>«Поэтому Господь говорит: так как этот народ приближается ко Мне устами своими и чтит Меня языком своим, сердце же своё удалил от Меня, и благоговение его предо Мною есть заученная заповедь человеческая, — то вот, Я вновь явлю дивное дело с этим народом, дивное и чудное; ибо мудрость мудрецов его погибнет, и разум разумных его сокроется. Горе тем, которые глубоко скрывают от Господа замысел свой, и дела их совершаются во тьме, и они говорят: кто увидит нас? и кто узнает нас? Какое извращение! Неужели глину будут почитать за горшечника? Скажет ли изделие о сделавшем его: „не он сделал меня“? и скажет ли образованное о образовавшем его: „он не разумеет“?»</w:t>
      </w:r>
    </w:p>
    <w:p>
      <w:pPr>
        <w:pStyle w:val="ArticleScripture"/>
        <w:jc w:val="left"/>
      </w:pPr>
      <w:r>
        <w:rPr>
          <w:rFonts w:ascii="Times New Roman" w:hAnsi="Times New Roman" w:eastAsia="Times New Roman" w:cs="Times New Roman"/>
        </w:rPr>
        <w:t>“Na mi moni olsem, long eksperiens bilong yumi, yumi bin stap na yumi stap bungim stret dispela kain sindaun bilong ol samting. Ol man husat i bin kisim bikpela lait na ol narakain nambawan blesing, ol i bin kisim tok bilong ol lida husat i ting ol yet i gat savetingting, husat Bikpela i bin givim planti gutpela blesing na mekim gut long ol, tasol ol i bin rausim ol yet long han bilong God na putim ol yet long lain bilong birua. Bai graun olgeta i pulap long ol giaman tok i gat naispela luk tasol. Wanpela tingting bilong man, taim em i kisim dispela ol giaman tok, bai wok long ol narapela tingting bilong man, husat i bin tanim dispela dia tru tok pruf bilong tru bilong God i kamap giaman. Dispela ol man bai ol pundaun ensel i giamanim, taim ol i bin mas sanap olsem ol gutpela wasman i stap gut long lukautim ol sol, olsem ol husat bai ol i mas givim ripot long en. Ol i bin putim daun ol pait bilas bilong ol long wara bilong pait bilong ol, na ol i bin putim yau long ol spirit i save pulim man i lus. Ol i mekim tok kaunsel bilong God i no gat strong, na ol i putim aside ol tok lukaut na stretim tok bilong en, na tru tumas ol i stap long sait bilong Seten, putim yau long ol spirit i save pulim man i lus na long ol skul tok bilong ol devil.”</w:t>
      </w:r>
    </w:p>
    <w:p>
      <w:pPr>
        <w:pStyle w:val="ArticleScripture"/>
        <w:jc w:val="left"/>
      </w:pPr>
      <w:r>
        <w:rPr>
          <w:rFonts w:ascii="Times New Roman" w:hAnsi="Times New Roman" w:eastAsia="Times New Roman" w:cs="Times New Roman"/>
        </w:rPr>
        <w:t>“La ivresse spirituelle s’empare maintenant d’hommes qui ne devraient pas chanceler comme des hommes sous l’emprise des boissons fortes. Les crimes et les désordres, la fraude, la tromperie et les pratiques déloyales remplissent le monde, conformément à l’enseignement du chef qui se révolta dans les parvis célestes.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ព្រឹត្តិការណ៍ក្នុងប្រវត្តិសាស្ត្រនឹងកើតឡើងម្តងទៀត។</w:t>
      </w:r>
      <w:r>
        <w:rPr>
          <w:rFonts w:ascii="Times New Roman" w:hAnsi="Times New Roman" w:eastAsia="Times New Roman" w:cs="Times New Roman"/>
        </w:rPr>
        <w:t xml:space="preserve"> </w:t>
      </w:r>
      <w:r>
        <w:rPr>
          <w:rFonts w:ascii="Leelawadee UI" w:hAnsi="Leelawadee UI" w:eastAsia="Leelawadee UI" w:cs="Leelawadee UI"/>
        </w:rPr>
        <w:t>ខ្ញុំអាចបញ្ជាក់បានថា</w:t>
      </w:r>
      <w:r>
        <w:rPr>
          <w:rFonts w:ascii="Times New Roman" w:hAnsi="Times New Roman" w:eastAsia="Times New Roman" w:cs="Times New Roman"/>
        </w:rPr>
        <w:t xml:space="preserve"> </w:t>
      </w:r>
      <w:r>
        <w:rPr>
          <w:rFonts w:ascii="Leelawadee UI" w:hAnsi="Leelawadee UI" w:eastAsia="Leelawadee UI" w:cs="Leelawadee UI"/>
        </w:rPr>
        <w:t>អ្វីខ្លះនឹងកើតមាននៅអនាគតដ៏ខ្លីខាងមុខ</w:t>
      </w:r>
      <w:r>
        <w:rPr>
          <w:rFonts w:ascii="Times New Roman" w:hAnsi="Times New Roman" w:eastAsia="Times New Roman" w:cs="Times New Roman"/>
        </w:rPr>
        <w:t xml:space="preserve"> </w:t>
      </w:r>
      <w:r>
        <w:rPr>
          <w:rFonts w:ascii="Leelawadee UI" w:hAnsi="Leelawadee UI" w:eastAsia="Leelawadee UI" w:cs="Leelawadee UI"/>
        </w:rPr>
        <w:t>ប៉ុន្តែពេលវេលានោះមិនទាន់មកដល់នៅឡើយទេ។</w:t>
      </w:r>
      <w:r>
        <w:rPr>
          <w:rFonts w:ascii="Times New Roman" w:hAnsi="Times New Roman" w:eastAsia="Times New Roman" w:cs="Times New Roman"/>
        </w:rPr>
        <w:t xml:space="preserve"> </w:t>
      </w:r>
      <w:r>
        <w:rPr>
          <w:rFonts w:ascii="Leelawadee UI" w:hAnsi="Leelawadee UI" w:eastAsia="Leelawadee UI" w:cs="Leelawadee UI"/>
        </w:rPr>
        <w:t>រូបរាងរបស់មនុស្សស្លាប់នឹងលេចមក</w:t>
      </w:r>
      <w:r>
        <w:rPr>
          <w:rFonts w:ascii="Times New Roman" w:hAnsi="Times New Roman" w:eastAsia="Times New Roman" w:cs="Times New Roman"/>
        </w:rPr>
        <w:t xml:space="preserve"> </w:t>
      </w:r>
      <w:r>
        <w:rPr>
          <w:rFonts w:ascii="Leelawadee UI" w:hAnsi="Leelawadee UI" w:eastAsia="Leelawadee UI" w:cs="Leelawadee UI"/>
        </w:rPr>
        <w:t>បង្ហាញខ្លួនតាមរយៈឧបាយកលដ៏ប៉ិនប្រសប់របស់សាតាំង</w:t>
      </w:r>
      <w:r>
        <w:rPr>
          <w:rFonts w:ascii="Times New Roman" w:hAnsi="Times New Roman" w:eastAsia="Times New Roman" w:cs="Times New Roman"/>
        </w:rPr>
        <w:t xml:space="preserve"> </w:t>
      </w:r>
      <w:r>
        <w:rPr>
          <w:rFonts w:ascii="Leelawadee UI" w:hAnsi="Leelawadee UI" w:eastAsia="Leelawadee UI" w:cs="Leelawadee UI"/>
        </w:rPr>
        <w:t>ហើយមនុស្សជាច្រើននឹងភ្ជាប់ខ្លួនជាមួយនឹងអ្នកដែលស្រឡាញ់</w:t>
      </w:r>
      <w:r>
        <w:rPr>
          <w:rFonts w:ascii="Times New Roman" w:hAnsi="Times New Roman" w:eastAsia="Times New Roman" w:cs="Times New Roman"/>
        </w:rPr>
        <w:t xml:space="preserve"> </w:t>
      </w:r>
      <w:r>
        <w:rPr>
          <w:rFonts w:ascii="Leelawadee UI" w:hAnsi="Leelawadee UI" w:eastAsia="Leelawadee UI" w:cs="Leelawadee UI"/>
        </w:rPr>
        <w:t>និងប្រព្រឹត្តការកុហក។</w:t>
      </w:r>
      <w:r>
        <w:rPr>
          <w:rFonts w:ascii="Times New Roman" w:hAnsi="Times New Roman" w:eastAsia="Times New Roman" w:cs="Times New Roman"/>
        </w:rPr>
        <w:t xml:space="preserve"> </w:t>
      </w:r>
      <w:r>
        <w:rPr>
          <w:rFonts w:ascii="Leelawadee UI" w:hAnsi="Leelawadee UI" w:eastAsia="Leelawadee UI" w:cs="Leelawadee UI"/>
        </w:rPr>
        <w:t>ខ្ញុំព្រមានប្រជាជនរបស់យើងថា</w:t>
      </w:r>
      <w:r>
        <w:rPr>
          <w:rFonts w:ascii="Times New Roman" w:hAnsi="Times New Roman" w:eastAsia="Times New Roman" w:cs="Times New Roman"/>
        </w:rPr>
        <w:t xml:space="preserve"> </w:t>
      </w:r>
      <w:r>
        <w:rPr>
          <w:rFonts w:ascii="Leelawadee UI" w:hAnsi="Leelawadee UI" w:eastAsia="Leelawadee UI" w:cs="Leelawadee UI"/>
        </w:rPr>
        <w:t>នៅកណ្ដាលយើងនេះឯង</w:t>
      </w:r>
      <w:r>
        <w:rPr>
          <w:rFonts w:ascii="Times New Roman" w:hAnsi="Times New Roman" w:eastAsia="Times New Roman" w:cs="Times New Roman"/>
        </w:rPr>
        <w:t xml:space="preserve"> </w:t>
      </w:r>
      <w:r>
        <w:rPr>
          <w:rFonts w:ascii="Leelawadee UI" w:hAnsi="Leelawadee UI" w:eastAsia="Leelawadee UI" w:cs="Leelawadee UI"/>
        </w:rPr>
        <w:t>នឹងមានអ្នកខ្លះបែរចេញពីសេចក្តីជំនឿ</w:t>
      </w:r>
      <w:r>
        <w:rPr>
          <w:rFonts w:ascii="Times New Roman" w:hAnsi="Times New Roman" w:eastAsia="Times New Roman" w:cs="Times New Roman"/>
        </w:rPr>
        <w:t xml:space="preserve"> </w:t>
      </w:r>
      <w:r>
        <w:rPr>
          <w:rFonts w:ascii="Leelawadee UI" w:hAnsi="Leelawadee UI" w:eastAsia="Leelawadee UI" w:cs="Leelawadee UI"/>
        </w:rPr>
        <w:t>ហើយយកចិត្តទុកដាក់ចំពោះវិញ្ញាណបោកបញ្ឆោត</w:t>
      </w:r>
      <w:r>
        <w:rPr>
          <w:rFonts w:ascii="Times New Roman" w:hAnsi="Times New Roman" w:eastAsia="Times New Roman" w:cs="Times New Roman"/>
        </w:rPr>
        <w:t xml:space="preserve"> </w:t>
      </w:r>
      <w:r>
        <w:rPr>
          <w:rFonts w:ascii="Leelawadee UI" w:hAnsi="Leelawadee UI" w:eastAsia="Leelawadee UI" w:cs="Leelawadee UI"/>
        </w:rPr>
        <w:t>និងសេចក្តីបង្រៀនរបស់អារក្ស</w:t>
      </w:r>
      <w:r>
        <w:rPr>
          <w:rFonts w:ascii="Times New Roman" w:hAnsi="Times New Roman" w:eastAsia="Times New Roman" w:cs="Times New Roman"/>
        </w:rPr>
        <w:t xml:space="preserve"> </w:t>
      </w:r>
      <w:r>
        <w:rPr>
          <w:rFonts w:ascii="Leelawadee UI" w:hAnsi="Leelawadee UI" w:eastAsia="Leelawadee UI" w:cs="Leelawadee UI"/>
        </w:rPr>
        <w:t>ហើយដោយសារពួកគេ</w:t>
      </w:r>
      <w:r>
        <w:rPr>
          <w:rFonts w:ascii="Times New Roman" w:hAnsi="Times New Roman" w:eastAsia="Times New Roman" w:cs="Times New Roman"/>
        </w:rPr>
        <w:t xml:space="preserve"> </w:t>
      </w:r>
      <w:r>
        <w:rPr>
          <w:rFonts w:ascii="Leelawadee UI" w:hAnsi="Leelawadee UI" w:eastAsia="Leelawadee UI" w:cs="Leelawadee UI"/>
        </w:rPr>
        <w:t>សេចក្តីពិតនឹងត្រូវគេនិយាយអាក្រក់អំពីវា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Battle Creek Letters, 123–125.</w:t>
      </w:r>
    </w:p>
    <w:p>
      <w:pPr>
        <w:pStyle w:val="ArticleBody"/>
        <w:jc w:val="left"/>
      </w:pPr>
      <w:r>
        <w:rPr>
          <w:rFonts w:ascii="Times New Roman" w:hAnsi="Times New Roman" w:eastAsia="Times New Roman" w:cs="Times New Roman"/>
        </w:rPr>
        <w:t>Manami profeta, pakairamo Isaias ken Sister White, ket agtanda iti maudi nga aldaw. Kadagitoy nga aldaw dagiti pangulo ti Adventismo “ket naipositibo a nasa panig ni Satanas, nga mangted iti panagdayaw kadagiti makaallilaw nga espiritu ken kadagiti sursuro dagiti sairo.” Iyunnat ni Sister White ti maysa a padto idi a kinunana, “Inton dagitoy a spiritualistiko nga allilaw maiparangarangda a kas iti pudno a kasasaadda,—dagiti nalimed a panagaramid dagiti dakes nga espiritu,—dagidiay immaramid iti paset kadakuada agbalinto a kas kadagiti lallaki a napukawda ti pampanunotda.” Dagiti pangulo ti Adventismo agbalinto a kas kadagiti lallaki a napukawda ti pampanunotda, iti punto ti pakasaritaan dagiti maudi nga aldaw inton maiparangarang ti kinabartekda a kas “dagiti nalimed a panagaramid dagiti dakes nga espiritu.”</w:t>
      </w:r>
    </w:p>
    <w:p>
      <w:pPr>
        <w:pStyle w:val="ArticleBody"/>
        <w:jc w:val="left"/>
      </w:pPr>
      <w:r>
        <w:rPr>
          <w:rFonts w:ascii="Times New Roman" w:hAnsi="Times New Roman" w:eastAsia="Times New Roman" w:cs="Times New Roman"/>
        </w:rPr>
        <w:t>Ezinsukangulwa komsebenzi wabantu abaklolodayo ababusa abantu eJerusalema ezinsukwini zokugcina. Lokho kusukangulwa kwaboniswa emfanekisweni ephusheni likaMiller, lapho uMiller athandaza khona, kwase kuvulwa umnyango. Lokho kwenzeka ngaphambi nje kokuba avale amehlo akhe isikhashana, kukhombe isiphetho uqobo lwenqubo yokubekwa uphawu kwabeyikhulu namashumi amane nane ezinkulungwane. Ukuvuleka komnyango kukhomba ukuguquka kwezinkathi zokuphathwa, futhi ngaleso sikhathi inhlangano yaseLawodikeya yengelosi yesithathu iguqukela enhlanganweni yaseFiladelfiya yengelosi yesithathu.</w:t>
      </w:r>
    </w:p>
    <w:p>
      <w:pPr>
        <w:pStyle w:val="ArticleBody"/>
        <w:jc w:val="left"/>
      </w:pPr>
      <w:r>
        <w:rPr>
          <w:rFonts w:ascii="Times New Roman" w:hAnsi="Times New Roman" w:eastAsia="Times New Roman" w:cs="Times New Roman"/>
        </w:rPr>
        <w:t>Yɛ faako a ɛwɔ Yesaia mu no, wɔde Efraim asanomfo no bɔne adwuma no to dwa, wɔn a wɔyɛ mmarima a “anka ɛsɛ sɛ wogyinae sɛ ahwɛfoɔ anokwafo.” Wɔda saa tɔfabɔ no adi sɛ, “‘Ampa ara, mo nneɛma-dannan no wɔbebu no sɛ ɔnwomfo dɔteɛ; na adwuma no bɛka afa nea ɔyɛe no ho sɛ, Wanyɛ me anaa? Anaa ade a wɔayɛ no bɛka afa nea ɔyɛe no ho sɛ, Ɔnni ntease?’”</w:t>
      </w:r>
    </w:p>
    <w:p>
      <w:pPr>
        <w:pStyle w:val="ArticleBody"/>
        <w:jc w:val="left"/>
      </w:pPr>
      <w:r>
        <w:rPr>
          <w:rFonts w:ascii="Times New Roman" w:hAnsi="Times New Roman" w:eastAsia="Times New Roman" w:cs="Times New Roman"/>
        </w:rPr>
        <w:t>La identificación que hace Miller de “el continuo”, ya sea como la religión del paganismo o como la Roma pagana, es en última instancia un símbolo de Satanás, pues tanto Satanás como la Roma pagana están representados como el dragón.</w:t>
      </w:r>
    </w:p>
    <w:p>
      <w:pPr>
        <w:pStyle w:val="ArticleScripture"/>
        <w:jc w:val="left"/>
      </w:pPr>
      <w:r>
        <w:rPr>
          <w:rFonts w:ascii="Times New Roman" w:hAnsi="Times New Roman" w:eastAsia="Times New Roman" w:cs="Times New Roman"/>
        </w:rPr>
        <w:t>« Ainsi, bien que le dragon représente, au premier chef, Satan, il est aussi, en un sens secondaire, un symbole de la Rome païenne. » The Great Controversy, 439.</w:t>
      </w:r>
    </w:p>
    <w:p>
      <w:pPr>
        <w:pStyle w:val="ArticleBody"/>
        <w:jc w:val="left"/>
      </w:pPr>
      <w:r>
        <w:rPr>
          <w:rFonts w:ascii="Nirmala UI" w:hAnsi="Nirmala UI" w:eastAsia="Nirmala UI" w:cs="Nirmala UI"/>
        </w:rPr>
        <w:t>ਅੰਤਲੇ</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ਬੋਲਦਿਆਂ</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ਹਨੇਰੇ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ਭਿੱਜਦੇ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ਵਿਆਪਕ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ਤਿਆਗ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ਗ੍ਰਹਿਣ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ਨਬੂਵਤ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ਕਲਪਿਤ</w:t>
      </w:r>
      <w:r>
        <w:rPr>
          <w:rFonts w:ascii="Times New Roman" w:hAnsi="Times New Roman" w:eastAsia="Times New Roman" w:cs="Times New Roman"/>
        </w:rPr>
        <w:t xml:space="preserve"> </w:t>
      </w:r>
      <w:r>
        <w:rPr>
          <w:rFonts w:ascii="Nirmala UI" w:hAnsi="Nirmala UI" w:eastAsia="Nirmala UI" w:cs="Nirmala UI"/>
        </w:rPr>
        <w:t>ਕਹਾਣੀ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1901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ਜਰਮਨੀ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ਪ੍ਰਚਾਰ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ਲਿਆਉਣਾ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ਪਵਿੱਤਰਸਥਾਨੀ</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1901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ਹਮੇਸ਼ਾਂ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ਨਤੀਜੇ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ਪ੍ਰਕਾਰ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Nirmala UI" w:hAnsi="Nirmala UI" w:eastAsia="Nirmala UI" w:cs="Nirmala UI"/>
        </w:rPr>
        <w:t>रत्नजडित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शिकवण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मिलरने</w:t>
      </w:r>
      <w:r>
        <w:rPr>
          <w:rFonts w:ascii="Times New Roman" w:hAnsi="Times New Roman" w:eastAsia="Times New Roman" w:cs="Times New Roman"/>
        </w:rPr>
        <w:t xml:space="preserve"> </w:t>
      </w:r>
      <w:r>
        <w:rPr>
          <w:rFonts w:ascii="Nirmala UI" w:hAnsi="Nirmala UI" w:eastAsia="Nirmala UI" w:cs="Nirmala UI"/>
        </w:rPr>
        <w:t>सैतानाचे</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ओळखली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दिवसांतील</w:t>
      </w:r>
      <w:r>
        <w:rPr>
          <w:rFonts w:ascii="Times New Roman" w:hAnsi="Times New Roman" w:eastAsia="Times New Roman" w:cs="Times New Roman"/>
        </w:rPr>
        <w:t xml:space="preserve"> </w:t>
      </w:r>
      <w:r>
        <w:rPr>
          <w:rFonts w:ascii="Nirmala UI" w:hAnsi="Nirmala UI" w:eastAsia="Nirmala UI" w:cs="Nirmala UI"/>
        </w:rPr>
        <w:t>अॅडव्हेंटिझममध्ये</w:t>
      </w:r>
      <w:r>
        <w:rPr>
          <w:rFonts w:ascii="Times New Roman" w:hAnsi="Times New Roman" w:eastAsia="Times New Roman" w:cs="Times New Roman"/>
        </w:rPr>
        <w:t xml:space="preserve"> </w:t>
      </w:r>
      <w:r>
        <w:rPr>
          <w:rFonts w:ascii="Nirmala UI" w:hAnsi="Nirmala UI" w:eastAsia="Nirmala UI" w:cs="Nirmala UI"/>
        </w:rPr>
        <w:t>ख्रिस्ताचे</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मानली</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लागली</w:t>
      </w:r>
      <w:r>
        <w:rPr>
          <w:rFonts w:ascii="Times New Roman" w:hAnsi="Times New Roman" w:eastAsia="Times New Roman" w:cs="Times New Roman"/>
        </w:rPr>
        <w:t xml:space="preserve">. 1901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मांडणी</w:t>
      </w:r>
      <w:r>
        <w:rPr>
          <w:rFonts w:ascii="Times New Roman" w:hAnsi="Times New Roman" w:eastAsia="Times New Roman" w:cs="Times New Roman"/>
        </w:rPr>
        <w:t xml:space="preserve"> </w:t>
      </w:r>
      <w:r>
        <w:rPr>
          <w:rFonts w:ascii="Nirmala UI" w:hAnsi="Nirmala UI" w:eastAsia="Nirmala UI" w:cs="Nirmala UI"/>
        </w:rPr>
        <w:t>सादर</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सैतानाचे</w:t>
      </w:r>
      <w:r>
        <w:rPr>
          <w:rFonts w:ascii="Times New Roman" w:hAnsi="Times New Roman" w:eastAsia="Times New Roman" w:cs="Times New Roman"/>
        </w:rPr>
        <w:t xml:space="preserve"> </w:t>
      </w:r>
      <w:r>
        <w:rPr>
          <w:rFonts w:ascii="Nirmala UI" w:hAnsi="Nirmala UI" w:eastAsia="Nirmala UI" w:cs="Nirmala UI"/>
        </w:rPr>
        <w:t>नव्हे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ख्रिस्ताचे</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दृष्टिकोन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थोड्यांनी</w:t>
      </w:r>
      <w:r>
        <w:rPr>
          <w:rFonts w:ascii="Times New Roman" w:hAnsi="Times New Roman" w:eastAsia="Times New Roman" w:cs="Times New Roman"/>
        </w:rPr>
        <w:t xml:space="preserve"> </w:t>
      </w:r>
      <w:r>
        <w:rPr>
          <w:rFonts w:ascii="Nirmala UI" w:hAnsi="Nirmala UI" w:eastAsia="Nirmala UI" w:cs="Nirmala UI"/>
        </w:rPr>
        <w:t>स्वीकारला</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1930 </w:t>
      </w:r>
      <w:r>
        <w:rPr>
          <w:rFonts w:ascii="Nirmala UI" w:hAnsi="Nirmala UI" w:eastAsia="Nirmala UI" w:cs="Nirmala UI"/>
        </w:rPr>
        <w:t>च्या</w:t>
      </w:r>
      <w:r>
        <w:rPr>
          <w:rFonts w:ascii="Times New Roman" w:hAnsi="Times New Roman" w:eastAsia="Times New Roman" w:cs="Times New Roman"/>
        </w:rPr>
        <w:t xml:space="preserve"> </w:t>
      </w:r>
      <w:r>
        <w:rPr>
          <w:rFonts w:ascii="Nirmala UI" w:hAnsi="Nirmala UI" w:eastAsia="Nirmala UI" w:cs="Nirmala UI"/>
        </w:rPr>
        <w:t>दशकापर्यंत</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शिकवणीचे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मिलरने</w:t>
      </w:r>
      <w:r>
        <w:rPr>
          <w:rFonts w:ascii="Times New Roman" w:hAnsi="Times New Roman" w:eastAsia="Times New Roman" w:cs="Times New Roman"/>
        </w:rPr>
        <w:t xml:space="preserve"> 2 Thessalonians, chapter two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आढळणाऱ्या</w:t>
      </w:r>
      <w:r>
        <w:rPr>
          <w:rFonts w:ascii="Times New Roman" w:hAnsi="Times New Roman" w:eastAsia="Times New Roman" w:cs="Times New Roman"/>
        </w:rPr>
        <w:t xml:space="preserve"> </w:t>
      </w:r>
      <w:r>
        <w:rPr>
          <w:rFonts w:ascii="Nirmala UI" w:hAnsi="Nirmala UI" w:eastAsia="Nirmala UI" w:cs="Nirmala UI"/>
        </w:rPr>
        <w:t>सत्याच्या</w:t>
      </w:r>
      <w:r>
        <w:rPr>
          <w:rFonts w:ascii="Times New Roman" w:hAnsi="Times New Roman" w:eastAsia="Times New Roman" w:cs="Times New Roman"/>
        </w:rPr>
        <w:t xml:space="preserve"> </w:t>
      </w:r>
      <w:r>
        <w:rPr>
          <w:rFonts w:ascii="Nirmala UI" w:hAnsi="Nirmala UI" w:eastAsia="Nirmala UI" w:cs="Nirmala UI"/>
        </w:rPr>
        <w:t>शिरेतून</w:t>
      </w:r>
      <w:r>
        <w:rPr>
          <w:rFonts w:ascii="Times New Roman" w:hAnsi="Times New Roman" w:eastAsia="Times New Roman" w:cs="Times New Roman"/>
        </w:rPr>
        <w:t xml:space="preserve"> </w:t>
      </w:r>
      <w:r>
        <w:rPr>
          <w:rFonts w:ascii="Nirmala UI" w:hAnsi="Nirmala UI" w:eastAsia="Nirmala UI" w:cs="Nirmala UI"/>
        </w:rPr>
        <w:t>खोदून</w:t>
      </w:r>
      <w:r>
        <w:rPr>
          <w:rFonts w:ascii="Times New Roman" w:hAnsi="Times New Roman" w:eastAsia="Times New Roman" w:cs="Times New Roman"/>
        </w:rPr>
        <w:t xml:space="preserve"> </w:t>
      </w:r>
      <w:r>
        <w:rPr>
          <w:rFonts w:ascii="Nirmala UI" w:hAnsi="Nirmala UI" w:eastAsia="Nirmala UI" w:cs="Nirmala UI"/>
        </w:rPr>
        <w:t>काढले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नाकारले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Leviticus twenty-six </w:t>
      </w:r>
      <w:r>
        <w:rPr>
          <w:rFonts w:ascii="Nirmala UI" w:hAnsi="Nirmala UI" w:eastAsia="Nirmala UI" w:cs="Nirmala UI"/>
        </w:rPr>
        <w:t>मधील</w:t>
      </w:r>
      <w:r>
        <w:rPr>
          <w:rFonts w:ascii="Times New Roman" w:hAnsi="Times New Roman" w:eastAsia="Times New Roman" w:cs="Times New Roman"/>
        </w:rPr>
        <w:t xml:space="preserve"> “seven times” </w:t>
      </w:r>
      <w:r>
        <w:rPr>
          <w:rFonts w:ascii="Nirmala UI" w:hAnsi="Nirmala UI" w:eastAsia="Nirmala UI" w:cs="Nirmala UI"/>
        </w:rPr>
        <w:t>हे</w:t>
      </w:r>
      <w:r>
        <w:rPr>
          <w:rFonts w:ascii="Times New Roman" w:hAnsi="Times New Roman" w:eastAsia="Times New Roman" w:cs="Times New Roman"/>
        </w:rPr>
        <w:t xml:space="preserve"> 1863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नाकारले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1863 </w:t>
      </w:r>
      <w:r>
        <w:rPr>
          <w:rFonts w:ascii="Nirmala UI" w:hAnsi="Nirmala UI" w:eastAsia="Nirmala UI" w:cs="Nirmala UI"/>
        </w:rPr>
        <w:t>पासून</w:t>
      </w:r>
      <w:r>
        <w:rPr>
          <w:rFonts w:ascii="Times New Roman" w:hAnsi="Times New Roman" w:eastAsia="Times New Roman" w:cs="Times New Roman"/>
        </w:rPr>
        <w:t xml:space="preserve"> 1930 </w:t>
      </w:r>
      <w:r>
        <w:rPr>
          <w:rFonts w:ascii="Nirmala UI" w:hAnsi="Nirmala UI" w:eastAsia="Nirmala UI" w:cs="Nirmala UI"/>
        </w:rPr>
        <w:t>च्या</w:t>
      </w:r>
      <w:r>
        <w:rPr>
          <w:rFonts w:ascii="Times New Roman" w:hAnsi="Times New Roman" w:eastAsia="Times New Roman" w:cs="Times New Roman"/>
        </w:rPr>
        <w:t xml:space="preserve"> </w:t>
      </w:r>
      <w:r>
        <w:rPr>
          <w:rFonts w:ascii="Nirmala UI" w:hAnsi="Nirmala UI" w:eastAsia="Nirmala UI" w:cs="Nirmala UI"/>
        </w:rPr>
        <w:t>दशकापर्यंतच्या</w:t>
      </w:r>
      <w:r>
        <w:rPr>
          <w:rFonts w:ascii="Times New Roman" w:hAnsi="Times New Roman" w:eastAsia="Times New Roman" w:cs="Times New Roman"/>
        </w:rPr>
        <w:t xml:space="preserve"> </w:t>
      </w:r>
      <w:r>
        <w:rPr>
          <w:rFonts w:ascii="Nirmala UI" w:hAnsi="Nirmala UI" w:eastAsia="Nirmala UI" w:cs="Nirmala UI"/>
        </w:rPr>
        <w:t>इतिहासातील</w:t>
      </w:r>
      <w:r>
        <w:rPr>
          <w:rFonts w:ascii="Times New Roman" w:hAnsi="Times New Roman" w:eastAsia="Times New Roman" w:cs="Times New Roman"/>
        </w:rPr>
        <w:t xml:space="preserve"> </w:t>
      </w:r>
      <w:r>
        <w:rPr>
          <w:rFonts w:ascii="Nirmala UI" w:hAnsi="Nirmala UI" w:eastAsia="Nirmala UI" w:cs="Nirmala UI"/>
        </w:rPr>
        <w:t>कुठल्यातरी</w:t>
      </w:r>
      <w:r>
        <w:rPr>
          <w:rFonts w:ascii="Times New Roman" w:hAnsi="Times New Roman" w:eastAsia="Times New Roman" w:cs="Times New Roman"/>
        </w:rPr>
        <w:t xml:space="preserve"> </w:t>
      </w:r>
      <w:r>
        <w:rPr>
          <w:rFonts w:ascii="Nirmala UI" w:hAnsi="Nirmala UI" w:eastAsia="Nirmala UI" w:cs="Nirmala UI"/>
        </w:rPr>
        <w:t>टप्प्यावर</w:t>
      </w:r>
      <w:r>
        <w:rPr>
          <w:rFonts w:ascii="Times New Roman" w:hAnsi="Times New Roman" w:eastAsia="Times New Roman" w:cs="Times New Roman"/>
        </w:rPr>
        <w:t xml:space="preserve">, </w:t>
      </w:r>
      <w:r>
        <w:rPr>
          <w:rFonts w:ascii="Nirmala UI" w:hAnsi="Nirmala UI" w:eastAsia="Nirmala UI" w:cs="Nirmala UI"/>
        </w:rPr>
        <w:t>अॅडव्हेंटिझमने</w:t>
      </w:r>
      <w:r>
        <w:rPr>
          <w:rFonts w:ascii="Times New Roman" w:hAnsi="Times New Roman" w:eastAsia="Times New Roman" w:cs="Times New Roman"/>
        </w:rPr>
        <w:t xml:space="preserve"> </w:t>
      </w:r>
      <w:r>
        <w:rPr>
          <w:rFonts w:ascii="Nirmala UI" w:hAnsi="Nirmala UI" w:eastAsia="Nirmala UI" w:cs="Nirmala UI"/>
        </w:rPr>
        <w:t>स्वतःच्या</w:t>
      </w:r>
      <w:r>
        <w:rPr>
          <w:rFonts w:ascii="Times New Roman" w:hAnsi="Times New Roman" w:eastAsia="Times New Roman" w:cs="Times New Roman"/>
        </w:rPr>
        <w:t xml:space="preserve"> </w:t>
      </w:r>
      <w:r>
        <w:rPr>
          <w:rFonts w:ascii="Nirmala UI" w:hAnsi="Nirmala UI" w:eastAsia="Nirmala UI" w:cs="Nirmala UI"/>
        </w:rPr>
        <w:t>नकळत</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बदलले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បងប្អូនអើយ</w:t>
      </w:r>
      <w:r>
        <w:rPr>
          <w:rFonts w:ascii="Times New Roman" w:hAnsi="Times New Roman" w:eastAsia="Times New Roman" w:cs="Times New Roman"/>
        </w:rPr>
        <w:t xml:space="preserve"> </w:t>
      </w:r>
      <w:r>
        <w:rPr>
          <w:rFonts w:ascii="Leelawadee UI" w:hAnsi="Leelawadee UI" w:eastAsia="Leelawadee UI" w:cs="Leelawadee UI"/>
        </w:rPr>
        <w:t>ខ្ញុំឃើញគ្រោះថ្នាក់របស់អ្នក</w:t>
      </w:r>
      <w:r>
        <w:rPr>
          <w:rFonts w:ascii="Times New Roman" w:hAnsi="Times New Roman" w:eastAsia="Times New Roman" w:cs="Times New Roman"/>
        </w:rPr>
        <w:t xml:space="preserve"> </w:t>
      </w:r>
      <w:r>
        <w:rPr>
          <w:rFonts w:ascii="Leelawadee UI" w:hAnsi="Leelawadee UI" w:eastAsia="Leelawadee UI" w:cs="Leelawadee UI"/>
        </w:rPr>
        <w:t>ហើយខ្ញុំសួរឡើងវិញថា</w:t>
      </w:r>
      <w:r>
        <w:rPr>
          <w:rFonts w:ascii="Times New Roman" w:hAnsi="Times New Roman" w:eastAsia="Times New Roman" w:cs="Times New Roman"/>
        </w:rPr>
        <w:t xml:space="preserve"> </w:t>
      </w:r>
      <w:r>
        <w:rPr>
          <w:rFonts w:ascii="Leelawadee UI" w:hAnsi="Leelawadee UI" w:eastAsia="Leelawadee UI" w:cs="Leelawadee UI"/>
        </w:rPr>
        <w:t>តើអ្នកដែលកំពុងវង្វេងបានខិតខំប្រឹងប្រែងអ្វីមួយដើម្បីកែតម្រូវកំហុសនោះឬទេ</w:t>
      </w:r>
      <w:r>
        <w:rPr>
          <w:rFonts w:ascii="Times New Roman" w:hAnsi="Times New Roman" w:eastAsia="Times New Roman" w:cs="Times New Roman"/>
        </w:rPr>
        <w:t xml:space="preserve">? </w:t>
      </w:r>
      <w:r>
        <w:rPr>
          <w:rFonts w:ascii="Leelawadee UI" w:hAnsi="Leelawadee UI" w:eastAsia="Leelawadee UI" w:cs="Leelawadee UI"/>
        </w:rPr>
        <w:t>ព្រលឹងជាច្រើនអាចកំពុងជំពប់ដើរទៅមុខ</w:t>
      </w:r>
      <w:r>
        <w:rPr>
          <w:rFonts w:ascii="Times New Roman" w:hAnsi="Times New Roman" w:eastAsia="Times New Roman" w:cs="Times New Roman"/>
        </w:rPr>
        <w:t xml:space="preserve"> </w:t>
      </w:r>
      <w:r>
        <w:rPr>
          <w:rFonts w:ascii="Leelawadee UI" w:hAnsi="Leelawadee UI" w:eastAsia="Leelawadee UI" w:cs="Leelawadee UI"/>
        </w:rPr>
        <w:t>ដើរនៅក្នុងសេចក្ដីងងឹត</w:t>
      </w:r>
      <w:r>
        <w:rPr>
          <w:rFonts w:ascii="Times New Roman" w:hAnsi="Times New Roman" w:eastAsia="Times New Roman" w:cs="Times New Roman"/>
        </w:rPr>
        <w:t xml:space="preserve"> </w:t>
      </w:r>
      <w:r>
        <w:rPr>
          <w:rFonts w:ascii="Leelawadee UI" w:hAnsi="Leelawadee UI" w:eastAsia="Leelawadee UI" w:cs="Leelawadee UI"/>
        </w:rPr>
        <w:t>ពីព្រោះអ្នកមិនបានធ្វើឲ្យផ្លូវសម្រាប់ជើងរបស់អ្នកត្រង់ឡើយ។</w:t>
      </w:r>
      <w:r>
        <w:rPr>
          <w:rFonts w:ascii="Times New Roman" w:hAnsi="Times New Roman" w:eastAsia="Times New Roman" w:cs="Times New Roman"/>
        </w:rPr>
        <w:t xml:space="preserve"> </w:t>
      </w:r>
      <w:r>
        <w:rPr>
          <w:rFonts w:ascii="Leelawadee UI" w:hAnsi="Leelawadee UI" w:eastAsia="Leelawadee UI" w:cs="Leelawadee UI"/>
        </w:rPr>
        <w:t>ប្រសិនបើអ្នកស្ថិតនៅក្នុងមុខតំណែងដែលគេប្រគល់ទំនុកចិត្ត</w:t>
      </w:r>
      <w:r>
        <w:rPr>
          <w:rFonts w:ascii="Times New Roman" w:hAnsi="Times New Roman" w:eastAsia="Times New Roman" w:cs="Times New Roman"/>
        </w:rPr>
        <w:t xml:space="preserve"> </w:t>
      </w:r>
      <w:r>
        <w:rPr>
          <w:rFonts w:ascii="Leelawadee UI" w:hAnsi="Leelawadee UI" w:eastAsia="Leelawadee UI" w:cs="Leelawadee UI"/>
        </w:rPr>
        <w:t>ខ្ញុំសូមអង្វរអ្នកកាន់តែយ៉ាងស្មោះស្ម័គ្រថា</w:t>
      </w:r>
      <w:r>
        <w:rPr>
          <w:rFonts w:ascii="Times New Roman" w:hAnsi="Times New Roman" w:eastAsia="Times New Roman" w:cs="Times New Roman"/>
        </w:rPr>
        <w:t xml:space="preserve"> </w:t>
      </w:r>
      <w:r>
        <w:rPr>
          <w:rFonts w:ascii="Leelawadee UI" w:hAnsi="Leelawadee UI" w:eastAsia="Leelawadee UI" w:cs="Leelawadee UI"/>
        </w:rPr>
        <w:t>ដើម្បីប្រយោជន៍ដល់ព្រលឹងរបស់អ្នកផ្ទាល់</w:t>
      </w:r>
      <w:r>
        <w:rPr>
          <w:rFonts w:ascii="Times New Roman" w:hAnsi="Times New Roman" w:eastAsia="Times New Roman" w:cs="Times New Roman"/>
        </w:rPr>
        <w:t xml:space="preserve"> </w:t>
      </w:r>
      <w:r>
        <w:rPr>
          <w:rFonts w:ascii="Leelawadee UI" w:hAnsi="Leelawadee UI" w:eastAsia="Leelawadee UI" w:cs="Leelawadee UI"/>
        </w:rPr>
        <w:t>និងដើម្បីប្រយោជន៍ដល់អ្នកទាំងឡាយដែលមើលមកអ្នកជាអ្នកណែនាំ</w:t>
      </w:r>
      <w:r>
        <w:rPr>
          <w:rFonts w:ascii="Times New Roman" w:hAnsi="Times New Roman" w:eastAsia="Times New Roman" w:cs="Times New Roman"/>
        </w:rPr>
        <w:t xml:space="preserve"> </w:t>
      </w:r>
      <w:r>
        <w:rPr>
          <w:rFonts w:ascii="Leelawadee UI" w:hAnsi="Leelawadee UI" w:eastAsia="Leelawadee UI" w:cs="Leelawadee UI"/>
        </w:rPr>
        <w:t>ចូរប្រែចិត្តនៅចំពោះព្រះជាម្ចាស់ចំពោះគ្រប់កំហុសដែលបានប្រព្រឹត្ត</w:t>
      </w:r>
      <w:r>
        <w:rPr>
          <w:rFonts w:ascii="Times New Roman" w:hAnsi="Times New Roman" w:eastAsia="Times New Roman" w:cs="Times New Roman"/>
        </w:rPr>
        <w:t xml:space="preserve"> </w:t>
      </w:r>
      <w:r>
        <w:rPr>
          <w:rFonts w:ascii="Leelawadee UI" w:hAnsi="Leelawadee UI" w:eastAsia="Leelawadee UI" w:cs="Leelawadee UI"/>
        </w:rPr>
        <w:t>ហើយសារភាពអំពីកំហុសរបស់អ្នកចុះ។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“Yoo qalbii ofjabeessuu keessatti yoo of dhiiftee, boonaa fi qajeelummaa ofii irra kaʼuun balleessaa kee yoo hin himanne, qormaata mootummaa Seexanaa jala haftee ni taaʼa. Gooftaan dogoggora kee yeroo siif mulʼisu, yoo hin qalbifanne yookaan yoo himata hin dhiyeeffanne, qophiin isaa yeroo baayʼee si deebisee lafa sana irra si geessa. Dogoggora amala walfakkaataa qabu hojjechuuf ni dhiifamta, ogeessa taʼuu ni dhabda itti fuftees, cubbuu qajeelummaatti, qajeelummas cubbuutti ni waamta. Guyyoota dhumaa kana keessatti baayʼinni gowwoomsotaa babalʼatan si marsu, atiis hooggantoota ni jijjiirta; garuu akkas gootee akka jirta hin beektu.” Review and Herald, December 16, 1890.</w:t>
      </w:r>
    </w:p>
    <w:p>
      <w:pPr>
        <w:pStyle w:val="ArticleBody"/>
        <w:jc w:val="left"/>
      </w:pPr>
      <w:r>
        <w:rPr>
          <w:rFonts w:ascii="Times New Roman" w:hAnsi="Times New Roman" w:eastAsia="Times New Roman" w:cs="Times New Roman"/>
        </w:rPr>
        <w:t>Yerusalemu xalqı üzərində hökmranlıq edən istehzalı adamlar, yəni “etibar mövqelərində olan” adamlar, “günahı salehlik, salehliyi isə günah adlandıracaqlar” və “Şübhəsiz, sizin hər şeyi alt-üst etməyiniz dulusçunun gili kimi sayılacaq; məgər düzəldilmiş şey onu düzəldən haqqında: O məni düzəltmədi, — deyərmi? Yaxud biçim verilmiş şey ona biçim verən haqqında: Onun anlayışı yox idi, — deyərmi?” Adventizmin dörd nəsli boyunca davam edən mütərəqqi üsyanda, etibar mövqelərində olanlar rəhbərlərini dəyişirlər və bunu bilmirlər. Onlar bunu bilmirlər, çünki öz səhvlərinə dair dəlilləri tədricən və davamlı surətdə rədd etmişlər. Həmin mütərəqqi üsyanda “müdrik adamlarının hikməti məhv olacaq, ağıllı adamlarının anlayışı isə gizlədiləcək.”</w:t>
      </w:r>
    </w:p>
    <w:p>
      <w:pPr>
        <w:pStyle w:val="ArticleBody"/>
        <w:jc w:val="left"/>
      </w:pPr>
      <w:r>
        <w:rPr>
          <w:rFonts w:ascii="Times New Roman" w:hAnsi="Times New Roman" w:eastAsia="Times New Roman" w:cs="Times New Roman"/>
        </w:rPr>
        <w:t>He latou te liliu mea i lalo ma luga, ma ta‘ua le agasala o le amiotonu, a o le amiotonu o le agasala. O le fa‘ailoga o lenei fouvalega o le aʻoa‘oga e uiga i le “the daily,” lea sa avea mo Miller ma fa‘ailoga fa‘asatani, ae o loo fa‘ailoa nei e le Adventism i aso nei o se fa‘ailoga o Keriso. O le mea sa avea muamua ma taula na fa‘atumauina ai le fausaga o fa‘aaogāga fa‘aperofeta a William Miller, ua avea nei ma fa‘ailoga o le onā o tagata tauemu o loo pule i tagata o Ierusalema. O le fa‘atusa e fesoota‘i ma le “the daily,” i le tusi a Tanielu, sa pupula malamalama e pei o le lā ina ua iloa i le pusa maliu o Miller i le amataga o le Adventism, a o aso e gata ai e susulu fa‘asefulu ona sili atu lea o lea upu moni, auā o le numera sefulu o se fa‘ailoga o le tofotofoga, ma mo Isaraelu anamua o le tofotofoga lona sefulu o le tofotofoga mulimuli lea.</w:t>
      </w:r>
    </w:p>
    <w:p>
      <w:pPr>
        <w:pStyle w:val="ArticleBody"/>
        <w:jc w:val="left"/>
      </w:pPr>
      <w:r>
        <w:rPr>
          <w:rFonts w:ascii="Times New Roman" w:hAnsi="Times New Roman" w:eastAsia="Times New Roman" w:cs="Times New Roman"/>
        </w:rPr>
        <w:t>Les pharisiens modernes ont « attribué » « les œuvres du Christ » « à des agents sataniques », identifiant le paganisme comme « la sainte puissance de Dieu ».</w:t>
      </w:r>
    </w:p>
    <w:p>
      <w:pPr>
        <w:pStyle w:val="ArticleScripture"/>
        <w:jc w:val="left"/>
      </w:pPr>
      <w:r>
        <w:rPr>
          <w:rFonts w:ascii="Microsoft YaHei" w:hAnsi="Microsoft YaHei" w:eastAsia="Microsoft YaHei" w:cs="Microsoft YaHei"/>
        </w:rPr>
        <w:t>「法利赛人犯了亵渎圣灵的罪</w:t>
      </w:r>
      <w:r>
        <w:rPr>
          <w:rFonts w:ascii="Times New Roman" w:hAnsi="Times New Roman" w:eastAsia="Times New Roman" w:cs="Times New Roman"/>
        </w:rPr>
        <w:t>.</w:t>
      </w:r>
      <w:r>
        <w:rPr>
          <w:rFonts w:ascii="Microsoft YaHei" w:hAnsi="Microsoft YaHei" w:eastAsia="Microsoft YaHei" w:cs="Microsoft YaHei"/>
        </w:rPr>
        <w:t>他们那善于言辞的才能</w:t>
      </w:r>
      <w:r>
        <w:rPr>
          <w:rFonts w:ascii="Times New Roman" w:hAnsi="Times New Roman" w:eastAsia="Times New Roman" w:cs="Times New Roman"/>
        </w:rPr>
        <w:t>,</w:t>
      </w:r>
      <w:r>
        <w:rPr>
          <w:rFonts w:ascii="Microsoft YaHei" w:hAnsi="Microsoft YaHei" w:eastAsia="Microsoft YaHei" w:cs="Microsoft YaHei"/>
        </w:rPr>
        <w:t>被用来辱骂世界的救赎主</w:t>
      </w:r>
      <w:r>
        <w:rPr>
          <w:rFonts w:ascii="Times New Roman" w:hAnsi="Times New Roman" w:eastAsia="Times New Roman" w:cs="Times New Roman"/>
        </w:rPr>
        <w:t>;</w:t>
      </w:r>
      <w:r>
        <w:rPr>
          <w:rFonts w:ascii="Microsoft YaHei" w:hAnsi="Microsoft YaHei" w:eastAsia="Microsoft YaHei" w:cs="Microsoft YaHei"/>
        </w:rPr>
        <w:t>记录的天使把他们的话写在天上的册子里</w:t>
      </w:r>
      <w:r>
        <w:rPr>
          <w:rFonts w:ascii="Times New Roman" w:hAnsi="Times New Roman" w:eastAsia="Times New Roman" w:cs="Times New Roman"/>
        </w:rPr>
        <w:t>.</w:t>
      </w:r>
      <w:r>
        <w:rPr>
          <w:rFonts w:ascii="Microsoft YaHei" w:hAnsi="Microsoft YaHei" w:eastAsia="Microsoft YaHei" w:cs="Microsoft YaHei"/>
        </w:rPr>
        <w:t>他们把那在基督作为中显明出来的上帝圣洁能力</w:t>
      </w:r>
      <w:r>
        <w:rPr>
          <w:rFonts w:ascii="Times New Roman" w:hAnsi="Times New Roman" w:eastAsia="Times New Roman" w:cs="Times New Roman"/>
        </w:rPr>
        <w:t>,</w:t>
      </w:r>
      <w:r>
        <w:rPr>
          <w:rFonts w:ascii="Microsoft YaHei" w:hAnsi="Microsoft YaHei" w:eastAsia="Microsoft YaHei" w:cs="Microsoft YaHei"/>
        </w:rPr>
        <w:t>归诸撒但的权势</w:t>
      </w:r>
      <w:r>
        <w:rPr>
          <w:rFonts w:ascii="Times New Roman" w:hAnsi="Times New Roman" w:eastAsia="Times New Roman" w:cs="Times New Roman"/>
        </w:rPr>
        <w:t>.</w:t>
      </w:r>
      <w:r>
        <w:rPr>
          <w:rFonts w:ascii="Microsoft YaHei" w:hAnsi="Microsoft YaHei" w:eastAsia="Microsoft YaHei" w:cs="Microsoft YaHei"/>
        </w:rPr>
        <w:t>他们无法回避祂那些奇妙的作为</w:t>
      </w:r>
      <w:r>
        <w:rPr>
          <w:rFonts w:ascii="Times New Roman" w:hAnsi="Times New Roman" w:eastAsia="Times New Roman" w:cs="Times New Roman"/>
        </w:rPr>
        <w:t>,</w:t>
      </w:r>
      <w:r>
        <w:rPr>
          <w:rFonts w:ascii="Microsoft YaHei" w:hAnsi="Microsoft YaHei" w:eastAsia="Microsoft YaHei" w:cs="Microsoft YaHei"/>
        </w:rPr>
        <w:t>也不能把这些作为归因于自然原因</w:t>
      </w:r>
      <w:r>
        <w:rPr>
          <w:rFonts w:ascii="Times New Roman" w:hAnsi="Times New Roman" w:eastAsia="Times New Roman" w:cs="Times New Roman"/>
        </w:rPr>
        <w:t>,</w:t>
      </w:r>
      <w:r>
        <w:rPr>
          <w:rFonts w:ascii="Microsoft YaHei" w:hAnsi="Microsoft YaHei" w:eastAsia="Microsoft YaHei" w:cs="Microsoft YaHei"/>
        </w:rPr>
        <w:t>于是他们说：『这些是魔鬼的作为</w:t>
      </w:r>
      <w:r>
        <w:rPr>
          <w:rFonts w:ascii="Times New Roman" w:hAnsi="Times New Roman" w:eastAsia="Times New Roman" w:cs="Times New Roman"/>
        </w:rPr>
        <w:t>.</w:t>
      </w:r>
      <w:r>
        <w:rPr>
          <w:rFonts w:ascii="Microsoft YaHei" w:hAnsi="Microsoft YaHei" w:eastAsia="Microsoft YaHei" w:cs="Microsoft YaHei"/>
        </w:rPr>
        <w:t>』他们在不信之中</w:t>
      </w:r>
      <w:r>
        <w:rPr>
          <w:rFonts w:ascii="Times New Roman" w:hAnsi="Times New Roman" w:eastAsia="Times New Roman" w:cs="Times New Roman"/>
        </w:rPr>
        <w:t>,</w:t>
      </w:r>
      <w:r>
        <w:rPr>
          <w:rFonts w:ascii="Microsoft YaHei" w:hAnsi="Microsoft YaHei" w:eastAsia="Microsoft YaHei" w:cs="Microsoft YaHei"/>
        </w:rPr>
        <w:t>把上帝的儿子说成不过是一个人</w:t>
      </w:r>
      <w:r>
        <w:rPr>
          <w:rFonts w:ascii="Times New Roman" w:hAnsi="Times New Roman" w:eastAsia="Times New Roman" w:cs="Times New Roman"/>
        </w:rPr>
        <w:t>.</w:t>
      </w:r>
      <w:r>
        <w:rPr>
          <w:rFonts w:ascii="Microsoft YaHei" w:hAnsi="Microsoft YaHei" w:eastAsia="Microsoft YaHei" w:cs="Microsoft YaHei"/>
        </w:rPr>
        <w:t>在他们面前所行的医治之工</w:t>
      </w:r>
      <w:r>
        <w:rPr>
          <w:rFonts w:ascii="Times New Roman" w:hAnsi="Times New Roman" w:eastAsia="Times New Roman" w:cs="Times New Roman"/>
        </w:rPr>
        <w:t>,</w:t>
      </w:r>
      <w:r>
        <w:rPr>
          <w:rFonts w:ascii="Microsoft YaHei" w:hAnsi="Microsoft YaHei" w:eastAsia="Microsoft YaHei" w:cs="Microsoft YaHei"/>
        </w:rPr>
        <w:t>是从来没有人行过、也无人能行的工作</w:t>
      </w:r>
      <w:r>
        <w:rPr>
          <w:rFonts w:ascii="Times New Roman" w:hAnsi="Times New Roman" w:eastAsia="Times New Roman" w:cs="Times New Roman"/>
        </w:rPr>
        <w:t>,</w:t>
      </w:r>
      <w:r>
        <w:rPr>
          <w:rFonts w:ascii="Microsoft YaHei" w:hAnsi="Microsoft YaHei" w:eastAsia="Microsoft YaHei" w:cs="Microsoft YaHei"/>
        </w:rPr>
        <w:t>乃是上帝能力的彰显</w:t>
      </w:r>
      <w:r>
        <w:rPr>
          <w:rFonts w:ascii="Times New Roman" w:hAnsi="Times New Roman" w:eastAsia="Times New Roman" w:cs="Times New Roman"/>
        </w:rPr>
        <w:t>;</w:t>
      </w:r>
      <w:r>
        <w:rPr>
          <w:rFonts w:ascii="Microsoft YaHei" w:hAnsi="Microsoft YaHei" w:eastAsia="Microsoft YaHei" w:cs="Microsoft YaHei"/>
        </w:rPr>
        <w:t>但他们竟指控基督与地狱结盟</w:t>
      </w:r>
      <w:r>
        <w:rPr>
          <w:rFonts w:ascii="Times New Roman" w:hAnsi="Times New Roman" w:eastAsia="Times New Roman" w:cs="Times New Roman"/>
        </w:rPr>
        <w:t>.</w:t>
      </w:r>
      <w:r>
        <w:rPr>
          <w:rFonts w:ascii="Microsoft YaHei" w:hAnsi="Microsoft YaHei" w:eastAsia="Microsoft YaHei" w:cs="Microsoft YaHei"/>
        </w:rPr>
        <w:t>他们顽梗、阴郁、铁石心肠</w:t>
      </w:r>
      <w:r>
        <w:rPr>
          <w:rFonts w:ascii="Times New Roman" w:hAnsi="Times New Roman" w:eastAsia="Times New Roman" w:cs="Times New Roman"/>
        </w:rPr>
        <w:t>,</w:t>
      </w:r>
      <w:r>
        <w:rPr>
          <w:rFonts w:ascii="Microsoft YaHei" w:hAnsi="Microsoft YaHei" w:eastAsia="Microsoft YaHei" w:cs="Microsoft YaHei"/>
        </w:rPr>
        <w:t>决意闭眼不看一切证据</w:t>
      </w:r>
      <w:r>
        <w:rPr>
          <w:rFonts w:ascii="Times New Roman" w:hAnsi="Times New Roman" w:eastAsia="Times New Roman" w:cs="Times New Roman"/>
        </w:rPr>
        <w:t>,</w:t>
      </w:r>
      <w:r>
        <w:rPr>
          <w:rFonts w:ascii="Microsoft YaHei" w:hAnsi="Microsoft YaHei" w:eastAsia="Microsoft YaHei" w:cs="Microsoft YaHei"/>
        </w:rPr>
        <w:t>因此便犯了那不可赦免的罪</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文稿汇编</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4</w:t>
      </w:r>
      <w:r>
        <w:rPr>
          <w:rFonts w:ascii="Microsoft YaHei" w:hAnsi="Microsoft YaHei" w:eastAsia="Microsoft YaHei" w:cs="Microsoft YaHei"/>
        </w:rPr>
        <w:t>卷</w:t>
      </w:r>
      <w:r>
        <w:rPr>
          <w:rFonts w:ascii="Times New Roman" w:hAnsi="Times New Roman" w:eastAsia="Times New Roman" w:cs="Times New Roman"/>
        </w:rPr>
        <w:t>,360</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dans le prochain article, notre examen de l’augmentation de la connaissance, qui fut descellée dans le mouvement du premier ange.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quarante-quatre</dc:title>
  <dc:subject>Dévoiler les fondements perdus : les vérités prophétiques de William Miller et les derniers jours de l’adventisme</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