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quarante-cinq</w:t>
      </w:r>
    </w:p>
    <w:p>
      <w:pPr>
        <w:pStyle w:val="ArticleSubtitle"/>
        <w:jc w:val="left"/>
      </w:pPr>
      <w:r>
        <w:rPr>
          <w:rFonts w:ascii="Arial" w:hAnsi="Arial" w:eastAsia="Arial" w:cs="Arial"/>
        </w:rPr>
        <w:t>Tirétele makatuzi ya kifaníkyo: Kufumbua fumbo la kila siku katika Kitabu cha Danieli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“Roojoowwan” kitaaba Daaniʼel keessa jiru akka mallattoo Roomaa waaqeffannaa waaqota hedduu qabu yookaan waaqeffannaa waaqota hedduutti William Milleriin beekame; garuu bara dhumaatti inni mallattoo dhugaa buʼuuraa William Miller mormuu ti. Inni fincila bara 1863 keessatti jalqabe keessaa dhuma isaa agarsiisa; jechuunis hubannaa Miller waaʼee “torban yeroo” Museen keessatti Leewwota digdamii jaha ibse mormuudhaan jalqabe. Yeroo Adventizimii “roojoowwan” akka waaqeffannaa waaqota hedduutti sirriitti adda baafame sana mormanitti, mallattoo Seexanaa gara mallattoo Kiristoositti geeddaran. Isaayaan hojii kun wantoota mataa gadi-galchuu akka ture adda baasa. Mormiin “roojoowwan” bara 1930moota keessatti (dhaloota sadaffaa Adventizimii) sirnaan hundeeffame; garuu inni erga bara 1901 (dhaloota lammaffaa Adventizimii) jalqabee falmii taʼee ture. Akkuma Israaʼel durii keessatti ture, dhugaa suuta suuta mormuun dogoggora keessaa wantoota cubbuu dhiifama hin qabne of keessaa qabu tokko fudhachuudhaan xumurame.</w:t>
      </w:r>
    </w:p>
    <w:p>
      <w:pPr>
        <w:pStyle w:val="ArticleBody"/>
        <w:jc w:val="left"/>
      </w:pPr>
      <w:r>
        <w:rPr>
          <w:rFonts w:ascii="Times New Roman" w:hAnsi="Times New Roman" w:eastAsia="Times New Roman" w:cs="Times New Roman"/>
        </w:rPr>
        <w:t>Dhambi iscafin waayey ee Yuhuuddii muran-badnayd waxaa lagu muujiyey markii ay shuqulladii Masiixu sameeyey u aqoonsadeen inay yihiin shuqullada Shayddaanka. Israa’iiltii hore waa astaanta ugu weyn ee Israa’iilka casriga ah, Israa’iilka casriga ahna wuxuu sameeyey isla waxaas oo kale, hase ahaatee si rogan. Waxay qaateen shuqulladii Shayddaanka (jaahilnimada), oo shuqulladaasna waxay ku nisbeeyeen Masiixa. Caasinnimadii Israa’iiltii hore waxa ku jiray doorashadoodii ay Shayddaan ugu doorteen boqorkooda.</w:t>
      </w:r>
    </w:p>
    <w:p>
      <w:pPr>
        <w:pStyle w:val="ArticleScripture"/>
        <w:jc w:val="left"/>
      </w:pPr>
      <w:r>
        <w:rPr>
          <w:rFonts w:ascii="Times New Roman" w:hAnsi="Times New Roman" w:eastAsia="Times New Roman" w:cs="Times New Roman"/>
        </w:rPr>
        <w:t>Nítorí náà, nígbà tí Pílátù gbọ́ ọ̀rọ̀ náà, ó mú Jésù jáde, ó sì jókòó lórí ìtẹ́ ìdájọ́ ní ibi kan tí a ń pè ní Pàfémẹ́ntì, ṣùgbọ́n ní èdè Hébérù, Gábátà. Ó sì jẹ́ ọjọ́ ìmúrasílẹ̀ Ìrékọjá, ní àkókò bí agogo kẹfà; ó sì wí fún àwọn Júù pé, Kíyèsi i, Ọba yín! Ṣùgbọ́n wọ́n kígbe pé, Kúrò pẹ̀lú rẹ̀, kúrò pẹ̀lú rẹ̀, kàn án mọ́ àgbélébùú. Pílátù wí fún wọn pé, Ṣé èmi yóò kàn Ọba yín mọ́ àgbélébùú bí? Àwọn olórí àlùfáà dáhùn pé, A kò ní ọba mìíràn bí kò ṣe Késárì. Nítorí náà, ó fi í lé wọn lọ́wọ́ láti kàn án mọ́ àgbélébùú. Wọ́n sì mú Jésù, wọ́n sì mú un lọ. Johanu 19:13–16.</w:t>
      </w:r>
    </w:p>
    <w:p>
      <w:pPr>
        <w:pStyle w:val="ArticleBody"/>
        <w:jc w:val="left"/>
      </w:pPr>
      <w:r>
        <w:rPr>
          <w:rFonts w:ascii="Times New Roman" w:hAnsi="Times New Roman" w:eastAsia="Times New Roman" w:cs="Times New Roman"/>
        </w:rPr>
        <w:t>Pilate était le représentant de la Rome païenne, et Sœur White identifie que le dragon qui fut précipité du ciel dans Apocalypse chapitre douze est Satan, mais, dans un sens secondaire, le dragon est aussi la Rome païenne. Le dragon est donc symbolisé par « le perpétuel ». La fin de la rébellion de l’ancien Israël, lorsqu’ils proclamèrent publiquement : « Nous n’avons de roi que César », représentait leur déclaration publique qu’ils étaient les sujets de leur roi, et leur roi était Satan. Cette rébellion contre Dieu comme Roi commença aux jours du prophète Samuel, lorsqu’ils rejetèrent Dieu comme leur roi et exigèrent qu’un roi humain leur soit donné afin qu’ils puissent être comme les autres nations.</w:t>
      </w:r>
    </w:p>
    <w:p>
      <w:pPr>
        <w:pStyle w:val="ArticleScripture"/>
        <w:jc w:val="left"/>
      </w:pPr>
      <w:r>
        <w:rPr>
          <w:rFonts w:ascii="Times New Roman" w:hAnsi="Times New Roman" w:eastAsia="Times New Roman" w:cs="Times New Roman"/>
        </w:rPr>
        <w:t>So then all olketa olketa elder blong Israel olketa kam tugeta, olketa i kam long Samuel long Ramah, mo olketa sei long hem, “Lukim, iu olketa old finis, mo olketa son blong iu olketa no waka long olketa wei blong iu. From dat, mekem wanfala king for i jajem mifala olsem olketa evri nara nation.” Bat disfala samting i no mekem Samuel hapi, taem olketa sei, “Givim wanfala king for i jajem mifala.” Mo Samuel prea long Lord. Mo Lord i sei long Samuel, “Harem voice blong olketa pipol long evri samting wea olketa talem long iu; from olketa no rejectim iu, bat olketa rejectim mi, mekem mi no rul ova long olketa. Olsem evri waka wea olketa bin duim from day wea mi tekem olketa kamap aot long Egypt kasem disfala day, wea olketa bin forsakem mi, mo olketa bin servem olketa nara god, olsem nao olketa duim tu long iu.” 1 Samuel 8:4–8.</w:t>
      </w:r>
    </w:p>
    <w:p>
      <w:pPr>
        <w:pStyle w:val="ArticleBody"/>
        <w:jc w:val="left"/>
      </w:pPr>
      <w:r>
        <w:rPr>
          <w:rFonts w:ascii="Times New Roman" w:hAnsi="Times New Roman" w:eastAsia="Times New Roman" w:cs="Times New Roman"/>
        </w:rPr>
        <w:t>Isra’el ya kala te faa ite e ne nau teeni te Atua, pe ko tanau manako ki se tupu faka-te lalolagi ka fakasolo atu o oko ki te tulaga telā ne tamate ei ne latou te Mesia i luga i te satauro, kae filifili a Satani mo fai ko tanau tupu. Ne ‵funagina tanau ‵teke mai i olotou mata e ala i olotou manatu amiotonu faka-lotou eiloa, me faitalia me ne teeni ne latou te Atua, ne tumau eiloa latou mo fai te kau filifilia, me i te otiga loa, e pelā mo te lotou fakasakosakoga, ne tumau eiloa te Atua i te tausi ne ia o se galuega pelofeta tapu, ke oko foki ki te taimi mai tua ifo o Samuelu.</w:t>
      </w:r>
    </w:p>
    <w:p>
      <w:pPr>
        <w:pStyle w:val="ArticleBody"/>
        <w:jc w:val="left"/>
      </w:pPr>
      <w:r>
        <w:rPr>
          <w:rFonts w:ascii="Times New Roman" w:hAnsi="Times New Roman" w:eastAsia="Times New Roman" w:cs="Times New Roman"/>
        </w:rPr>
        <w:t>Wɔkyerɛɛ adiyisɛm mu adwumayɛ a adiyifo no yɛe no ase wɔ ɔkwan a ɛnteɛ so, na wogyee dii sɛ Onyankopɔn adiyifo a wɔwɔ wɔn mu no kyerɛ sɛ wɔne Onyankopɔn nkurɔfo a wayi wɔn no. Wɔanhu sɛ na wɔatwe wɔn ho afi Onyankopɔn ho koraa, na adiyifo no rehwehwɛ sɛ wɔsan de wɔn kɔ Onyankopɔn nkyɛn, efisɛ wɔkyerɛɛ adiyifo no dwumadi ase sɛ ɛyɛ adanse a ɛkyerɛ Onyankopɔn akanni. Eyi nyinaa yɛɛ wɔn so wɔ bere a na wɔkɔ so po nkrasɛm a adiyifo a wɔsomaa wɔn baa wɔn nkyɛn no nyinaa. Saa nnaadaa koro no ara baa Adventism so wɔ afe 1863 mu.</w:t>
      </w:r>
    </w:p>
    <w:p>
      <w:pPr>
        <w:pStyle w:val="ArticleBody"/>
        <w:jc w:val="left"/>
      </w:pPr>
      <w:r>
        <w:rPr>
          <w:rFonts w:ascii="Nirmala UI" w:hAnsi="Nirmala UI" w:eastAsia="Nirmala UI" w:cs="Nirmala UI"/>
        </w:rPr>
        <w:t>ॲडव्हेंटिझमने</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यांच्या</w:t>
      </w:r>
      <w:r>
        <w:rPr>
          <w:rFonts w:ascii="Times New Roman" w:hAnsi="Times New Roman" w:eastAsia="Times New Roman" w:cs="Times New Roman"/>
        </w:rPr>
        <w:t xml:space="preserve"> </w:t>
      </w:r>
      <w:r>
        <w:rPr>
          <w:rFonts w:ascii="Nirmala UI" w:hAnsi="Nirmala UI" w:eastAsia="Nirmala UI" w:cs="Nirmala UI"/>
        </w:rPr>
        <w:t>सेवाकार्याद्वारे</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आणलेल्या</w:t>
      </w:r>
      <w:r>
        <w:rPr>
          <w:rFonts w:ascii="Times New Roman" w:hAnsi="Times New Roman" w:eastAsia="Times New Roman" w:cs="Times New Roman"/>
        </w:rPr>
        <w:t xml:space="preserve"> </w:t>
      </w:r>
      <w:r>
        <w:rPr>
          <w:rFonts w:ascii="Nirmala UI" w:hAnsi="Nirmala UI" w:eastAsia="Nirmala UI" w:cs="Nirmala UI"/>
        </w:rPr>
        <w:t>चळवळीचा</w:t>
      </w:r>
      <w:r>
        <w:rPr>
          <w:rFonts w:ascii="Times New Roman" w:hAnsi="Times New Roman" w:eastAsia="Times New Roman" w:cs="Times New Roman"/>
        </w:rPr>
        <w:t xml:space="preserve"> </w:t>
      </w:r>
      <w:r>
        <w:rPr>
          <w:rFonts w:ascii="Nirmala UI" w:hAnsi="Nirmala UI" w:eastAsia="Nirmala UI" w:cs="Nirmala UI"/>
        </w:rPr>
        <w:t>नकार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यांच्यामार्फत</w:t>
      </w:r>
      <w:r>
        <w:rPr>
          <w:rFonts w:ascii="Times New Roman" w:hAnsi="Times New Roman" w:eastAsia="Times New Roman" w:cs="Times New Roman"/>
        </w:rPr>
        <w:t xml:space="preserve"> </w:t>
      </w:r>
      <w:r>
        <w:rPr>
          <w:rFonts w:ascii="Nirmala UI" w:hAnsi="Nirmala UI" w:eastAsia="Nirmala UI" w:cs="Nirmala UI"/>
        </w:rPr>
        <w:t>दिलेला</w:t>
      </w:r>
      <w:r>
        <w:rPr>
          <w:rFonts w:ascii="Times New Roman" w:hAnsi="Times New Roman" w:eastAsia="Times New Roman" w:cs="Times New Roman"/>
        </w:rPr>
        <w:t xml:space="preserve"> </w:t>
      </w:r>
      <w:r>
        <w:rPr>
          <w:rFonts w:ascii="Nirmala UI" w:hAnsi="Nirmala UI" w:eastAsia="Nirmala UI" w:cs="Nirmala UI"/>
        </w:rPr>
        <w:t>मोशेचा</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नाकारला</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स्वतःला</w:t>
      </w:r>
      <w:r>
        <w:rPr>
          <w:rFonts w:ascii="Times New Roman" w:hAnsi="Times New Roman" w:eastAsia="Times New Roman" w:cs="Times New Roman"/>
        </w:rPr>
        <w:t xml:space="preserve"> </w:t>
      </w:r>
      <w:r>
        <w:rPr>
          <w:rFonts w:ascii="Nirmala UI" w:hAnsi="Nirmala UI" w:eastAsia="Nirmala UI" w:cs="Nirmala UI"/>
        </w:rPr>
        <w:t>कायदेशीररीत्या</w:t>
      </w:r>
      <w:r>
        <w:rPr>
          <w:rFonts w:ascii="Times New Roman" w:hAnsi="Times New Roman" w:eastAsia="Times New Roman" w:cs="Times New Roman"/>
        </w:rPr>
        <w:t xml:space="preserve"> </w:t>
      </w:r>
      <w:r>
        <w:rPr>
          <w:rFonts w:ascii="Nirmala UI" w:hAnsi="Nirmala UI" w:eastAsia="Nirmala UI" w:cs="Nirmala UI"/>
        </w:rPr>
        <w:t>नोंदणीकृत</w:t>
      </w:r>
      <w:r>
        <w:rPr>
          <w:rFonts w:ascii="Times New Roman" w:hAnsi="Times New Roman" w:eastAsia="Times New Roman" w:cs="Times New Roman"/>
        </w:rPr>
        <w:t xml:space="preserve"> </w:t>
      </w:r>
      <w:r>
        <w:rPr>
          <w:rFonts w:ascii="Nirmala UI" w:hAnsi="Nirmala UI" w:eastAsia="Nirmala UI" w:cs="Nirmala UI"/>
        </w:rPr>
        <w:t>मंडळी</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करण्याचा</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घेतला</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बनावट</w:t>
      </w:r>
      <w:r>
        <w:rPr>
          <w:rFonts w:ascii="Times New Roman" w:hAnsi="Times New Roman" w:eastAsia="Times New Roman" w:cs="Times New Roman"/>
        </w:rPr>
        <w:t xml:space="preserve"> </w:t>
      </w:r>
      <w:r>
        <w:rPr>
          <w:rFonts w:ascii="Nirmala UI" w:hAnsi="Nirmala UI" w:eastAsia="Nirmala UI" w:cs="Nirmala UI"/>
        </w:rPr>
        <w:t>भविष्यवाणीचा</w:t>
      </w:r>
      <w:r>
        <w:rPr>
          <w:rFonts w:ascii="Times New Roman" w:hAnsi="Times New Roman" w:eastAsia="Times New Roman" w:cs="Times New Roman"/>
        </w:rPr>
        <w:t xml:space="preserve"> </w:t>
      </w:r>
      <w:r>
        <w:rPr>
          <w:rFonts w:ascii="Nirmala UI" w:hAnsi="Nirmala UI" w:eastAsia="Nirmala UI" w:cs="Nirmala UI"/>
        </w:rPr>
        <w:t>नकाशा</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यापुढे</w:t>
      </w:r>
      <w:r>
        <w:rPr>
          <w:rFonts w:ascii="Times New Roman" w:hAnsi="Times New Roman" w:eastAsia="Times New Roman" w:cs="Times New Roman"/>
        </w:rPr>
        <w:t xml:space="preserve"> </w:t>
      </w:r>
      <w:r>
        <w:rPr>
          <w:rFonts w:ascii="Nirmala UI" w:hAnsi="Nirmala UI" w:eastAsia="Nirmala UI" w:cs="Nirmala UI"/>
        </w:rPr>
        <w:t>वाचता</w:t>
      </w:r>
      <w:r>
        <w:rPr>
          <w:rFonts w:ascii="Times New Roman" w:hAnsi="Times New Roman" w:eastAsia="Times New Roman" w:cs="Times New Roman"/>
        </w:rPr>
        <w:t xml:space="preserve"> </w:t>
      </w:r>
      <w:r>
        <w:rPr>
          <w:rFonts w:ascii="Nirmala UI" w:hAnsi="Nirmala UI" w:eastAsia="Nirmala UI" w:cs="Nirmala UI"/>
        </w:rPr>
        <w:t>येण्यासारखा</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2:3 </w:t>
      </w:r>
      <w:r>
        <w:rPr>
          <w:rFonts w:ascii="Nirmala UI" w:hAnsi="Nirmala UI" w:eastAsia="Nirmala UI" w:cs="Nirmala UI"/>
        </w:rPr>
        <w:t>नुसार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यापुढे</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नव्हता</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स्पष्टीकरण</w:t>
      </w:r>
      <w:r>
        <w:rPr>
          <w:rFonts w:ascii="Times New Roman" w:hAnsi="Times New Roman" w:eastAsia="Times New Roman" w:cs="Times New Roman"/>
        </w:rPr>
        <w:t xml:space="preserve"> </w:t>
      </w:r>
      <w:r>
        <w:rPr>
          <w:rFonts w:ascii="Nirmala UI" w:hAnsi="Nirmala UI" w:eastAsia="Nirmala UI" w:cs="Nirmala UI"/>
        </w:rPr>
        <w:t>करण्यासाठी</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पत्रकाची</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हबक्कूकचे</w:t>
      </w:r>
      <w:r>
        <w:rPr>
          <w:rFonts w:ascii="Times New Roman" w:hAnsi="Times New Roman" w:eastAsia="Times New Roman" w:cs="Times New Roman"/>
        </w:rPr>
        <w:t xml:space="preserve"> </w:t>
      </w:r>
      <w:r>
        <w:rPr>
          <w:rFonts w:ascii="Nirmala UI" w:hAnsi="Nirmala UI" w:eastAsia="Nirmala UI" w:cs="Nirmala UI"/>
        </w:rPr>
        <w:t>नकाशे</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वाचता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p>
    <w:p>
      <w:pPr>
        <w:pStyle w:val="ArticleBody"/>
        <w:jc w:val="left"/>
      </w:pP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w:t>
      </w:r>
      <w:r>
        <w:rPr>
          <w:rFonts w:ascii="Nirmala UI" w:hAnsi="Nirmala UI" w:eastAsia="Nirmala UI" w:cs="Nirmala UI"/>
        </w:rPr>
        <w:t>ਫੈਸਲੇ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w:t>
      </w:r>
      <w:r>
        <w:rPr>
          <w:rFonts w:ascii="Nirmala UI" w:hAnsi="Nirmala UI" w:eastAsia="Nirmala UI" w:cs="Nirmala UI"/>
        </w:rPr>
        <w:t>ਪੜਤਾਲ</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ਇਨਕਾਰ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ਆਖਿਰਕਾਰ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ਭਵਿੱਖਵਕਤਾ</w:t>
      </w:r>
      <w:r>
        <w:rPr>
          <w:rFonts w:ascii="Times New Roman" w:hAnsi="Times New Roman" w:eastAsia="Times New Roman" w:cs="Times New Roman"/>
        </w:rPr>
        <w:t xml:space="preserve"> </w:t>
      </w:r>
      <w:r>
        <w:rPr>
          <w:rFonts w:ascii="Nirmala UI" w:hAnsi="Nirmala UI" w:eastAsia="Nirmala UI" w:cs="Nirmala UI"/>
        </w:rPr>
        <w:t>ਇਸਤ੍ਰੀ</w:t>
      </w:r>
      <w:r>
        <w:rPr>
          <w:rFonts w:ascii="Times New Roman" w:hAnsi="Times New Roman" w:eastAsia="Times New Roman" w:cs="Times New Roman"/>
        </w:rPr>
        <w:t xml:space="preserve"> </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ਬਾਕੀ</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ਮਨੋਵ੍ਰਿੱਤੀ</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ਖੋਜੇ</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ਆਖਿਰਕਾਰ</w:t>
      </w:r>
      <w:r>
        <w:rPr>
          <w:rFonts w:ascii="Times New Roman" w:hAnsi="Times New Roman" w:eastAsia="Times New Roman" w:cs="Times New Roman"/>
        </w:rPr>
        <w:t xml:space="preserve"> “the daily” </w:t>
      </w:r>
      <w:r>
        <w:rPr>
          <w:rFonts w:ascii="Nirmala UI" w:hAnsi="Nirmala UI" w:eastAsia="Nirmala UI" w:cs="Nirmala UI"/>
        </w:rPr>
        <w:t>ਨਾਮਕ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ਗਈ।</w:t>
      </w:r>
    </w:p>
    <w:p>
      <w:pPr>
        <w:pStyle w:val="ArticleBody"/>
        <w:jc w:val="left"/>
      </w:pPr>
      <w:r>
        <w:rPr>
          <w:rFonts w:ascii="Times New Roman" w:hAnsi="Times New Roman" w:eastAsia="Times New Roman" w:cs="Times New Roman"/>
        </w:rPr>
        <w:t>Israeli ya kisasa ilikataa uelewaji wa Miller kuhusu “sadaka ya daima,” ishara ya Rumi ya kipagani, ambayo nayo ni ishara ya Shetani, na ikadai kwamba “sadaka ya daima” ni ishara ya Kristo. Kwa maneno mengine, Israeli ya kisasa ilichagua kuukubali mfano wa kishetani kuwa ishara ya Kristo. Kama vile Israeli ya kale ilivyotangaza kwamba hawana mfalme ila Kaisari, mwakilishi wa Rumi ya kipagani, ambayo ni ishara ya Shetani.</w:t>
      </w:r>
    </w:p>
    <w:p>
      <w:pPr>
        <w:pStyle w:val="ArticleBody"/>
        <w:jc w:val="left"/>
      </w:pPr>
      <w:r>
        <w:rPr>
          <w:rFonts w:ascii="Times New Roman" w:hAnsi="Times New Roman" w:eastAsia="Times New Roman" w:cs="Times New Roman"/>
        </w:rPr>
        <w:t>Términos de aplicación profética, esa elección exigía que el Israel moderno tuviera que redefinir los capítulos siete, ocho y nueve de Daniel, que eran precisamente los capítulos representados por el río Ulai y constituían el aumento de conocimiento en la historia millerita. Se verían obligados a cambiar esos capítulos, pues el capítulo ocho hace referencia directa a “el continuo” en tres ocasiones.</w:t>
      </w:r>
    </w:p>
    <w:p>
      <w:pPr>
        <w:pStyle w:val="ArticleBody"/>
        <w:jc w:val="left"/>
      </w:pPr>
      <w:r>
        <w:rPr>
          <w:rFonts w:ascii="Times New Roman" w:hAnsi="Times New Roman" w:eastAsia="Times New Roman" w:cs="Times New Roman"/>
        </w:rPr>
        <w:t>Tutulak mula sa kasaysayan kung saan nabuksan ang pangitain sa Ilog Ulai, wala nang ibang kahariang panlupa na nakikita ang mga Millerita bago magbalik si Cristo at itatag ang Kaniyang walang hanggang kaharian, gaya ng inilalarawan sa ikalawang kabanata ng Daniel. Kaya nga itinuring nila ang ikaapat na kaharian ng Roma bilang iisang kaharian na may dalawang aspeto. Ang dalawang aspektong iyon ay tuwirang inilarawan sa ikapito at ikawalong kabanata ng Daniel. Tinutukoy ni Daniel na ang pangitaing tinanggap niya sa ikawalong kabanata ay dapat maunawaan kaugnay ng pangitain sa ikapitong kabanata.</w:t>
      </w:r>
    </w:p>
    <w:p>
      <w:pPr>
        <w:pStyle w:val="ArticleScripture"/>
        <w:jc w:val="left"/>
      </w:pPr>
      <w:r>
        <w:rPr>
          <w:rFonts w:ascii="Nirmala UI" w:hAnsi="Nirmala UI" w:eastAsia="Nirmala UI" w:cs="Nirmala UI"/>
        </w:rPr>
        <w:t>ਬੇਲਸ਼ੱਸਰ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ਦਿੱਸਿਆ।</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8:1.</w:t>
      </w:r>
    </w:p>
    <w:p>
      <w:pPr>
        <w:pStyle w:val="ArticleBody"/>
        <w:jc w:val="left"/>
      </w:pPr>
      <w:r>
        <w:rPr>
          <w:rFonts w:ascii="Times New Roman" w:hAnsi="Times New Roman" w:eastAsia="Times New Roman" w:cs="Times New Roman"/>
        </w:rPr>
        <w:t>مکاشفه‌ای که «در آغاز» بر دانیال «ظاهر شد»، همان مکاشفهٔ فصل هفتم بود.</w:t>
      </w:r>
    </w:p>
    <w:p>
      <w:pPr>
        <w:pStyle w:val="ArticleScripture"/>
        <w:jc w:val="left"/>
      </w:pPr>
      <w:r>
        <w:rPr>
          <w:rFonts w:ascii="Times New Roman" w:hAnsi="Times New Roman" w:eastAsia="Times New Roman" w:cs="Times New Roman"/>
        </w:rPr>
        <w:t>Дар соли якуми Белшасар, подшоҳи Бобил, Дониёл бар бистари худ хоб ва рӯъёҳои сари худро дид; пас хобро навишт ва хулосаи воқеаҳоро баён кард. Дониёл 7:1.</w:t>
      </w:r>
    </w:p>
    <w:p>
      <w:pPr>
        <w:pStyle w:val="ArticleBody"/>
        <w:jc w:val="left"/>
      </w:pP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ꯗ꯭ꯔꯤꯁ꯭ꯁꯟꯁꯤꯡ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ꯄ꯭ꯔꯣꯐꯦꯁꯤꯗꯥ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ꯔꯥꯖ꯭ꯌꯁꯤꯡꯒꯤ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ꯂꯤꯜꯂꯣꯟ</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ꯔꯦꯄ꯭ꯔꯤꯖꯦꯟꯇꯦꯁꯟ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ꯑꯅꯤꯗꯥ</w:t>
      </w:r>
      <w:r>
        <w:rPr>
          <w:rFonts w:ascii="Times New Roman" w:hAnsi="Times New Roman" w:eastAsia="Times New Roman" w:cs="Times New Roman"/>
        </w:rPr>
        <w:t xml:space="preserve"> </w:t>
      </w:r>
      <w:r>
        <w:rPr>
          <w:rFonts w:ascii="Nirmala UI" w:hAnsi="Nirmala UI" w:eastAsia="Nirmala UI" w:cs="Nirmala UI"/>
        </w:rPr>
        <w:t>ꯏꯔꯛꯂꯦ।</w:t>
      </w:r>
      <w:r>
        <w:rPr>
          <w:rFonts w:ascii="Times New Roman" w:hAnsi="Times New Roman" w:eastAsia="Times New Roman" w:cs="Times New Roman"/>
        </w:rPr>
        <w:t xml:space="preserve"> </w:t>
      </w:r>
      <w:r>
        <w:rPr>
          <w:rFonts w:ascii="Nirmala UI" w:hAnsi="Nirmala UI" w:eastAsia="Nirmala UI" w:cs="Nirmala UI"/>
        </w:rPr>
        <w:t>ꯕꯦꯕꯤꯂꯣꯟ</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w:t>
      </w:r>
      <w:r>
        <w:rPr>
          <w:rFonts w:ascii="Nirmala UI" w:hAnsi="Nirmala UI" w:eastAsia="Nirmala UI" w:cs="Nirmala UI"/>
        </w:rPr>
        <w:t>ꯄꯔꯁꯤꯌꯥ</w:t>
      </w:r>
      <w:r>
        <w:rPr>
          <w:rFonts w:ascii="Times New Roman" w:hAnsi="Times New Roman" w:eastAsia="Times New Roman" w:cs="Times New Roman"/>
        </w:rPr>
        <w:t xml:space="preserve">, </w:t>
      </w:r>
      <w:r>
        <w:rPr>
          <w:rFonts w:ascii="Nirmala UI" w:hAnsi="Nirmala UI" w:eastAsia="Nirmala UI" w:cs="Nirmala UI"/>
        </w:rPr>
        <w:t>ꯒ꯭ꯔꯤꯁ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ꯔꯣꯃ</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ꯔꯥꯖ꯭ꯌ</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ꯇꯔꯥꯗꯥ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ꯍꯥꯏꯈ꯭ꯔꯦ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ꯅꯤꯄꯥꯜꯗꯥꯁꯨ</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ꯍꯥꯏꯈ꯭ꯔꯦ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ꯔꯥꯖ꯭ꯌ</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ꯄꯣꯂꯤꯇꯤꯀꯦꯜ</w:t>
      </w:r>
      <w:r>
        <w:rPr>
          <w:rFonts w:ascii="Times New Roman" w:hAnsi="Times New Roman" w:eastAsia="Times New Roman" w:cs="Times New Roman"/>
        </w:rPr>
        <w:t xml:space="preserve"> </w:t>
      </w:r>
      <w:r>
        <w:rPr>
          <w:rFonts w:ascii="Nirmala UI" w:hAnsi="Nirmala UI" w:eastAsia="Nirmala UI" w:cs="Nirmala UI"/>
        </w:rPr>
        <w:t>ꯏꯂꯤꯃꯦꯟꯇꯁꯤꯡ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ꯔꯤꯂꯤꯖꯤꯌꯁ</w:t>
      </w:r>
      <w:r>
        <w:rPr>
          <w:rFonts w:ascii="Times New Roman" w:hAnsi="Times New Roman" w:eastAsia="Times New Roman" w:cs="Times New Roman"/>
        </w:rPr>
        <w:t xml:space="preserve"> </w:t>
      </w:r>
      <w:r>
        <w:rPr>
          <w:rFonts w:ascii="Nirmala UI" w:hAnsi="Nirmala UI" w:eastAsia="Nirmala UI" w:cs="Nirmala UI"/>
        </w:rPr>
        <w:t>ꯏꯂꯤꯃꯦꯟꯇꯁꯤꯡ</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ꯈꯦꯠꯅꯕ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ꯇꯔꯥꯗꯥ</w:t>
      </w:r>
      <w:r>
        <w:rPr>
          <w:rFonts w:ascii="Times New Roman" w:hAnsi="Times New Roman" w:eastAsia="Times New Roman" w:cs="Times New Roman"/>
        </w:rPr>
        <w:t xml:space="preserve">, </w:t>
      </w:r>
      <w:r>
        <w:rPr>
          <w:rFonts w:ascii="Nirmala UI" w:hAnsi="Nirmala UI" w:eastAsia="Nirmala UI" w:cs="Nirmala UI"/>
        </w:rPr>
        <w:t>ꯔꯥꯖ꯭ꯌꯁꯤꯡ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ꯁꯥꯟꯅꯕ</w:t>
      </w:r>
      <w:r>
        <w:rPr>
          <w:rFonts w:ascii="Times New Roman" w:hAnsi="Times New Roman" w:eastAsia="Times New Roman" w:cs="Times New Roman"/>
        </w:rPr>
        <w:t xml:space="preserve"> </w:t>
      </w:r>
      <w:r>
        <w:rPr>
          <w:rFonts w:ascii="Nirmala UI" w:hAnsi="Nirmala UI" w:eastAsia="Nirmala UI" w:cs="Nirmala UI"/>
        </w:rPr>
        <w:t>ꯁꯥꯢ</w:t>
      </w:r>
      <w:r>
        <w:rPr>
          <w:rFonts w:ascii="Times New Roman" w:hAnsi="Times New Roman" w:eastAsia="Times New Roman" w:cs="Times New Roman"/>
        </w:rPr>
        <w:t xml:space="preserve"> </w:t>
      </w:r>
      <w:r>
        <w:rPr>
          <w:rFonts w:ascii="Nirmala UI" w:hAnsi="Nirmala UI" w:eastAsia="Nirmala UI" w:cs="Nirmala UI"/>
        </w:rPr>
        <w:t>ꯄꯣꯠꯁꯤꯡꯅꯥ</w:t>
      </w:r>
      <w:r>
        <w:rPr>
          <w:rFonts w:ascii="Times New Roman" w:hAnsi="Times New Roman" w:eastAsia="Times New Roman" w:cs="Times New Roman"/>
        </w:rPr>
        <w:t xml:space="preserve"> </w:t>
      </w:r>
      <w:r>
        <w:rPr>
          <w:rFonts w:ascii="Nirmala UI" w:hAnsi="Nirmala UI" w:eastAsia="Nirmala UI" w:cs="Nirmala UI"/>
        </w:rPr>
        <w:t>ꯔꯦꯄ꯭ꯔꯤꯖꯦꯟꯇ</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ꯅꯤꯄꯥꯜꯗꯥ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ꯔꯥꯖ꯭ꯌꯁꯤꯡ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ꯁꯦꯟꯀꯆꯨꯌꯦꯔꯤꯒꯤ</w:t>
      </w:r>
      <w:r>
        <w:rPr>
          <w:rFonts w:ascii="Times New Roman" w:hAnsi="Times New Roman" w:eastAsia="Times New Roman" w:cs="Times New Roman"/>
        </w:rPr>
        <w:t xml:space="preserve"> </w:t>
      </w:r>
      <w:r>
        <w:rPr>
          <w:rFonts w:ascii="Nirmala UI" w:hAnsi="Nirmala UI" w:eastAsia="Nirmala UI" w:cs="Nirmala UI"/>
        </w:rPr>
        <w:t>ꯁꯥꯢ</w:t>
      </w:r>
      <w:r>
        <w:rPr>
          <w:rFonts w:ascii="Times New Roman" w:hAnsi="Times New Roman" w:eastAsia="Times New Roman" w:cs="Times New Roman"/>
        </w:rPr>
        <w:t xml:space="preserve"> </w:t>
      </w:r>
      <w:r>
        <w:rPr>
          <w:rFonts w:ascii="Nirmala UI" w:hAnsi="Nirmala UI" w:eastAsia="Nirmala UI" w:cs="Nirmala UI"/>
        </w:rPr>
        <w:t>ꯄꯣꯠꯁꯤꯡꯅꯥ</w:t>
      </w:r>
      <w:r>
        <w:rPr>
          <w:rFonts w:ascii="Times New Roman" w:hAnsi="Times New Roman" w:eastAsia="Times New Roman" w:cs="Times New Roman"/>
        </w:rPr>
        <w:t xml:space="preserve"> </w:t>
      </w:r>
      <w:r>
        <w:rPr>
          <w:rFonts w:ascii="Nirmala UI" w:hAnsi="Nirmala UI" w:eastAsia="Nirmala UI" w:cs="Nirmala UI"/>
        </w:rPr>
        <w:t>ꯄꯤꯔꯛꯂꯦ।</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ꯗ꯭ꯔꯤꯁ꯭ꯁꯟ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ꯄꯥꯝꯂꯦ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ꯒꯦꯕ꯭ꯔꯤꯑꯦꯜꯅꯥ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ꯁꯟꯗꯣꯛꯄꯥꯛ</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ꯂꯥꯛꯈ꯭ꯔꯦ।</w:t>
      </w:r>
    </w:p>
    <w:p>
      <w:pPr>
        <w:pStyle w:val="ArticleScripture"/>
        <w:jc w:val="left"/>
      </w:pPr>
      <w:r>
        <w:rPr>
          <w:rFonts w:ascii="Times New Roman" w:hAnsi="Times New Roman" w:eastAsia="Times New Roman" w:cs="Times New Roman"/>
        </w:rPr>
        <w:t>Kaya ako, si Daniel, ay namighati sa aking espiritu sa kaloob-looban ng aking katawan, at ang mga pangitain ng aking ulo ay bumagabag sa akin. Lumapit ako sa isa sa mga nakatayo roon, at itinanong ko sa kaniya ang katotohanan tungkol sa lahat ng ito. Kaya sinabi niya sa akin, at ipinaalam sa akin ang kahulugan ng mga bagay na ito. Ang malalaking hayop na ito, na apat, ay apat na hari, na magsisibangon mula sa lupa. Ngunit tatanggapin ng mga banal ng Kataas-taasan ang kaharian, at aangkinin ang kaharian magpakailanman, samakatuwid baga'y magpakailan-kailanman. Daniel 7:15–18.</w:t>
      </w:r>
    </w:p>
    <w:p>
      <w:pPr>
        <w:pStyle w:val="ArticleBody"/>
        <w:jc w:val="left"/>
      </w:pPr>
      <w:r>
        <w:rPr>
          <w:rFonts w:ascii="Times New Roman" w:hAnsi="Times New Roman" w:eastAsia="Times New Roman" w:cs="Times New Roman"/>
        </w:rPr>
        <w:t>Danieli aliarifiwa kwamba wale wanyama wanne walikuwa falme nne za duniani ambazo zingekuwapo mpaka ufalme wa milele wa Mungu utakaposimamishwa, kwa upatano na Danieli sura ya pili. Kulipaswa kuwapo falme nne za duniani zilizotangulia kuja kwa ufalme wa milele wa Mungu, kama ulivyowakilishwa na jiwe lililokatwa kutoka mlimani na kuijaza dunia yote katika sura ya pili.</w:t>
      </w:r>
    </w:p>
    <w:p>
      <w:pPr>
        <w:pStyle w:val="ArticleBody"/>
        <w:jc w:val="left"/>
      </w:pPr>
      <w:r>
        <w:rPr>
          <w:rFonts w:ascii="Times New Roman" w:hAnsi="Times New Roman" w:eastAsia="Times New Roman" w:cs="Times New Roman"/>
        </w:rPr>
        <w:t>Sœur White a porté la compréhension millérite de ces quatre royaumes bien au-delà de l’interprétation millérite, lorsqu’elle a abordé la bête terrestre d’Apocalypse chapitre treize.</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在此</w:t>
      </w:r>
      <w:r>
        <w:rPr>
          <w:rFonts w:ascii="Times New Roman" w:hAnsi="Times New Roman" w:eastAsia="Times New Roman" w:cs="Times New Roman"/>
        </w:rPr>
        <w:t>,</w:t>
      </w:r>
      <w:r>
        <w:rPr>
          <w:rFonts w:ascii="Microsoft YaHei" w:hAnsi="Microsoft YaHei" w:eastAsia="Microsoft YaHei" w:cs="Microsoft YaHei"/>
        </w:rPr>
        <w:t>又引入了另一个表号</w:t>
      </w:r>
      <w:r>
        <w:rPr>
          <w:rFonts w:ascii="Times New Roman" w:hAnsi="Times New Roman" w:eastAsia="Times New Roman" w:cs="Times New Roman"/>
        </w:rPr>
        <w:t>.</w:t>
      </w:r>
      <w:r>
        <w:rPr>
          <w:rFonts w:ascii="Microsoft YaHei" w:hAnsi="Microsoft YaHei" w:eastAsia="Microsoft YaHei" w:cs="Microsoft YaHei"/>
        </w:rPr>
        <w:t>先知说：</w:t>
      </w:r>
      <w:r>
        <w:rPr>
          <w:rFonts w:ascii="Times New Roman" w:hAnsi="Times New Roman" w:eastAsia="Times New Roman" w:cs="Times New Roman"/>
        </w:rPr>
        <w:t>‘</w:t>
      </w:r>
      <w:r>
        <w:rPr>
          <w:rFonts w:ascii="Microsoft YaHei" w:hAnsi="Microsoft YaHei" w:eastAsia="Microsoft YaHei" w:cs="Microsoft YaHei"/>
        </w:rPr>
        <w:t>我又看见另有一个兽从地中上来</w:t>
      </w:r>
      <w:r>
        <w:rPr>
          <w:rFonts w:ascii="Times New Roman" w:hAnsi="Times New Roman" w:eastAsia="Times New Roman" w:cs="Times New Roman"/>
        </w:rPr>
        <w:t>;</w:t>
      </w:r>
      <w:r>
        <w:rPr>
          <w:rFonts w:ascii="Microsoft YaHei" w:hAnsi="Microsoft YaHei" w:eastAsia="Microsoft YaHei" w:cs="Microsoft YaHei"/>
        </w:rPr>
        <w:t>它有两角如同羊羔</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11</w:t>
      </w:r>
      <w:r>
        <w:rPr>
          <w:rFonts w:ascii="Microsoft YaHei" w:hAnsi="Microsoft YaHei" w:eastAsia="Microsoft YaHei" w:cs="Microsoft YaHei"/>
        </w:rPr>
        <w:t>节</w:t>
      </w:r>
      <w:r>
        <w:rPr>
          <w:rFonts w:ascii="Times New Roman" w:hAnsi="Times New Roman" w:eastAsia="Times New Roman" w:cs="Times New Roman"/>
        </w:rPr>
        <w:t>.</w:t>
      </w:r>
      <w:r>
        <w:rPr>
          <w:rFonts w:ascii="Microsoft YaHei" w:hAnsi="Microsoft YaHei" w:eastAsia="Microsoft YaHei" w:cs="Microsoft YaHei"/>
        </w:rPr>
        <w:t>这兽的外貌以及它兴起的方式</w:t>
      </w:r>
      <w:r>
        <w:rPr>
          <w:rFonts w:ascii="Times New Roman" w:hAnsi="Times New Roman" w:eastAsia="Times New Roman" w:cs="Times New Roman"/>
        </w:rPr>
        <w:t>,</w:t>
      </w:r>
      <w:r>
        <w:rPr>
          <w:rFonts w:ascii="Microsoft YaHei" w:hAnsi="Microsoft YaHei" w:eastAsia="Microsoft YaHei" w:cs="Microsoft YaHei"/>
        </w:rPr>
        <w:t>都表明它所代表的国家与前面诸表号所呈现的国度不同</w:t>
      </w:r>
      <w:r>
        <w:rPr>
          <w:rFonts w:ascii="Times New Roman" w:hAnsi="Times New Roman" w:eastAsia="Times New Roman" w:cs="Times New Roman"/>
        </w:rPr>
        <w:t>.</w:t>
      </w:r>
      <w:r>
        <w:rPr>
          <w:rFonts w:ascii="Microsoft YaHei" w:hAnsi="Microsoft YaHei" w:eastAsia="Microsoft YaHei" w:cs="Microsoft YaHei"/>
        </w:rPr>
        <w:t>那曾统治世界的大帝国</w:t>
      </w:r>
      <w:r>
        <w:rPr>
          <w:rFonts w:ascii="Times New Roman" w:hAnsi="Times New Roman" w:eastAsia="Times New Roman" w:cs="Times New Roman"/>
        </w:rPr>
        <w:t>,</w:t>
      </w:r>
      <w:r>
        <w:rPr>
          <w:rFonts w:ascii="Microsoft YaHei" w:hAnsi="Microsoft YaHei" w:eastAsia="Microsoft YaHei" w:cs="Microsoft YaHei"/>
        </w:rPr>
        <w:t>在先知但以理面前被表为猛兽</w:t>
      </w:r>
      <w:r>
        <w:rPr>
          <w:rFonts w:ascii="Times New Roman" w:hAnsi="Times New Roman" w:eastAsia="Times New Roman" w:cs="Times New Roman"/>
        </w:rPr>
        <w:t>;</w:t>
      </w:r>
      <w:r>
        <w:rPr>
          <w:rFonts w:ascii="Microsoft YaHei" w:hAnsi="Microsoft YaHei" w:eastAsia="Microsoft YaHei" w:cs="Microsoft YaHei"/>
        </w:rPr>
        <w:t>当时</w:t>
      </w:r>
      <w:r>
        <w:rPr>
          <w:rFonts w:ascii="Times New Roman" w:hAnsi="Times New Roman" w:eastAsia="Times New Roman" w:cs="Times New Roman"/>
        </w:rPr>
        <w:t>‘</w:t>
      </w:r>
      <w:r>
        <w:rPr>
          <w:rFonts w:ascii="Microsoft YaHei" w:hAnsi="Microsoft YaHei" w:eastAsia="Microsoft YaHei" w:cs="Microsoft YaHei"/>
        </w:rPr>
        <w:t>天的四风陡起</w:t>
      </w:r>
      <w:r>
        <w:rPr>
          <w:rFonts w:ascii="Times New Roman" w:hAnsi="Times New Roman" w:eastAsia="Times New Roman" w:cs="Times New Roman"/>
        </w:rPr>
        <w:t>,</w:t>
      </w:r>
      <w:r>
        <w:rPr>
          <w:rFonts w:ascii="Microsoft YaHei" w:hAnsi="Microsoft YaHei" w:eastAsia="Microsoft YaHei" w:cs="Microsoft YaHei"/>
        </w:rPr>
        <w:t>刮在大海之上</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 xml:space="preserve"> 7:2.</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第十七章中</w:t>
      </w:r>
      <w:r>
        <w:rPr>
          <w:rFonts w:ascii="Times New Roman" w:hAnsi="Times New Roman" w:eastAsia="Times New Roman" w:cs="Times New Roman"/>
        </w:rPr>
        <w:t>,</w:t>
      </w:r>
      <w:r>
        <w:rPr>
          <w:rFonts w:ascii="Microsoft YaHei" w:hAnsi="Microsoft YaHei" w:eastAsia="Microsoft YaHei" w:cs="Microsoft YaHei"/>
        </w:rPr>
        <w:t>一位天使解释说</w:t>
      </w:r>
      <w:r>
        <w:rPr>
          <w:rFonts w:ascii="Times New Roman" w:hAnsi="Times New Roman" w:eastAsia="Times New Roman" w:cs="Times New Roman"/>
        </w:rPr>
        <w:t>,</w:t>
      </w:r>
      <w:r>
        <w:rPr>
          <w:rFonts w:ascii="Microsoft YaHei" w:hAnsi="Microsoft YaHei" w:eastAsia="Microsoft YaHei" w:cs="Microsoft YaHei"/>
        </w:rPr>
        <w:t>众水代表</w:t>
      </w:r>
      <w:r>
        <w:rPr>
          <w:rFonts w:ascii="Times New Roman" w:hAnsi="Times New Roman" w:eastAsia="Times New Roman" w:cs="Times New Roman"/>
        </w:rPr>
        <w:t>‘</w:t>
      </w:r>
      <w:r>
        <w:rPr>
          <w:rFonts w:ascii="Microsoft YaHei" w:hAnsi="Microsoft YaHei" w:eastAsia="Microsoft YaHei" w:cs="Microsoft YaHei"/>
        </w:rPr>
        <w:t>多民、多人、多国、多方</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17:15.</w:t>
      </w:r>
      <w:r>
        <w:rPr>
          <w:rFonts w:ascii="Microsoft YaHei" w:hAnsi="Microsoft YaHei" w:eastAsia="Microsoft YaHei" w:cs="Microsoft YaHei"/>
        </w:rPr>
        <w:t>风乃是争战的象征</w:t>
      </w:r>
      <w:r>
        <w:rPr>
          <w:rFonts w:ascii="Times New Roman" w:hAnsi="Times New Roman" w:eastAsia="Times New Roman" w:cs="Times New Roman"/>
        </w:rPr>
        <w:t>.</w:t>
      </w:r>
      <w:r>
        <w:rPr>
          <w:rFonts w:ascii="Microsoft YaHei" w:hAnsi="Microsoft YaHei" w:eastAsia="Microsoft YaHei" w:cs="Microsoft YaHei"/>
        </w:rPr>
        <w:t>天上的四风刮在大海之上</w:t>
      </w:r>
      <w:r>
        <w:rPr>
          <w:rFonts w:ascii="Times New Roman" w:hAnsi="Times New Roman" w:eastAsia="Times New Roman" w:cs="Times New Roman"/>
        </w:rPr>
        <w:t>,</w:t>
      </w:r>
      <w:r>
        <w:rPr>
          <w:rFonts w:ascii="Microsoft YaHei" w:hAnsi="Microsoft YaHei" w:eastAsia="Microsoft YaHei" w:cs="Microsoft YaHei"/>
        </w:rPr>
        <w:t>表征列国藉以取得权势之征服与革命的可怕景象</w:t>
      </w:r>
      <w:r>
        <w:rPr>
          <w:rFonts w:ascii="Times New Roman" w:hAnsi="Times New Roman" w:eastAsia="Times New Roman" w:cs="Times New Roman"/>
        </w:rPr>
        <w:t>."«</w:t>
      </w:r>
      <w:r>
        <w:rPr>
          <w:rFonts w:ascii="Microsoft YaHei" w:hAnsi="Microsoft YaHei" w:eastAsia="Microsoft YaHei" w:cs="Microsoft YaHei"/>
        </w:rPr>
        <w:t>善恶之争</w:t>
      </w:r>
      <w:r>
        <w:rPr>
          <w:rFonts w:ascii="Times New Roman" w:hAnsi="Times New Roman" w:eastAsia="Times New Roman" w:cs="Times New Roman"/>
        </w:rPr>
        <w:t>»,439</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bêtes sont des symboles des conquêtes qui furent accomplies lorsque les royaumes accédèrent au pouvoir. Une bête de proie représente prophétiquement la puissance politique, économique et militaire d’un royaume. Les mêmes royaumes représentés dans Daniel, chapitres deux et sept, sont aussi représentés au chapitre huit; mais là, ils sont tous associés à des éléments tirés du sanctuaire de Dieu, et ce faisant ils représentent l’élément religieux des royaumes, car ils étaient tous une union de l’Église et de l’État.</w:t>
      </w:r>
    </w:p>
    <w:p>
      <w:pPr>
        <w:pStyle w:val="ArticleScripture"/>
        <w:jc w:val="left"/>
      </w:pPr>
      <w:r>
        <w:rPr>
          <w:rFonts w:ascii="Times New Roman" w:hAnsi="Times New Roman" w:eastAsia="Times New Roman" w:cs="Times New Roman"/>
        </w:rPr>
        <w:t>Katika mwaka wa tatu wa kutawala kwake mfalme Belshaza nilitokewa na maono, naam, mimi Danieli, baada ya yale yaliyonitokea hapo kwanza. Nami nikaona katika maono; ikawa, nilipoona, kwamba nalikuwa huko Shushani, katika ikulu, iliyoko katika jimbo la Elamu; nami nikaona katika maono, nami nalikuwa kando ya mto Ulai. Ndipo nikainua macho yangu, nikaona, na tazama, mbele ya mto alisimama kondoo mume mwenye pembe mbili; na zile pembe mbili zilikuwa ndefu; lakini moja ilikuwa ndefu kuliko hiyo nyingine, na ile iliyo ndefu zaidi ilimea baadaye. Nikamwona huyo kondoo mume akisukuma upande wa magharibi, na wa kaskazini, na wa kusini; hata hapakuwa na mnyama ye yote awezaye kusimama mbele yake, wala hakuwapo mtu awezaye kuokoa kutoka mkononi mwake; bali alitenda sawasawa na mapenzi yake, akawa mkuu. Nami nilipokuwa nikifikiri, tazama, beberu dume akaja kutoka upande wa magharibi juu ya uso wa dunia yote, wala hakugusa ardhi; naye huyo beberu alikuwa na pembe kubwa iliyoonekana sana kati ya macho yake. Akamjia huyo kondoo mume mwenye pembe mbili, ambaye nilimwona amesimama mbele ya mto, akamkimbilia kwa ghadhabu ya nguvu zake. Nikamwona akimkaribia huyo kondoo mume, naye akachochewa na hasira juu yake, akampiga huyo kondoo mume, akazivunja zile pembe zake mbili; wala hapakuwa na nguvu katika huyo kondoo mume ya kusimama mbele yake, bali akamtupa chini, akamkanyaga; wala hapakuwa na mtu awezaye kumwokoa huyo kondoo mume kutoka mkononi mwake. Basi huyo beberu akawa mkuu sana; na alipokuwa na nguvu, ile pembe kubwa ilivunjika; na badala yake zikamea nne nyingine zilizoonekana sana, kuelekea pande nne za mbingu. Danieli 8:1–8.</w:t>
      </w:r>
    </w:p>
    <w:p>
      <w:pPr>
        <w:pStyle w:val="ArticleBody"/>
        <w:jc w:val="left"/>
      </w:pP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शुरुआत</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w:t>
      </w:r>
      <w:r>
        <w:rPr>
          <w:rFonts w:ascii="Nirmala UI" w:hAnsi="Nirmala UI" w:eastAsia="Nirmala UI" w:cs="Nirmala UI"/>
        </w:rPr>
        <w:t>श्रृंखला</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मेढ़े</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अभाव</w:t>
      </w:r>
      <w:r>
        <w:rPr>
          <w:rFonts w:ascii="Times New Roman" w:hAnsi="Times New Roman" w:eastAsia="Times New Roman" w:cs="Times New Roman"/>
        </w:rPr>
        <w:t xml:space="preserve"> </w:t>
      </w:r>
      <w:r>
        <w:rPr>
          <w:rFonts w:ascii="Nirmala UI" w:hAnsi="Nirmala UI" w:eastAsia="Nirmala UI" w:cs="Nirmala UI"/>
        </w:rPr>
        <w:t>उद्देश्यपूर्ण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पुनःस्थापित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पापत्व</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पापत्व</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बेलशस्सर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Binyabuzima bo mu gice cya munani si inyamaswa z’inkazi; ni inyamaswa zakoreshwaga nk’ibitambo mu murimo w’ubuturo bwera. Ubwami bwa kane bugaragazwa nk’“ihembe rito,” si nk’inyamaswa; ariko amahembe yari mu buturo bwera bw’Imana, kuko ibicaniro byo mu buturo bwera bw’Imana byari bifite amahembe nk’igice cy’imiterere yabyo.</w:t>
      </w:r>
    </w:p>
    <w:p>
      <w:pPr>
        <w:pStyle w:val="ArticleBody"/>
        <w:jc w:val="left"/>
      </w:pPr>
      <w:r>
        <w:rPr>
          <w:rFonts w:ascii="Times New Roman" w:hAnsi="Times New Roman" w:eastAsia="Times New Roman" w:cs="Times New Roman"/>
        </w:rPr>
        <w:t>A patang a naipresentar ni Daniel ang apat na kaharian ng hula sa pamamagitan ng mga katawagang pang-santuwaryo, ang salaysay ng kabanata ay naglalaman din ng ilang salitang tuwirang hango sa paglilingkod sa santuwaryo ng Diyos. Ang salaysay sa kabanata ay inilahad sa pamamagitan ng mga salitang Hebreo na kinuha mula sa paglilingkod sa santuwaryo, at maging ang kilos ng paghaharap ng isang handog sa paglilingkod sa santuwaryo ay nakapaloob sa balangkas ng kabanata. Ang katotohanang sadyang iniugnay ni Daniel ang ikapito at ikawalong kabanata ay nagbibigay-daan sa mga nagnanais makakita na ang ikapitong kabanata ay tumutukoy sa pagkagawang-estado ng mga kaharian ng hula sa Biblia at ang ikawalong kabanata ay tumutukoy sa pagkagawang-iglesia ng mga kaharian ng hula sa Biblia.</w:t>
      </w:r>
    </w:p>
    <w:p>
      <w:pPr>
        <w:pStyle w:val="ArticleBody"/>
        <w:jc w:val="left"/>
      </w:pPr>
      <w:r>
        <w:rPr>
          <w:rFonts w:ascii="Times New Roman" w:hAnsi="Times New Roman" w:eastAsia="Times New Roman" w:cs="Times New Roman"/>
        </w:rPr>
        <w:t>L’adventisme a été contraint de dissimuler ce fait sous des fables sataniques, car cette reconnaissance révèle que les joyaux de Miller étaient exactement tels que Dieu les avait conçus. Leur rejet de la compréhension de Miller concernant « le continuel » est présenté comme l’affirmation que « Dieu n’avait aucune compréhension », car ils prétendent que, lorsque Dieu donna le cadre à Miller (par le ministère des saints anges), celui-ci n’était pas exact.</w:t>
      </w:r>
    </w:p>
    <w:p>
      <w:pPr>
        <w:pStyle w:val="ArticleScripture"/>
        <w:jc w:val="left"/>
      </w:pPr>
      <w:r>
        <w:rPr>
          <w:rFonts w:ascii="Times New Roman" w:hAnsi="Times New Roman" w:eastAsia="Times New Roman" w:cs="Times New Roman"/>
        </w:rPr>
        <w:t>Certes, votre renversement de toutes choses sera tenu pour l’argile du potier; car l’ouvrage dira-t-il de celui qui l’a fait: Il ne m’a point fait? ou la chose formée dira-t-elle de celui qui l’a formée: Il n’avait point d’intelligence? Ésaïe 29:16.</w:t>
      </w:r>
    </w:p>
    <w:p>
      <w:pPr>
        <w:pStyle w:val="ArticleBody"/>
        <w:jc w:val="left"/>
      </w:pPr>
      <w:r>
        <w:rPr>
          <w:rFonts w:ascii="Times New Roman" w:hAnsi="Times New Roman" w:eastAsia="Times New Roman" w:cs="Times New Roman"/>
        </w:rPr>
        <w:t>O quadro de Miller era a estrutura profética que ele reconheceu e empregou; porém, a partir de 1863, o Adventismo retornou às aplicações teológicas do protestantismo apóstata e do catolicismo, a fim de encobrir as joias do sonho de Miller. O Adventismo aceitou um quadro falso (a coisa emoldurada), para rejeitar a obra e também o Autor da obra. Ao fazê-lo, afirmam que o Autor da obra não tem entendimento. A rejeição desse quadro foi, e ainda é, uma rejeição do aumento de conhecimento que foi desselado em 1798. Aqueles que rejeitam o aumento de conhecimento rejeitam a obra e o Autor da obra e, em termos de Daniel, eram “os ímpios”.</w:t>
      </w:r>
    </w:p>
    <w:p>
      <w:pPr>
        <w:pStyle w:val="ArticleScripture"/>
        <w:jc w:val="left"/>
      </w:pPr>
      <w:r>
        <w:rPr>
          <w:rFonts w:ascii="Microsoft YaHei" w:hAnsi="Microsoft YaHei" w:eastAsia="Microsoft YaHei" w:cs="Microsoft YaHei"/>
        </w:rPr>
        <w:t>多人必使自己清净洁白</w:t>
      </w:r>
      <w:r>
        <w:rPr>
          <w:rFonts w:ascii="Times New Roman" w:hAnsi="Times New Roman" w:eastAsia="Times New Roman" w:cs="Times New Roman"/>
        </w:rPr>
        <w:t>,</w:t>
      </w:r>
      <w:r>
        <w:rPr>
          <w:rFonts w:ascii="Microsoft YaHei" w:hAnsi="Microsoft YaHei" w:eastAsia="Microsoft YaHei" w:cs="Microsoft YaHei"/>
        </w:rPr>
        <w:t>且被熬炼</w:t>
      </w:r>
      <w:r>
        <w:rPr>
          <w:rFonts w:ascii="Times New Roman" w:hAnsi="Times New Roman" w:eastAsia="Times New Roman" w:cs="Times New Roman"/>
        </w:rPr>
        <w:t>;</w:t>
      </w:r>
      <w:r>
        <w:rPr>
          <w:rFonts w:ascii="Microsoft YaHei" w:hAnsi="Microsoft YaHei" w:eastAsia="Microsoft YaHei" w:cs="Microsoft YaHei"/>
        </w:rPr>
        <w:t>恶人仍必行恶</w:t>
      </w:r>
      <w:r>
        <w:rPr>
          <w:rFonts w:ascii="Times New Roman" w:hAnsi="Times New Roman" w:eastAsia="Times New Roman" w:cs="Times New Roman"/>
        </w:rPr>
        <w:t>;</w:t>
      </w:r>
      <w:r>
        <w:rPr>
          <w:rFonts w:ascii="Microsoft YaHei" w:hAnsi="Microsoft YaHei" w:eastAsia="Microsoft YaHei" w:cs="Microsoft YaHei"/>
        </w:rPr>
        <w:t>一切恶人都不明白</w:t>
      </w:r>
      <w:r>
        <w:rPr>
          <w:rFonts w:ascii="Times New Roman" w:hAnsi="Times New Roman" w:eastAsia="Times New Roman" w:cs="Times New Roman"/>
        </w:rPr>
        <w:t>,</w:t>
      </w:r>
      <w:r>
        <w:rPr>
          <w:rFonts w:ascii="Microsoft YaHei" w:hAnsi="Microsoft YaHei" w:eastAsia="Microsoft YaHei" w:cs="Microsoft YaHei"/>
        </w:rPr>
        <w:t>惟独智慧人必明白</w:t>
      </w:r>
      <w:r>
        <w:rPr>
          <w:rFonts w:ascii="Times New Roman" w:hAnsi="Times New Roman" w:eastAsia="Times New Roman" w:cs="Times New Roman"/>
        </w:rPr>
        <w:t>.Daniel 12:10.</w:t>
      </w:r>
    </w:p>
    <w:p>
      <w:pPr>
        <w:pStyle w:val="ArticleBody"/>
        <w:jc w:val="left"/>
      </w:pPr>
      <w:r>
        <w:rPr>
          <w:rFonts w:ascii="Times New Roman" w:hAnsi="Times New Roman" w:eastAsia="Times New Roman" w:cs="Times New Roman"/>
        </w:rPr>
        <w:t>Les « méchants agiront méchamment », identifiant ainsi un rejet progressif et croissant de la vérité. Le rejet, par les méchants, du cadre est un rejet de Dieu, et en retour Dieu rejette les méchants pour le rejet qu’ils cherchent à accomplir au moyen d’un cadre contrefait.</w:t>
      </w:r>
    </w:p>
    <w:p>
      <w:pPr>
        <w:pStyle w:val="ArticleScripture"/>
        <w:jc w:val="left"/>
      </w:pPr>
      <w:r>
        <w:rPr>
          <w:rFonts w:ascii="Times New Roman" w:hAnsi="Times New Roman" w:eastAsia="Times New Roman" w:cs="Times New Roman"/>
        </w:rPr>
        <w:t>Mon peuple est détruit faute de connaissance; parce que tu as rejeté la connaissance, je te rejetterai aussi, afin que tu n’exerces plus devant moi le sacerdoce; puisque tu as oublié la loi de ton Dieu, j’oublierai aussi tes enfants. Osée 4:6.</w:t>
      </w:r>
    </w:p>
    <w:p>
      <w:pPr>
        <w:pStyle w:val="ArticleBody"/>
        <w:jc w:val="left"/>
      </w:pPr>
      <w:r>
        <w:rPr>
          <w:rFonts w:ascii="Times New Roman" w:hAnsi="Times New Roman" w:eastAsia="Times New Roman" w:cs="Times New Roman"/>
        </w:rPr>
        <w:t>Les gens de Dieu, qui furent les « prêtres » de Dieu de 1844 jusqu’en 1863, furent rejetés à cause de leur manque de la « connaissance » qui avait été accrue par le ministère de William Miller. Il est important de considérer le contexte du verset six dans Osée, car ce contexte met en évidence une rébellion croissante contre la vérité, représentée comme la « connaissance ».</w:t>
      </w:r>
    </w:p>
    <w:p>
      <w:pPr>
        <w:pStyle w:val="ArticleScripture"/>
        <w:jc w:val="left"/>
      </w:pPr>
      <w:r>
        <w:rPr>
          <w:rFonts w:ascii="Times New Roman" w:hAnsi="Times New Roman" w:eastAsia="Times New Roman" w:cs="Times New Roman"/>
        </w:rPr>
        <w:t>Écoutez la parole de l’Éternel, enfants d’Israël; car l’Éternel a un procès avec les habitants du pays, parce qu’il n’y a ni vérité, ni miséricorde, ni connaissance de Dieu dans le pays. On ne voit que jurons, mensonges, meurtres, vols et adultères; ils se livrent à la violence, et le sang touche le sang. C’est pourquoi le pays sera dans le deuil, et tous ceux qui l’habitent dépériront, avec les bêtes des champs et avec les oiseaux du ciel; même les poissons de la mer disparaîtront. Toutefois, que nul ne conteste, et que nul ne reprenne un autre; car ton peuple est comme ceux qui contestent avec le prêtre. C’est pourquoi tu tomberas de jour, et le prophète aussi tombera avec toi de nuit, et je détruirai ta mère. Mon peuple est détruit, faute de connaissance; parce que tu as rejeté la connaissance, je te rejetterai aussi, afin que tu n’exerces plus devant moi le sacerdoce; puisque tu as oublié la loi de ton Dieu, j’oublierai aussi tes enfants. À mesure qu’ils se sont multipliés, ils ont péché contre moi; je changerai leur gloire en ignominie. Ils se repaissent du péché de mon peuple, et ils portent leur désir vers son iniquité. Il en sera du prêtre comme du peuple; je les châtierai selon leurs voies, et je leur rendrai selon leurs œuvres. Ils mangeront et ne seront pas rassasiés; ils se prostitueront et ne se multiplieront pas, parce qu’ils ont cessé de prendre garde à l’Éternel.</w:t>
      </w:r>
    </w:p>
    <w:p>
      <w:pPr>
        <w:pStyle w:val="ArticleScripture"/>
        <w:jc w:val="left"/>
      </w:pP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परामर्श</w:t>
      </w:r>
      <w:r>
        <w:rPr>
          <w:rFonts w:ascii="Times New Roman" w:hAnsi="Times New Roman" w:eastAsia="Times New Roman" w:cs="Times New Roman"/>
        </w:rPr>
        <w:t xml:space="preserve"> </w:t>
      </w:r>
      <w:r>
        <w:rPr>
          <w:rFonts w:ascii="Nirmala UI" w:hAnsi="Nirmala UI" w:eastAsia="Nirmala UI" w:cs="Nirmala UI"/>
        </w:rPr>
        <w:t>माँगती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लाठी</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बताती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भटका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हटकर</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फिरती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पहाड़ों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चोटियों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चढ़ाते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टीलों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बांज</w:t>
      </w:r>
      <w:r>
        <w:rPr>
          <w:rFonts w:ascii="Times New Roman" w:hAnsi="Times New Roman" w:eastAsia="Times New Roman" w:cs="Times New Roman"/>
        </w:rPr>
        <w:t xml:space="preserve">, </w:t>
      </w:r>
      <w:r>
        <w:rPr>
          <w:rFonts w:ascii="Nirmala UI" w:hAnsi="Nirmala UI" w:eastAsia="Nirmala UI" w:cs="Nirmala UI"/>
        </w:rPr>
        <w:t>सफेदा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जलाते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छाया</w:t>
      </w:r>
      <w:r>
        <w:rPr>
          <w:rFonts w:ascii="Times New Roman" w:hAnsi="Times New Roman" w:eastAsia="Times New Roman" w:cs="Times New Roman"/>
        </w:rPr>
        <w:t xml:space="preserve"> </w:t>
      </w:r>
      <w:r>
        <w:rPr>
          <w:rFonts w:ascii="Nirmala UI" w:hAnsi="Nirmala UI" w:eastAsia="Nirmala UI" w:cs="Nirmala UI"/>
        </w:rPr>
        <w:t>अच्छी</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बेटियाँ</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बहुएँ</w:t>
      </w:r>
      <w:r>
        <w:rPr>
          <w:rFonts w:ascii="Times New Roman" w:hAnsi="Times New Roman" w:eastAsia="Times New Roman" w:cs="Times New Roman"/>
        </w:rPr>
        <w:t xml:space="preserve"> </w:t>
      </w:r>
      <w:r>
        <w:rPr>
          <w:rFonts w:ascii="Nirmala UI" w:hAnsi="Nirmala UI" w:eastAsia="Nirmala UI" w:cs="Nirmala UI"/>
        </w:rPr>
        <w:t>परस्त्रीगमन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बेटियाँ</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बहुएँ</w:t>
      </w:r>
      <w:r>
        <w:rPr>
          <w:rFonts w:ascii="Times New Roman" w:hAnsi="Times New Roman" w:eastAsia="Times New Roman" w:cs="Times New Roman"/>
        </w:rPr>
        <w:t xml:space="preserve"> </w:t>
      </w:r>
      <w:r>
        <w:rPr>
          <w:rFonts w:ascii="Nirmala UI" w:hAnsi="Nirmala UI" w:eastAsia="Nirmala UI" w:cs="Nirmala UI"/>
        </w:rPr>
        <w:t>परस्त्रीगमन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वेश्याओं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गणिकाओं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चढ़ाते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आचरण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गिलगाल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हठी</w:t>
      </w:r>
      <w:r>
        <w:rPr>
          <w:rFonts w:ascii="Times New Roman" w:hAnsi="Times New Roman" w:eastAsia="Times New Roman" w:cs="Times New Roman"/>
        </w:rPr>
        <w:t xml:space="preserve"> </w:t>
      </w:r>
      <w:r>
        <w:rPr>
          <w:rFonts w:ascii="Nirmala UI" w:hAnsi="Nirmala UI" w:eastAsia="Nirmala UI" w:cs="Nirmala UI"/>
        </w:rPr>
        <w:t>बछिया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हटता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विस्तृत</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चराएगा।</w:t>
      </w:r>
      <w:r>
        <w:rPr>
          <w:rFonts w:ascii="Times New Roman" w:hAnsi="Times New Roman" w:eastAsia="Times New Roman" w:cs="Times New Roman"/>
        </w:rPr>
        <w:t xml:space="preserve"> </w:t>
      </w:r>
      <w:r>
        <w:rPr>
          <w:rFonts w:ascii="Nirmala UI" w:hAnsi="Nirmala UI" w:eastAsia="Nirmala UI" w:cs="Nirmala UI"/>
        </w:rPr>
        <w:t>एप्रैम</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बिगड़</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हाकिम</w:t>
      </w:r>
      <w:r>
        <w:rPr>
          <w:rFonts w:ascii="Times New Roman" w:hAnsi="Times New Roman" w:eastAsia="Times New Roman" w:cs="Times New Roman"/>
        </w:rPr>
        <w:t xml:space="preserve"> </w:t>
      </w:r>
      <w:r>
        <w:rPr>
          <w:rFonts w:ascii="Nirmala UI" w:hAnsi="Nirmala UI" w:eastAsia="Nirmala UI" w:cs="Nirmala UI"/>
        </w:rPr>
        <w:t>लज्जा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लज्जित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होशे</w:t>
      </w:r>
      <w:r>
        <w:rPr>
          <w:rFonts w:ascii="Times New Roman" w:hAnsi="Times New Roman" w:eastAsia="Times New Roman" w:cs="Times New Roman"/>
        </w:rPr>
        <w:t xml:space="preserve"> 4:1–19</w:t>
      </w:r>
      <w:r>
        <w:rPr>
          <w:rFonts w:ascii="Nirmala UI" w:hAnsi="Nirmala UI" w:eastAsia="Nirmala UI" w:cs="Nirmala UI"/>
        </w:rPr>
        <w:t>।</w:t>
      </w:r>
    </w:p>
    <w:p>
      <w:pPr>
        <w:pStyle w:val="ArticleBody"/>
        <w:jc w:val="left"/>
      </w:pPr>
      <w:r>
        <w:rPr>
          <w:rFonts w:ascii="Times New Roman" w:hAnsi="Times New Roman" w:eastAsia="Times New Roman" w:cs="Times New Roman"/>
        </w:rPr>
        <w:t>Avertismentul lui Osea este că „Domnul are o pricină cu locuitorii țării, pentru că nu este nici adevăr, nici îndurare, nici cunoștință de Dumnezeu în țară.” Adventismul este poporul lui Dumnezeu al zilelor de pe urmă. În ziua în care omul cu peria de praf intră în camera lui Miller, Adventismul, incluzând poporul, preoții, prorocii, „care nu înțelege va cădea”, căci ei vor fi „alipiți de idoli”. Idolii lor sunt doctrinele lor contrafăcute, țesute într-un cadru contrafăcut.</w:t>
      </w:r>
    </w:p>
    <w:p>
      <w:pPr>
        <w:pStyle w:val="ArticleBody"/>
        <w:jc w:val="left"/>
      </w:pPr>
      <w:r>
        <w:rPr>
          <w:rFonts w:ascii="Times New Roman" w:hAnsi="Times New Roman" w:eastAsia="Times New Roman" w:cs="Times New Roman"/>
        </w:rPr>
        <w:t>L’insurrection que représente le rejet de l’accroissement de la connaissance est une intensification progressive de la rébellion, qui atteint le point où leur temps de grâce prend fin par la déclaration qu’ils se sont attachés aux doctrines contrefaites qui sont balayées hors de la pièce de Miller. Leur rébellion est représentée comme la perpétration continuelle de la prostitution spirituelle. À partir de 1863 et jusqu’à la clôture du temps de grâce, ils se rebellent continuellement jusqu’à ce qu’ils soient vomis de la bouche du Seigneur.</w:t>
      </w:r>
    </w:p>
    <w:p>
      <w:pPr>
        <w:pStyle w:val="ArticleBody"/>
        <w:jc w:val="left"/>
      </w:pPr>
      <w:r>
        <w:rPr>
          <w:rFonts w:ascii="Nirmala UI" w:hAnsi="Nirmala UI" w:eastAsia="Nirmala UI" w:cs="Nirmala UI"/>
        </w:rPr>
        <w:t>खंथि</w:t>
      </w:r>
      <w:r>
        <w:rPr>
          <w:rFonts w:ascii="Times New Roman" w:hAnsi="Times New Roman" w:eastAsia="Times New Roman" w:cs="Times New Roman"/>
        </w:rPr>
        <w:t xml:space="preserve"> </w:t>
      </w:r>
      <w:r>
        <w:rPr>
          <w:rFonts w:ascii="Nirmala UI" w:hAnsi="Nirmala UI" w:eastAsia="Nirmala UI" w:cs="Nirmala UI"/>
        </w:rPr>
        <w:t>जाथाव</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बिथाङोर</w:t>
      </w:r>
      <w:r>
        <w:rPr>
          <w:rFonts w:ascii="Times New Roman" w:hAnsi="Times New Roman" w:eastAsia="Times New Roman" w:cs="Times New Roman"/>
        </w:rPr>
        <w:t xml:space="preserve"> “</w:t>
      </w:r>
      <w:r>
        <w:rPr>
          <w:rFonts w:ascii="Nirmala UI" w:hAnsi="Nirmala UI" w:eastAsia="Nirmala UI" w:cs="Nirmala UI"/>
        </w:rPr>
        <w:t>सोरस्रै</w:t>
      </w:r>
      <w:r>
        <w:rPr>
          <w:rFonts w:ascii="Times New Roman" w:hAnsi="Times New Roman" w:eastAsia="Times New Roman" w:cs="Times New Roman"/>
        </w:rPr>
        <w:t xml:space="preserve">” </w:t>
      </w:r>
      <w:r>
        <w:rPr>
          <w:rFonts w:ascii="Nirmala UI" w:hAnsi="Nirmala UI" w:eastAsia="Nirmala UI" w:cs="Nirmala UI"/>
        </w:rPr>
        <w:t>दोहोजानायजों</w:t>
      </w:r>
      <w:r>
        <w:rPr>
          <w:rFonts w:ascii="Times New Roman" w:hAnsi="Times New Roman" w:eastAsia="Times New Roman" w:cs="Times New Roman"/>
        </w:rPr>
        <w:t xml:space="preserve"> </w:t>
      </w:r>
      <w:r>
        <w:rPr>
          <w:rFonts w:ascii="Nirmala UI" w:hAnsi="Nirmala UI" w:eastAsia="Nirmala UI" w:cs="Nirmala UI"/>
        </w:rPr>
        <w:t>दिन्थिफुंनाय</w:t>
      </w:r>
      <w:r>
        <w:rPr>
          <w:rFonts w:ascii="Times New Roman" w:hAnsi="Times New Roman" w:eastAsia="Times New Roman" w:cs="Times New Roman"/>
        </w:rPr>
        <w:t xml:space="preserve"> </w:t>
      </w:r>
      <w:r>
        <w:rPr>
          <w:rFonts w:ascii="Nirmala UI" w:hAnsi="Nirmala UI" w:eastAsia="Nirmala UI" w:cs="Nirmala UI"/>
        </w:rPr>
        <w:t>आसारजों</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होनायजों</w:t>
      </w:r>
      <w:r>
        <w:rPr>
          <w:rFonts w:ascii="Times New Roman" w:hAnsi="Times New Roman" w:eastAsia="Times New Roman" w:cs="Times New Roman"/>
        </w:rPr>
        <w:t xml:space="preserve"> </w:t>
      </w:r>
      <w:r>
        <w:rPr>
          <w:rFonts w:ascii="Nirmala UI" w:hAnsi="Nirmala UI" w:eastAsia="Nirmala UI" w:cs="Nirmala UI"/>
        </w:rPr>
        <w:t>दिन्थिफुनाय</w:t>
      </w:r>
      <w:r>
        <w:rPr>
          <w:rFonts w:ascii="Times New Roman" w:hAnsi="Times New Roman" w:eastAsia="Times New Roman" w:cs="Times New Roman"/>
        </w:rPr>
        <w:t xml:space="preserve"> </w:t>
      </w:r>
      <w:r>
        <w:rPr>
          <w:rFonts w:ascii="Nirmala UI" w:hAnsi="Nirmala UI" w:eastAsia="Nirmala UI" w:cs="Nirmala UI"/>
        </w:rPr>
        <w:t>जादोंमोन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जदिुओ</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साब्दो</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अर्थखौ</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होनायनि</w:t>
      </w:r>
      <w:r>
        <w:rPr>
          <w:rFonts w:ascii="Times New Roman" w:hAnsi="Times New Roman" w:eastAsia="Times New Roman" w:cs="Times New Roman"/>
        </w:rPr>
        <w:t xml:space="preserve"> </w:t>
      </w:r>
      <w:r>
        <w:rPr>
          <w:rFonts w:ascii="Nirmala UI" w:hAnsi="Nirmala UI" w:eastAsia="Nirmala UI" w:cs="Nirmala UI"/>
        </w:rPr>
        <w:t>फान्थि</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साब्दो</w:t>
      </w:r>
      <w:r>
        <w:rPr>
          <w:rFonts w:ascii="Times New Roman" w:hAnsi="Times New Roman" w:eastAsia="Times New Roman" w:cs="Times New Roman"/>
        </w:rPr>
        <w:t xml:space="preserve"> “tamid” </w:t>
      </w:r>
      <w:r>
        <w:rPr>
          <w:rFonts w:ascii="Nirmala UI" w:hAnsi="Nirmala UI" w:eastAsia="Nirmala UI" w:cs="Nirmala UI"/>
        </w:rPr>
        <w:t>जाहायनि</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सोरस्रै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दानियेलनि</w:t>
      </w:r>
      <w:r>
        <w:rPr>
          <w:rFonts w:ascii="Times New Roman" w:hAnsi="Times New Roman" w:eastAsia="Times New Roman" w:cs="Times New Roman"/>
        </w:rPr>
        <w:t xml:space="preserve"> </w:t>
      </w:r>
      <w:r>
        <w:rPr>
          <w:rFonts w:ascii="Nirmala UI" w:hAnsi="Nirmala UI" w:eastAsia="Nirmala UI" w:cs="Nirmala UI"/>
        </w:rPr>
        <w:t>बिजाबआव</w:t>
      </w:r>
      <w:r>
        <w:rPr>
          <w:rFonts w:ascii="Times New Roman" w:hAnsi="Times New Roman" w:eastAsia="Times New Roman" w:cs="Times New Roman"/>
        </w:rPr>
        <w:t xml:space="preserve"> “the daily” </w:t>
      </w:r>
      <w:r>
        <w:rPr>
          <w:rFonts w:ascii="Nirmala UI" w:hAnsi="Nirmala UI" w:eastAsia="Nirmala UI" w:cs="Nirmala UI"/>
        </w:rPr>
        <w:t>ब</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रांखानाय</w:t>
      </w:r>
      <w:r>
        <w:rPr>
          <w:rFonts w:ascii="Times New Roman" w:hAnsi="Times New Roman" w:eastAsia="Times New Roman" w:cs="Times New Roman"/>
        </w:rPr>
        <w:t xml:space="preserve"> </w:t>
      </w:r>
      <w:r>
        <w:rPr>
          <w:rFonts w:ascii="Nirmala UI" w:hAnsi="Nirmala UI" w:eastAsia="Nirmala UI" w:cs="Nirmala UI"/>
        </w:rPr>
        <w:t>जादों।</w:t>
      </w:r>
    </w:p>
    <w:p>
      <w:pPr>
        <w:pStyle w:val="ArticleBody"/>
        <w:jc w:val="left"/>
      </w:pPr>
      <w:r>
        <w:rPr>
          <w:rFonts w:ascii="Times New Roman" w:hAnsi="Times New Roman" w:eastAsia="Times New Roman" w:cs="Times New Roman"/>
        </w:rPr>
        <w:t>Nous poursuivrons notre étude des quatre royaumes de la prophétie biblique dans le prochain article.</w:t>
      </w:r>
    </w:p>
    <w:p>
      <w:pPr>
        <w:pStyle w:val="ArticleScripture"/>
        <w:jc w:val="left"/>
      </w:pPr>
      <w:r>
        <w:rPr>
          <w:rFonts w:ascii="Times New Roman" w:hAnsi="Times New Roman" w:eastAsia="Times New Roman" w:cs="Times New Roman"/>
        </w:rPr>
        <w:t>« Puis je vis, au sujet du “Continuel”, que le mot “sacrifice” a été ajouté par la sagesse humaine et n’appartient pas au texte ; et que le Seigneur en donna la juste compréhension à ceux qui proclamèrent le cri de l’heure du jugement. Lorsqu’il y avait unité, avant 1844, presque tous étaient unis dans la juste compréhension du “Continuel” ; mais depuis 1844, dans la confusion, d’autres vues ont été adoptées, et les ténèbres et la confusion s’en sont suivies. » Review and Herald, 1er novembre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quarante-cinq</dc:title>
  <dc:subject>Tirétele makatuzi ya kifaníkyo: Kufumbua fumbo la kila siku katika Kitabu cha Danieli</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