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Arobaini na Sita</w:t>
      </w:r>
    </w:p>
    <w:p>
      <w:pPr>
        <w:pStyle w:val="ArticleSubtitle"/>
        <w:jc w:val="left"/>
      </w:pPr>
      <w:r>
        <w:rPr>
          <w:rFonts w:ascii="Ebrima" w:hAnsi="Ebrima" w:eastAsia="Ebrima" w:cs="Ebrima"/>
        </w:rPr>
        <w:t>ዕረፍትን</w:t>
      </w:r>
      <w:r>
        <w:rPr>
          <w:rFonts w:ascii="Arial" w:hAnsi="Arial" w:eastAsia="Arial" w:cs="Arial"/>
        </w:rPr>
        <w:t xml:space="preserve"> </w:t>
      </w:r>
      <w:r>
        <w:rPr>
          <w:rFonts w:ascii="Ebrima" w:hAnsi="Ebrima" w:eastAsia="Ebrima" w:cs="Ebrima"/>
        </w:rPr>
        <w:t>ማደስንም</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Kogo ma On nauczyć poznania? i komu ma dać zrozumienie nauki? Tym, którzy są odstawieni od mleka i odjęci od piersi. Bo przykazanie musi być za przykazaniem, przykazanie za przykazaniem; wiersz za wierszem, wiersz za wierszem; tu trochę i tam trochę. Gdyż jąkającymi się wargami i obcym językiem będzie mówił do tego ludu. Do którego powiedział: To jest odpocznienie, którym możecie dać odpocząć spracowanemu; i to jest orzeźwienie; lecz nie chcieli słuchać. Przeto słowo Pana było dla nich: przykazanie za przykazaniem, przykazanie za przykazaniem; wiersz za wierszem, wiersz za wierszem; tu trochę i tam trochę; aby poszli i upadli wstecz, i zostali złamani, i usidleni, i pojmani. Dlatego słuchajcie słowa Pana, wy mężowie szyderczy, którzy władacie tym ludem, który jest w Jeruzalemie. Ponieważ mówiliście: Zawarliśmy przymierze ze śmiercią i z piekłem mamy układ; gdy przejdzie zalewająca chłosta, nie dosięgnie nas; bo uczyniliśmy kłamstwo naszym schronieniem i pod fałszem się ukryliśmy; przeto tak mówi Wszechmocny Pan: Oto kładę na Syjonie jako fundament kamień, kamień wypróbowany, kosztowny kamień węgielny, mocny fundament; kto wierzy, nie będzie się spieszył. I przyłożę sąd do sznura, a sprawiedliwość do pionu; i grad zmiecie schronienie kłamstwa, a wody zaleją kryjówkę. I wasze przymierze ze śmiercią zostanie unieważnione, a wasz układ z piekłem się nie ostoi; gdy przejdzie zalewająca chłosta, będziecie przez nią podeptani. Izajasza 28:9–18.</w:t>
      </w:r>
    </w:p>
    <w:p>
      <w:pPr>
        <w:pStyle w:val="ArticleBody"/>
        <w:jc w:val="left"/>
      </w:pP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ယေရုရှလင်ကို</w:t>
      </w:r>
      <w:r>
        <w:rPr>
          <w:rFonts w:ascii="Times New Roman" w:hAnsi="Times New Roman" w:eastAsia="Times New Roman" w:cs="Times New Roman"/>
        </w:rPr>
        <w:t xml:space="preserve"> </w:t>
      </w:r>
      <w:r>
        <w:rPr>
          <w:rFonts w:ascii="Myanmar Text" w:hAnsi="Myanmar Text" w:eastAsia="Myanmar Text" w:cs="Myanmar Text"/>
        </w:rPr>
        <w:t>အုပ်စိုးခဲ့သော</w:t>
      </w:r>
      <w:r>
        <w:rPr>
          <w:rFonts w:ascii="Times New Roman" w:hAnsi="Times New Roman" w:eastAsia="Times New Roman" w:cs="Times New Roman"/>
        </w:rPr>
        <w:t xml:space="preserve"> </w:t>
      </w:r>
      <w:r>
        <w:rPr>
          <w:rFonts w:ascii="Myanmar Text" w:hAnsi="Myanmar Text" w:eastAsia="Myanmar Text" w:cs="Myanmar Text"/>
        </w:rPr>
        <w:t>မထီမဲ့မြင်ပြုသူတို့သည်</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ရတနာများကို</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ဖုံးကွယ်ပယ်ဖျောက်၍</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နေရာတွင်</w:t>
      </w:r>
      <w:r>
        <w:rPr>
          <w:rFonts w:ascii="Times New Roman" w:hAnsi="Times New Roman" w:eastAsia="Times New Roman" w:cs="Times New Roman"/>
        </w:rPr>
        <w:t xml:space="preserve"> </w:t>
      </w:r>
      <w:r>
        <w:rPr>
          <w:rFonts w:ascii="Myanmar Text" w:hAnsi="Myanmar Text" w:eastAsia="Myanmar Text" w:cs="Myanmar Text"/>
        </w:rPr>
        <w:t>အတုအယောင်</w:t>
      </w:r>
      <w:r>
        <w:rPr>
          <w:rFonts w:ascii="Times New Roman" w:hAnsi="Times New Roman" w:eastAsia="Times New Roman" w:cs="Times New Roman"/>
        </w:rPr>
        <w:t xml:space="preserve"> </w:t>
      </w:r>
      <w:r>
        <w:rPr>
          <w:rFonts w:ascii="Myanmar Text" w:hAnsi="Myanmar Text" w:eastAsia="Myanmar Text" w:cs="Myanmar Text"/>
        </w:rPr>
        <w:t>ဒင်္ဂါးများနှင့်</w:t>
      </w:r>
      <w:r>
        <w:rPr>
          <w:rFonts w:ascii="Times New Roman" w:hAnsi="Times New Roman" w:eastAsia="Times New Roman" w:cs="Times New Roman"/>
        </w:rPr>
        <w:t xml:space="preserve"> </w:t>
      </w:r>
      <w:r>
        <w:rPr>
          <w:rFonts w:ascii="Myanmar Text" w:hAnsi="Myanmar Text" w:eastAsia="Myanmar Text" w:cs="Myanmar Text"/>
        </w:rPr>
        <w:t>ရတနာများကို</w:t>
      </w:r>
      <w:r>
        <w:rPr>
          <w:rFonts w:ascii="Times New Roman" w:hAnsi="Times New Roman" w:eastAsia="Times New Roman" w:cs="Times New Roman"/>
        </w:rPr>
        <w:t xml:space="preserve"> </w:t>
      </w:r>
      <w:r>
        <w:rPr>
          <w:rFonts w:ascii="Myanmar Text" w:hAnsi="Myanmar Text" w:eastAsia="Myanmar Text" w:cs="Myanmar Text"/>
        </w:rPr>
        <w:t>အစားထိုးသွင်းထားသော</w:t>
      </w:r>
      <w:r>
        <w:rPr>
          <w:rFonts w:ascii="Times New Roman" w:hAnsi="Times New Roman" w:eastAsia="Times New Roman" w:cs="Times New Roman"/>
        </w:rPr>
        <w:t xml:space="preserve"> </w:t>
      </w:r>
      <w:r>
        <w:rPr>
          <w:rFonts w:ascii="Myanmar Text" w:hAnsi="Myanmar Text" w:eastAsia="Myanmar Text" w:cs="Myanmar Text"/>
        </w:rPr>
        <w:t>လုပ်ငန်းကို</w:t>
      </w:r>
      <w:r>
        <w:rPr>
          <w:rFonts w:ascii="Times New Roman" w:hAnsi="Times New Roman" w:eastAsia="Times New Roman" w:cs="Times New Roman"/>
        </w:rPr>
        <w:t xml:space="preserve"> </w:t>
      </w:r>
      <w:r>
        <w:rPr>
          <w:rFonts w:ascii="Myanmar Text" w:hAnsi="Myanmar Text" w:eastAsia="Myanmar Text" w:cs="Myanmar Text"/>
        </w:rPr>
        <w:t>စတင်ခဲ့ကြသည်။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ပြုလုပ်ရာတွင်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သေခြင်းနှင့်</w:t>
      </w:r>
      <w:r>
        <w:rPr>
          <w:rFonts w:ascii="Times New Roman" w:hAnsi="Times New Roman" w:eastAsia="Times New Roman" w:cs="Times New Roman"/>
        </w:rPr>
        <w:t xml:space="preserve"> </w:t>
      </w:r>
      <w:r>
        <w:rPr>
          <w:rFonts w:ascii="Myanmar Text" w:hAnsi="Myanmar Text" w:eastAsia="Myanmar Text" w:cs="Myanmar Text"/>
        </w:rPr>
        <w:t>ပဋိညာဉ်ဖွဲ့</w:t>
      </w:r>
      <w:r>
        <w:rPr>
          <w:rFonts w:ascii="Times New Roman" w:hAnsi="Times New Roman" w:eastAsia="Times New Roman" w:cs="Times New Roman"/>
        </w:rPr>
        <w:t xml:space="preserve">” </w:t>
      </w:r>
      <w:r>
        <w:rPr>
          <w:rFonts w:ascii="Myanmar Text" w:hAnsi="Myanmar Text" w:eastAsia="Myanmar Text" w:cs="Myanmar Text"/>
        </w:rPr>
        <w:t>ခဲ့ကြပြီး၊</w:t>
      </w:r>
      <w:r>
        <w:rPr>
          <w:rFonts w:ascii="Times New Roman" w:hAnsi="Times New Roman" w:eastAsia="Times New Roman" w:cs="Times New Roman"/>
        </w:rPr>
        <w:t xml:space="preserve"> “</w:t>
      </w:r>
      <w:r>
        <w:rPr>
          <w:rFonts w:ascii="Myanmar Text" w:hAnsi="Myanmar Text" w:eastAsia="Myanmar Text" w:cs="Myanmar Text"/>
        </w:rPr>
        <w:t>မုသားကို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ခိုလှုံရာ</w:t>
      </w:r>
      <w:r>
        <w:rPr>
          <w:rFonts w:ascii="Times New Roman" w:hAnsi="Times New Roman" w:eastAsia="Times New Roman" w:cs="Times New Roman"/>
        </w:rPr>
        <w:t xml:space="preserve">” </w:t>
      </w:r>
      <w:r>
        <w:rPr>
          <w:rFonts w:ascii="Myanmar Text" w:hAnsi="Myanmar Text" w:eastAsia="Myanmar Text" w:cs="Myanmar Text"/>
        </w:rPr>
        <w:t>အဖြစ်</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ခဲ့ကြကာ</w:t>
      </w:r>
      <w:r>
        <w:rPr>
          <w:rFonts w:ascii="Times New Roman" w:hAnsi="Times New Roman" w:eastAsia="Times New Roman" w:cs="Times New Roman"/>
        </w:rPr>
        <w:t xml:space="preserve"> “</w:t>
      </w:r>
      <w:r>
        <w:rPr>
          <w:rFonts w:ascii="Myanmar Text" w:hAnsi="Myanmar Text" w:eastAsia="Myanmar Text" w:cs="Myanmar Text"/>
        </w:rPr>
        <w:t>မှားယွင်းခြင်းအောက်တွင်</w:t>
      </w:r>
      <w:r>
        <w:rPr>
          <w:rFonts w:ascii="Times New Roman" w:hAnsi="Times New Roman" w:eastAsia="Times New Roman" w:cs="Times New Roman"/>
        </w:rPr>
        <w:t>” “</w:t>
      </w:r>
      <w:r>
        <w:rPr>
          <w:rFonts w:ascii="Myanmar Text" w:hAnsi="Myanmar Text" w:eastAsia="Myanmar Text" w:cs="Myanmar Text"/>
        </w:rPr>
        <w:t>ပုန်းကွယ်</w:t>
      </w:r>
      <w:r>
        <w:rPr>
          <w:rFonts w:ascii="Times New Roman" w:hAnsi="Times New Roman" w:eastAsia="Times New Roman" w:cs="Times New Roman"/>
        </w:rPr>
        <w:t xml:space="preserve">” </w:t>
      </w:r>
      <w:r>
        <w:rPr>
          <w:rFonts w:ascii="Myanmar Text" w:hAnsi="Myanmar Text" w:eastAsia="Myanmar Text" w:cs="Myanmar Text"/>
        </w:rPr>
        <w:t>ခဲ့ကြသည်။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တမန်တော်ဝတ္ထုကျမ်းတွင်</w:t>
      </w:r>
      <w:r>
        <w:rPr>
          <w:rFonts w:ascii="Times New Roman" w:hAnsi="Times New Roman" w:eastAsia="Times New Roman" w:cs="Times New Roman"/>
        </w:rPr>
        <w:t xml:space="preserve"> </w:t>
      </w:r>
      <w:r>
        <w:rPr>
          <w:rFonts w:ascii="Myanmar Text" w:hAnsi="Myanmar Text" w:eastAsia="Myanmar Text" w:cs="Myanmar Text"/>
        </w:rPr>
        <w:t>ပေတရု</w:t>
      </w:r>
      <w:r>
        <w:rPr>
          <w:rFonts w:ascii="Times New Roman" w:hAnsi="Times New Roman" w:eastAsia="Times New Roman" w:cs="Times New Roman"/>
        </w:rPr>
        <w:t xml:space="preserve"> </w:t>
      </w:r>
      <w:r>
        <w:rPr>
          <w:rFonts w:ascii="Myanmar Text" w:hAnsi="Myanmar Text" w:eastAsia="Myanmar Text" w:cs="Myanmar Text"/>
        </w:rPr>
        <w:t>ပြောထားသော</w:t>
      </w:r>
      <w:r>
        <w:rPr>
          <w:rFonts w:ascii="Times New Roman" w:hAnsi="Times New Roman" w:eastAsia="Times New Roman" w:cs="Times New Roman"/>
        </w:rPr>
        <w:t xml:space="preserve"> “</w:t>
      </w:r>
      <w:r>
        <w:rPr>
          <w:rFonts w:ascii="Myanmar Text" w:hAnsi="Myanmar Text" w:eastAsia="Myanmar Text" w:cs="Myanmar Text"/>
        </w:rPr>
        <w:t>ငြိမ်သက်ခြင်း</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လန်းဆန်းခြင်း</w:t>
      </w:r>
      <w:r>
        <w:rPr>
          <w:rFonts w:ascii="Times New Roman" w:hAnsi="Times New Roman" w:eastAsia="Times New Roman" w:cs="Times New Roman"/>
        </w:rPr>
        <w:t xml:space="preserve">” </w:t>
      </w:r>
      <w:r>
        <w:rPr>
          <w:rFonts w:ascii="Myanmar Text" w:hAnsi="Myanmar Text" w:eastAsia="Myanmar Text" w:cs="Myanmar Text"/>
        </w:rPr>
        <w:t>ဆိုင်ရာ</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သတင်းစကားဖြင့်</w:t>
      </w:r>
      <w:r>
        <w:rPr>
          <w:rFonts w:ascii="Times New Roman" w:hAnsi="Times New Roman" w:eastAsia="Times New Roman" w:cs="Times New Roman"/>
        </w:rPr>
        <w:t xml:space="preserve"> </w:t>
      </w:r>
      <w:r>
        <w:rPr>
          <w:rFonts w:ascii="Myanmar Text" w:hAnsi="Myanmar Text" w:eastAsia="Myanmar Text" w:cs="Myanmar Text"/>
        </w:rPr>
        <w:t>စမ်းသပ်ခံရမည်ဖြစ်သည်။</w:t>
      </w:r>
    </w:p>
    <w:p>
      <w:pPr>
        <w:pStyle w:val="ArticleScripture"/>
        <w:jc w:val="left"/>
      </w:pPr>
      <w:r>
        <w:rPr>
          <w:rFonts w:ascii="Times New Roman" w:hAnsi="Times New Roman" w:eastAsia="Times New Roman" w:cs="Times New Roman"/>
        </w:rPr>
        <w:t>Mó de ámà viséké sara, nyé Nzapa a yeke tɛnɛ na mbɛ́ni ya bê na yâ ti â-sôzo ti mo, sô Kristo a yeke kpé, mo a sâra ayeke pɛpɛ. Mû gî, yi bê tí mo, na mû hûnda, sô â-bubû ti mo a yeke fûta; ndâla sô â-kôlï ti fango a ga na ndô ti Ngbanga; na mo a yeke tûnga Yesu Kristo, sô a tɛnɛ fadé na yâ ti mo. Lo sô sêse a yeke tambûla nzoni, ti gbi na ngoi ti hûnda ti â-nyâma kûê, sô Nzapa a tɛnɛ na mbɛ́ni ya bê na yâ ti â-sôzo ti mo, â-sôzo ti mo sô azia nzoni, tî fâde na ngoi ti fûnzi. Gî, Moïse a tɛnɛ pɛpɛ na â-baba: “Ngbanga Nzapa ti mo a yeke zînga na yâ ti â-zo kânga ti mo sôzo ndê, tongana mbi; mû yeke ma lo na â-nyâma kûê sô lo a yeke tɛnɛ na yâ ti mo. Na ayeke ga, sô kûê yâ ti zo sô a yeke ma sôzo ndê nyen, a yeke nyânga lo na yâ ti â-zo.” Ê, na â-sôzo kûê tî Samuel, na â-zo sô ayeke na pekô ti lo, kûê sô atɛnɛ, a tɛnɛ hinga tî â-lâ sô. Actes 3:18–24.</w:t>
      </w:r>
    </w:p>
    <w:p>
      <w:pPr>
        <w:pStyle w:val="ArticleBody"/>
        <w:jc w:val="left"/>
      </w:pPr>
      <w:r>
        <w:rPr>
          <w:rFonts w:ascii="Times New Roman" w:hAnsi="Times New Roman" w:eastAsia="Times New Roman" w:cs="Times New Roman"/>
        </w:rPr>
        <w:t>Pierre reconnaît que tous les prophètes ont parlé des temps de rafraîchissement et de la pluie de l’arrière-saison, et Ésaïe désigne la catégorie qui rejette les derniers temps de rafraîchissement survenant à la conclusion du jugement investigatif, lorsque le péché est en train d’être effacé et que la pluie de l’arrière-saison tombe. En ce temps-là, la catégorie qui a conclu une alliance avec la mort, à laquelle Ésaïe fait référence, selon Pierre, « sera détruite du milieu du peuple ». Sœur White traite souvent de ce moment même du repos et du rafraîchissement dont parle Ésaïe.</w:t>
      </w:r>
    </w:p>
    <w:p>
      <w:pPr>
        <w:pStyle w:val="ArticleScripture"/>
        <w:jc w:val="left"/>
      </w:pPr>
      <w:r>
        <w:rPr>
          <w:rFonts w:ascii="Times New Roman" w:hAnsi="Times New Roman" w:eastAsia="Times New Roman" w:cs="Times New Roman"/>
        </w:rPr>
        <w:t>“Le ange qui s’unit à la proclamation du message du troisième ange doit éclairer toute la terre de sa gloire. Une œuvre d’une portée mondiale et d’une puissance sans précédent est ici annoncée. Le mouvement adventiste de 1840–1844 fut une glorieuse manifestation de la puissance de Dieu; le message du premier ange fut porté dans chaque station missionnaire du monde, et, dans certains pays, il y eut le plus grand intérêt religieux qu’aucune contrée ait connu depuis la Réforme du seizième siècle; mais tout cela doit être surpassé par le puissant mouvement suscité sous le dernier avertissement du troisième ange.</w:t>
      </w:r>
    </w:p>
    <w:p>
      <w:pPr>
        <w:pStyle w:val="ArticleScripture"/>
        <w:jc w:val="left"/>
      </w:pPr>
      <w:r>
        <w:rPr>
          <w:rFonts w:ascii="Times New Roman" w:hAnsi="Times New Roman" w:eastAsia="Times New Roman" w:cs="Times New Roman"/>
        </w:rPr>
        <w:t>“Die Arbeit wird derjenigen des Pfingsttages ähnlich sein. Wie der „Frühregen“ gegeben wurde, in der Ausgießung des Heiligen Geistes bei der Eröffnung des Evangeliums, um das Aufsprossen des kostbaren Samens zu bewirken, so wird der „Spätregen“ an dessen Abschluss gegeben werden zur Reifung der Ernte. „Dann werden wir erkennen, wenn wir danach trachten, den HERRN zu erkennen: Sein Hervorgehen steht fest wie die Morgenröte; und Er wird zu uns kommen wie der Regen, wie der Spätregen und Frühregen auf die Erde.“ Hosea 6,3. „So seid fröhlich, ihr Kinder Zions, und freut euch in dem HERRN, eurem Gott; denn Er hat euch den Frühregen in rechtem Maß gegeben, und Er wird euch den Regen herabsenden, Frühregen und Spätregen.“ Joel 2,23. „In den letzten Tagen, spricht Gott, werde Ich ausgießen von Meinem Geist auf alles Fleisch.“ „Und es soll geschehen: Jeder, der den Namen des Herrn anrufen wird, wird gerettet werden.“ Apostelgeschichte 2,17.21.”</w:t>
      </w:r>
    </w:p>
    <w:p>
      <w:pPr>
        <w:pStyle w:val="ArticleScripture"/>
        <w:jc w:val="left"/>
      </w:pPr>
      <w:r>
        <w:rPr>
          <w:rFonts w:ascii="Times New Roman" w:hAnsi="Times New Roman" w:eastAsia="Times New Roman" w:cs="Times New Roman"/>
        </w:rPr>
        <w:t>“Evangeliyning buyuk ishi uning boshlanishini belgilagan Xudoning qudrati namoyon bo‘lishidan kamroq bir ko‘rinish bilan yakunlanmasligi kerak. Xushxabarning boshlanishida ilk yomg‘irning to‘kilishida amalga oshgan bashoratlar, uning yakunida so‘nggi yomg‘irda yana amalga oshishi kerak. Mana, havoriy Butrus nazarda tutgan ‘farog‘atlanish zamonlari’ shulardir; u shunday degan edi: ‘Shunday ekan, tavba qilinglar va gunohlaringiz o‘chirib tashlanishi uchun imonga kelinglar; toki Rabbimiz huzuridan farog‘atlanish zamonlari kelsin; va U Iso Masihni yuborsin.’ Havoriylar 3:19, 20.” Buyuk Kurash, 611.</w:t>
      </w:r>
    </w:p>
    <w:p>
      <w:pPr>
        <w:pStyle w:val="ArticleBody"/>
        <w:jc w:val="left"/>
      </w:pPr>
      <w:r>
        <w:rPr>
          <w:rFonts w:ascii="Times New Roman" w:hAnsi="Times New Roman" w:eastAsia="Times New Roman" w:cs="Times New Roman"/>
        </w:rPr>
        <w:t>Pruvha a sa bazira lor metodologjiën e shiut të mbramë, siç paraqitet me shprehjen “vijë mbi vijë.” Mesazhi i provës jepet nga rojtarë që janë të “një gjuhe tjetër,” të cilët paraqiten si ata që kanë “buzë belbëzuese.” Mesazhi i provës së shiut të mbramë do të jepej nga rojtarë që nuk ishin stërvitur në metodologjiën e Protestantizmit apostat dhe të Katolicizmit, të cilën Adventizmi e ka përqafuar gjatë gjithë historisë së tij të rebelimit.</w:t>
      </w:r>
    </w:p>
    <w:p>
      <w:pPr>
        <w:pStyle w:val="ArticleScripture"/>
        <w:jc w:val="left"/>
      </w:pPr>
      <w:r>
        <w:rPr>
          <w:rFonts w:ascii="Times New Roman" w:hAnsi="Times New Roman" w:eastAsia="Times New Roman" w:cs="Times New Roman"/>
        </w:rPr>
        <w:t>“Le temps n’est pas éloigné où l’épreuve viendra sur toute âme. La marque de la bête nous sera imposée. Ceux qui, pas à pas, ont cédé aux exigences du monde et se sont conformés aux usages du monde ne trouveront pas difficile de céder aux puissances en place, plutôt que de s’exposer aux railleries, aux insultes, à la menace de l’emprisonnement et à la mort. Le conflit se situe entre les commandements de Dieu et les commandements des hommes. En ce temps-là, l’or sera séparé des scories dans l’Église. La véritable piété se distinguera clairement de son apparence et de son clinquant. Plus d’une étoile que nous avons admirée pour son éclat s’éteindra alors dans les ténèbres. La bale, comme un nuage, sera emportée par le vent, même de lieux où nous ne voyons que des aires remplies d’un riche froment. Tous ceux qui revêtent les ornements du sanctuaire, mais ne sont pas revêtus de la justice de Christ, paraîtront dans la honte de leur propre nudité.</w:t>
      </w:r>
    </w:p>
    <w:p>
      <w:pPr>
        <w:pStyle w:val="ArticleScripture"/>
        <w:jc w:val="left"/>
      </w:pPr>
      <w:r>
        <w:rPr>
          <w:rFonts w:ascii="Times New Roman" w:hAnsi="Times New Roman" w:eastAsia="Times New Roman" w:cs="Times New Roman"/>
        </w:rPr>
        <w:t>“Kapag ang mga punong walang bunga ay pinuputol bilang mga pabigat sa lupa, kapag ang karamihan ng mga huwad na kapatid ay inihihiwalay mula sa mga tunay, kung magkagayo’y mahahayag sa paningin ang mga nakatago, at may mga hosana na lulugar sa ilalim ng watawat ni Cristo. Yaong mga naging mahiyain at walang pagtitiwala sa sarili ay hayagang magpapahayag ng kanilang paninindigan para kay Cristo at sa Kaniyang katotohanan. Ang pinakamahina at pinakaatubili sa iglesia ay magiging gaya ni David—handang kumilos at mangahas. Habang lalong lumalalim ang gabi para sa bayan ng Diyos, lalong magniningning ang mga bituin. Lubhang pahihirapan ni Satanas ang mga tapat; ngunit, sa pangalan ni Jesus, sila’y lalabas nang higit pa sa mga mananagumpay. Kung magkagayo’y mahahayag ang iglesia ni Cristo na ‘maganda na parang buwan, maningning na parang araw, at kakila-kilabot na parang hukbong may mga watawat.’”</w:t>
      </w:r>
    </w:p>
    <w:p>
      <w:pPr>
        <w:pStyle w:val="ArticleScripture"/>
        <w:jc w:val="left"/>
      </w:pPr>
      <w:r>
        <w:rPr>
          <w:rFonts w:ascii="Times New Roman" w:hAnsi="Times New Roman" w:eastAsia="Times New Roman" w:cs="Times New Roman"/>
        </w:rPr>
        <w:t>“</w:t>
      </w:r>
      <w:r>
        <w:rPr>
          <w:rFonts w:ascii="Nirmala UI" w:hAnsi="Nirmala UI" w:eastAsia="Nirmala UI" w:cs="Nirmala UI"/>
        </w:rPr>
        <w:t>मिशनरी</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बीज</w:t>
      </w:r>
      <w:r>
        <w:rPr>
          <w:rFonts w:ascii="Times New Roman" w:hAnsi="Times New Roman" w:eastAsia="Times New Roman" w:cs="Times New Roman"/>
        </w:rPr>
        <w:t xml:space="preserve"> </w:t>
      </w:r>
      <w:r>
        <w:rPr>
          <w:rFonts w:ascii="Nirmala UI" w:hAnsi="Nirmala UI" w:eastAsia="Nirmala UI" w:cs="Nirmala UI"/>
        </w:rPr>
        <w:t>बोए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अंकुरित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पुष्पित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लाएँगे।</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क्लेश</w:t>
      </w:r>
      <w:r>
        <w:rPr>
          <w:rFonts w:ascii="Times New Roman" w:hAnsi="Times New Roman" w:eastAsia="Times New Roman" w:cs="Times New Roman"/>
        </w:rPr>
        <w:t xml:space="preserve"> </w:t>
      </w:r>
      <w:r>
        <w:rPr>
          <w:rFonts w:ascii="Nirmala UI" w:hAnsi="Nirmala UI" w:eastAsia="Nirmala UI" w:cs="Nirmala UI"/>
        </w:rPr>
        <w:t>सहेंगे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क्लेश</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हियाव</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उमड़ती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फटकेगा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सहायक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प्रतिष्ठित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विचलित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इल्याह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एलीशा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अभिषेक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समर्पण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चादर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बुलाहट</w:t>
      </w:r>
      <w:r>
        <w:rPr>
          <w:rFonts w:ascii="Times New Roman" w:hAnsi="Times New Roman" w:eastAsia="Times New Roman" w:cs="Times New Roman"/>
        </w:rPr>
        <w:t xml:space="preserve"> </w:t>
      </w:r>
      <w:r>
        <w:rPr>
          <w:rFonts w:ascii="Nirmala UI" w:hAnsi="Nirmala UI" w:eastAsia="Nirmala UI" w:cs="Nirmala UI"/>
        </w:rPr>
        <w:t>विद्वान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प्रतिष्ठित</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भरोसा</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विजयपूर्वक</w:t>
      </w:r>
      <w:r>
        <w:rPr>
          <w:rFonts w:ascii="Times New Roman" w:hAnsi="Times New Roman" w:eastAsia="Times New Roman" w:cs="Times New Roman"/>
        </w:rPr>
        <w:t xml:space="preserve"> </w:t>
      </w:r>
      <w:r>
        <w:rPr>
          <w:rFonts w:ascii="Nirmala UI" w:hAnsi="Nirmala UI" w:eastAsia="Nirmala UI" w:cs="Nirmala UI"/>
        </w:rPr>
        <w:t>फहराते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झुक</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p>
    <w:p>
      <w:pPr>
        <w:pStyle w:val="ArticleScripture"/>
        <w:jc w:val="left"/>
      </w:pPr>
      <w:r>
        <w:rPr>
          <w:rFonts w:ascii="Times New Roman" w:hAnsi="Times New Roman" w:eastAsia="Times New Roman" w:cs="Times New Roman"/>
        </w:rPr>
        <w:t>“Many have exalted science and lost sight of the God of science. This was not the case with the church in the purest times.”</w:t>
      </w:r>
    </w:p>
    <w:p>
      <w:pPr>
        <w:pStyle w:val="ArticleScripture"/>
        <w:jc w:val="left"/>
      </w:pPr>
      <w:r>
        <w:rPr>
          <w:rFonts w:ascii="Times New Roman" w:hAnsi="Times New Roman" w:eastAsia="Times New Roman" w:cs="Times New Roman"/>
        </w:rPr>
        <w:t>« Dieu accomplira, de notre temps, une œuvre que bien peu anticipent. Il suscitera et élèvera parmi nous des hommes instruits plutôt par l’onction de son Esprit que par la formation extérieure des institutions scientifiques. Ces établissements ne doivent être ni méprisés ni condamnés ; ils sont ordonnés de Dieu, mais ils ne peuvent fournir que des qualifications extérieures. Dieu manifestera qu’il ne dépend pas de mortels instruits et imbus de leur importance. » Testimonies, volume 5, 81, 82.</w:t>
      </w:r>
    </w:p>
    <w:p>
      <w:pPr>
        <w:pStyle w:val="ArticleBody"/>
        <w:jc w:val="left"/>
      </w:pPr>
      <w:r>
        <w:rPr>
          <w:rFonts w:ascii="Times New Roman" w:hAnsi="Times New Roman" w:eastAsia="Times New Roman" w:cs="Times New Roman"/>
        </w:rPr>
        <w:t>La « verge débordante » est un symbole de la loi du dimanche, qui commence à l’heure du grand tremblement de terre d’Apocalypse 11. Elle représente le temps d’épreuve progressif de la loi du dimanche.</w:t>
      </w:r>
    </w:p>
    <w:p>
      <w:pPr>
        <w:pStyle w:val="ArticleScripture"/>
        <w:jc w:val="left"/>
      </w:pPr>
      <w:r>
        <w:rPr>
          <w:rFonts w:ascii="Times New Roman" w:hAnsi="Times New Roman" w:eastAsia="Times New Roman" w:cs="Times New Roman"/>
        </w:rPr>
        <w:t>«Խորթ ազգերը պիտի հետևեն Միացյալ Նահանգների օրինակին։ Թեպետև նա առաջնորդում է, այնուամենայնիվ նույն ճգնաժամը պիտի գա մեր ժողովրդի վրա աշխարհի բոլոր մասերում»։ Վկայություններ, հատոր 6, էջ 395։</w:t>
      </w:r>
    </w:p>
    <w:p>
      <w:pPr>
        <w:pStyle w:val="ArticleBody"/>
        <w:jc w:val="left"/>
      </w:pPr>
      <w:r>
        <w:rPr>
          <w:rFonts w:ascii="Times New Roman" w:hAnsi="Times New Roman" w:eastAsia="Times New Roman" w:cs="Times New Roman"/>
        </w:rPr>
        <w:t>Zuia igitangira y’itegeko ryo ku Cyumweru, ibiceri by’impimbano byo mu nzozi za Miller bihanagurirwa hanze binyujijwe mu idirishya, nk’uko Abadiventisiti b’i Lawodikiya barukwa mu kanwa k’Umwami. Hanyuma itorero rirazamurwa ribe ibendera, “ryiza nk’ukwezi, riboneye nk’izuba, kandi riteye ubwoba nk’ingabo zifite amabendera.” Ubutumwa bwa Yesaya busohoka buvuye ku “rundi rurimi” no ku “minwa yandandabiranya,” bugereranya abazamuwe kandi bagashyirwa hejuru, kandi bigishwa n’isigwa rya Mwuka We aho kwigishwa n’amahugurwa yo hanze yo mu bigo bya siyansi. Abasinzi ba Efurayimu batsindwa ikigeragezo cya “umurongo ku murongo,” kuko ubwenge bw’abanyabwenge babo bwashize. Kuri bo ubuhanuzi bwahindutse nk’igitabo gifatanije ikimenyetso.</w:t>
      </w:r>
    </w:p>
    <w:p>
      <w:pPr>
        <w:pStyle w:val="ArticleBody"/>
        <w:jc w:val="left"/>
      </w:pPr>
      <w:r>
        <w:rPr>
          <w:rFonts w:ascii="Times New Roman" w:hAnsi="Times New Roman" w:eastAsia="Times New Roman" w:cs="Times New Roman"/>
        </w:rPr>
        <w:t>L’histwar ki, dapre Pyer, tou bann profet depi lepok Samuel finn koze, fourni plizier ilistrasion lor destriksion bann Adventis ki rezet mesaz lapli tar, me se pa enn lamor fizik ki zot soufer kan lalwa lor Dimans vini, me enn lamor spiritiel ki akonpagne par rekonesans realite ki zot perdi pou leternite, kouma sa reprezantasyon bann vierz fol la, ki dan liv Amos reveye pou realize ki zot finn perdi.</w:t>
      </w:r>
    </w:p>
    <w:p>
      <w:pPr>
        <w:pStyle w:val="ArticleScripture"/>
        <w:jc w:val="left"/>
      </w:pPr>
      <w:r>
        <w:rPr>
          <w:rFonts w:ascii="Times New Roman" w:hAnsi="Times New Roman" w:eastAsia="Times New Roman" w:cs="Times New Roman"/>
        </w:rPr>
        <w:t>Voyez, les jours viennent, dit le Seigneur, l’Éternel, où j’enverrai une famine dans le pays, non une famine de pain ni une soif d’eau, mais celle d’entendre les paroles de l’Éternel. Ils erreront d’une mer à l’autre, et du nord jusqu’à l’est; ils iront çà et là pour chercher la parole de l’Éternel, et ils ne la trouveront pas. En ce jour-là, les belles vierges et les jeunes hommes défailliront de soif. Ceux qui jurent par le péché de Samarie, qui disent: Ton dieu, ô Dan, est vivant! et: La voie de Beer-Shéba est vivante! ceux-là tomberont, et ne se relèveront jamais. Amos 8:11–14.</w:t>
      </w:r>
    </w:p>
    <w:p>
      <w:pPr>
        <w:pStyle w:val="ArticleBody"/>
        <w:jc w:val="left"/>
      </w:pPr>
      <w:r>
        <w:rPr>
          <w:rFonts w:ascii="Times New Roman" w:hAnsi="Times New Roman" w:eastAsia="Times New Roman" w:cs="Times New Roman"/>
        </w:rPr>
        <w:t>Ապա, «հորդառատ պատուհաս» խորհրդանիշով հիշատակելով կիրակնօրյա օրենքի ժամը, Եսայիան անդրադառնում է մահվան հետ ուխտ կնքածների շարունակվող վախին ու տագնապին։</w:t>
      </w:r>
    </w:p>
    <w:p>
      <w:pPr>
        <w:pStyle w:val="ArticleScripture"/>
        <w:jc w:val="left"/>
      </w:pPr>
      <w:r>
        <w:rPr>
          <w:rFonts w:ascii="Times New Roman" w:hAnsi="Times New Roman" w:eastAsia="Times New Roman" w:cs="Times New Roman"/>
        </w:rPr>
        <w:t>Li ber xwe peya mirinê ya we dê were betal kirin, û peymana we bi dojehê re dê nebisekine; gava ku qamçiya leheng bi derbas bibe, hingê hûnê ji wê bin pêkirin. Ji dema ku ew derkeve, wê hûn bigire; çimkî sibeh bi sibeh wê derbas bibe, bi roj û bi şev; û tenê fêhmkirina peyamê wê bibe hêrs û êş. Isaiah 28:18, 19.</w:t>
      </w:r>
    </w:p>
    <w:p>
      <w:pPr>
        <w:pStyle w:val="ArticleBody"/>
        <w:jc w:val="left"/>
      </w:pP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जानकारी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उपलब्ध</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प्रगतिशील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रद्द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पहचानेंगे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सिय्योन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जांचा</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अनमोल</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अटल</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मिथ्याएं</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बहा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Wamilleri, kwa kupatana na ufahamu wao wa Danieli sura ya pili, walizitambua falme zilizo katika Danieli nane kuwa ni falme zilezile zinazowakilishwa katika sura ya saba. Tofauti kati ya sura hizi mbili ni kwamba sura ya saba huwakilisha vipengele vya kisiasa vya falme hizo, na sura ya nane huwakilisha vipengele vya kidini vya falme hizo. Kwa sababu hii, Danieli sura ya nane huwasilishwa kwa istilahi za patakatifu.</w:t>
      </w:r>
    </w:p>
    <w:p>
      <w:pPr>
        <w:pStyle w:val="ArticleBody"/>
        <w:jc w:val="left"/>
      </w:pPr>
      <w:r>
        <w:rPr>
          <w:rFonts w:ascii="Times New Roman" w:hAnsi="Times New Roman" w:eastAsia="Times New Roman" w:cs="Times New Roman"/>
        </w:rPr>
        <w:t>Daniel chapitre huit emploie le symbolisme du sanctuaire pour représenter les royaumes, mais chaque symbole du sanctuaire présenté dans ce chapitre est corrompu, établissant ainsi une distinction entre la vraie religion du Christ et la fausse religion de Satan. Un bélier est un animal qui était utilisé comme offrande dans le sanctuaire de Dieu, mais toute offrande du sanctuaire devait être parfaite. Le bélier du chapitre huit était disqualifié pour être utilisé comme offrande dans le sanctuaire de Dieu, car les cornes n’étaient pas identiques.</w:t>
      </w:r>
    </w:p>
    <w:p>
      <w:pPr>
        <w:pStyle w:val="ArticleScripture"/>
        <w:jc w:val="left"/>
      </w:pPr>
      <w:r>
        <w:rPr>
          <w:rFonts w:ascii="Times New Roman" w:hAnsi="Times New Roman" w:eastAsia="Times New Roman" w:cs="Times New Roman"/>
        </w:rPr>
        <w:t>Puis je levai les yeux et je regardai, et voici, devant le fleuve se tenait un bélier qui avait deux cornes; et les deux cornes étaient hautes, mais l’une était plus haute que l’autre, et la plus haute s’éleva la dernière. Daniel 8:3.</w:t>
      </w:r>
    </w:p>
    <w:p>
      <w:pPr>
        <w:pStyle w:val="ArticleBody"/>
        <w:jc w:val="left"/>
      </w:pPr>
      <w:r>
        <w:rPr>
          <w:rFonts w:ascii="Times New Roman" w:hAnsi="Times New Roman" w:eastAsia="Times New Roman" w:cs="Times New Roman"/>
        </w:rPr>
        <w:t>Une brebis mâle portant deux cornes de longueurs différentes ne serait pas admise comme offrande dans le sanctuaire de Dieu; mais ce symbolisme ne renvoie pas à la vraie religion de Dieu, il renvoie à la religion contrefaite de Satan, à savoir le paganisme. Le royaume suivant était représenté par un bouc, qui est lui aussi une offrande du sanctuaire; mais, une fois encore, le bouc était corrompu, car il avait une corne entre les yeux, dépourvu de la symétrie de la perfection exigée d’une offrande du sanctuaire.</w:t>
      </w:r>
    </w:p>
    <w:p>
      <w:pPr>
        <w:pStyle w:val="ArticleScripture"/>
        <w:jc w:val="left"/>
      </w:pPr>
      <w:r>
        <w:rPr>
          <w:rFonts w:ascii="MS Gothic" w:hAnsi="MS Gothic" w:eastAsia="MS Gothic" w:cs="MS Gothic"/>
        </w:rPr>
        <w:t>と</w:t>
      </w:r>
      <w:r>
        <w:rPr>
          <w:rFonts w:ascii="Microsoft YaHei" w:hAnsi="Microsoft YaHei" w:eastAsia="Microsoft YaHei" w:cs="Microsoft YaHei"/>
        </w:rPr>
        <w:t>、私</w:t>
      </w:r>
      <w:r>
        <w:rPr>
          <w:rFonts w:ascii="MS Gothic" w:hAnsi="MS Gothic" w:eastAsia="MS Gothic" w:cs="MS Gothic"/>
        </w:rPr>
        <w:t>が</w:t>
      </w:r>
      <w:r>
        <w:rPr>
          <w:rFonts w:ascii="Microsoft YaHei" w:hAnsi="Microsoft YaHei" w:eastAsia="Microsoft YaHei" w:cs="Microsoft YaHei"/>
        </w:rPr>
        <w:t>考</w:t>
      </w:r>
      <w:r>
        <w:rPr>
          <w:rFonts w:ascii="MS Gothic" w:hAnsi="MS Gothic" w:eastAsia="MS Gothic" w:cs="MS Gothic"/>
        </w:rPr>
        <w:t>えていると</w:t>
      </w:r>
      <w:r>
        <w:rPr>
          <w:rFonts w:ascii="Microsoft YaHei" w:hAnsi="Microsoft YaHei" w:eastAsia="Microsoft YaHei" w:cs="Microsoft YaHei"/>
        </w:rPr>
        <w:t>、見</w:t>
      </w:r>
      <w:r>
        <w:rPr>
          <w:rFonts w:ascii="MS Gothic" w:hAnsi="MS Gothic" w:eastAsia="MS Gothic" w:cs="MS Gothic"/>
        </w:rPr>
        <w:t>よ</w:t>
      </w:r>
      <w:r>
        <w:rPr>
          <w:rFonts w:ascii="Microsoft YaHei" w:hAnsi="Microsoft YaHei" w:eastAsia="Microsoft YaHei" w:cs="Microsoft YaHei"/>
        </w:rPr>
        <w:t>、一頭</w:t>
      </w:r>
      <w:r>
        <w:rPr>
          <w:rFonts w:ascii="MS Gothic" w:hAnsi="MS Gothic" w:eastAsia="MS Gothic" w:cs="MS Gothic"/>
        </w:rPr>
        <w:t>の</w:t>
      </w:r>
      <w:r>
        <w:rPr>
          <w:rFonts w:ascii="Microsoft YaHei" w:hAnsi="Microsoft YaHei" w:eastAsia="Microsoft YaHei" w:cs="Microsoft YaHei"/>
        </w:rPr>
        <w:t>雄</w:t>
      </w:r>
      <w:r>
        <w:rPr>
          <w:rFonts w:ascii="MS Gothic" w:hAnsi="MS Gothic" w:eastAsia="MS Gothic" w:cs="MS Gothic"/>
        </w:rPr>
        <w:t>やぎが</w:t>
      </w:r>
      <w:r>
        <w:rPr>
          <w:rFonts w:ascii="Microsoft YaHei" w:hAnsi="Microsoft YaHei" w:eastAsia="Microsoft YaHei" w:cs="Microsoft YaHei"/>
        </w:rPr>
        <w:t>全地</w:t>
      </w:r>
      <w:r>
        <w:rPr>
          <w:rFonts w:ascii="MS Gothic" w:hAnsi="MS Gothic" w:eastAsia="MS Gothic" w:cs="MS Gothic"/>
        </w:rPr>
        <w:t>のおもてを</w:t>
      </w:r>
      <w:r>
        <w:rPr>
          <w:rFonts w:ascii="Microsoft YaHei" w:hAnsi="Microsoft YaHei" w:eastAsia="Microsoft YaHei" w:cs="Microsoft YaHei"/>
        </w:rPr>
        <w:t>西</w:t>
      </w:r>
      <w:r>
        <w:rPr>
          <w:rFonts w:ascii="MS Gothic" w:hAnsi="MS Gothic" w:eastAsia="MS Gothic" w:cs="MS Gothic"/>
        </w:rPr>
        <w:t>からやって</w:t>
      </w:r>
      <w:r>
        <w:rPr>
          <w:rFonts w:ascii="Microsoft YaHei" w:hAnsi="Microsoft YaHei" w:eastAsia="Microsoft YaHei" w:cs="Microsoft YaHei"/>
        </w:rPr>
        <w:t>来</w:t>
      </w:r>
      <w:r>
        <w:rPr>
          <w:rFonts w:ascii="MS Gothic" w:hAnsi="MS Gothic" w:eastAsia="MS Gothic" w:cs="MS Gothic"/>
        </w:rPr>
        <w:t>たが</w:t>
      </w:r>
      <w:r>
        <w:rPr>
          <w:rFonts w:ascii="Microsoft YaHei" w:hAnsi="Microsoft YaHei" w:eastAsia="Microsoft YaHei" w:cs="Microsoft YaHei"/>
        </w:rPr>
        <w:t>、地</w:t>
      </w:r>
      <w:r>
        <w:rPr>
          <w:rFonts w:ascii="MS Gothic" w:hAnsi="MS Gothic" w:eastAsia="MS Gothic" w:cs="MS Gothic"/>
        </w:rPr>
        <w:t>に</w:t>
      </w:r>
      <w:r>
        <w:rPr>
          <w:rFonts w:ascii="Microsoft YaHei" w:hAnsi="Microsoft YaHei" w:eastAsia="Microsoft YaHei" w:cs="Microsoft YaHei"/>
        </w:rPr>
        <w:t>触</w:t>
      </w:r>
      <w:r>
        <w:rPr>
          <w:rFonts w:ascii="MS Gothic" w:hAnsi="MS Gothic" w:eastAsia="MS Gothic" w:cs="MS Gothic"/>
        </w:rPr>
        <w:t>れることはなかった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雄</w:t>
      </w:r>
      <w:r>
        <w:rPr>
          <w:rFonts w:ascii="MS Gothic" w:hAnsi="MS Gothic" w:eastAsia="MS Gothic" w:cs="MS Gothic"/>
        </w:rPr>
        <w:t>やぎには</w:t>
      </w:r>
      <w:r>
        <w:rPr>
          <w:rFonts w:ascii="Microsoft YaHei" w:hAnsi="Microsoft YaHei" w:eastAsia="Microsoft YaHei" w:cs="Microsoft YaHei"/>
        </w:rPr>
        <w:t>、目</w:t>
      </w:r>
      <w:r>
        <w:rPr>
          <w:rFonts w:ascii="MS Gothic" w:hAnsi="MS Gothic" w:eastAsia="MS Gothic" w:cs="MS Gothic"/>
        </w:rPr>
        <w:t>と</w:t>
      </w:r>
      <w:r>
        <w:rPr>
          <w:rFonts w:ascii="Microsoft YaHei" w:hAnsi="Microsoft YaHei" w:eastAsia="Microsoft YaHei" w:cs="Microsoft YaHei"/>
        </w:rPr>
        <w:t>目</w:t>
      </w:r>
      <w:r>
        <w:rPr>
          <w:rFonts w:ascii="MS Gothic" w:hAnsi="MS Gothic" w:eastAsia="MS Gothic" w:cs="MS Gothic"/>
        </w:rPr>
        <w:t>の</w:t>
      </w:r>
      <w:r>
        <w:rPr>
          <w:rFonts w:ascii="Microsoft YaHei" w:hAnsi="Microsoft YaHei" w:eastAsia="Microsoft YaHei" w:cs="Microsoft YaHei"/>
        </w:rPr>
        <w:t>間</w:t>
      </w:r>
      <w:r>
        <w:rPr>
          <w:rFonts w:ascii="MS Gothic" w:hAnsi="MS Gothic" w:eastAsia="MS Gothic" w:cs="MS Gothic"/>
        </w:rPr>
        <w:t>に</w:t>
      </w:r>
      <w:r>
        <w:rPr>
          <w:rFonts w:ascii="Microsoft YaHei" w:hAnsi="Microsoft YaHei" w:eastAsia="Microsoft YaHei" w:cs="Microsoft YaHei"/>
        </w:rPr>
        <w:t>著</w:t>
      </w:r>
      <w:r>
        <w:rPr>
          <w:rFonts w:ascii="MS Gothic" w:hAnsi="MS Gothic" w:eastAsia="MS Gothic" w:cs="MS Gothic"/>
        </w:rPr>
        <w:t>しい</w:t>
      </w:r>
      <w:r>
        <w:rPr>
          <w:rFonts w:ascii="Microsoft YaHei" w:hAnsi="Microsoft YaHei" w:eastAsia="Microsoft YaHei" w:cs="Microsoft YaHei"/>
        </w:rPr>
        <w:t>一本</w:t>
      </w:r>
      <w:r>
        <w:rPr>
          <w:rFonts w:ascii="MS Gothic" w:hAnsi="MS Gothic" w:eastAsia="MS Gothic" w:cs="MS Gothic"/>
        </w:rPr>
        <w:t>の</w:t>
      </w:r>
      <w:r>
        <w:rPr>
          <w:rFonts w:ascii="Microsoft YaHei" w:hAnsi="Microsoft YaHei" w:eastAsia="Microsoft YaHei" w:cs="Microsoft YaHei"/>
        </w:rPr>
        <w:t>角</w:t>
      </w:r>
      <w:r>
        <w:rPr>
          <w:rFonts w:ascii="MS Gothic" w:hAnsi="MS Gothic" w:eastAsia="MS Gothic" w:cs="MS Gothic"/>
        </w:rPr>
        <w:t>があった</w:t>
      </w:r>
      <w:r>
        <w:rPr>
          <w:rFonts w:ascii="Times New Roman" w:hAnsi="Times New Roman" w:eastAsia="Times New Roman" w:cs="Times New Roman"/>
        </w:rPr>
        <w:t>.</w:t>
      </w:r>
      <w:r>
        <w:rPr>
          <w:rFonts w:ascii="MS Gothic" w:hAnsi="MS Gothic" w:eastAsia="MS Gothic" w:cs="MS Gothic"/>
        </w:rPr>
        <w:t>ダニエル</w:t>
      </w:r>
      <w:r>
        <w:rPr>
          <w:rFonts w:ascii="Times New Roman" w:hAnsi="Times New Roman" w:eastAsia="Times New Roman" w:cs="Times New Roman"/>
        </w:rPr>
        <w:t xml:space="preserve"> 8:5.</w:t>
      </w:r>
    </w:p>
    <w:p>
      <w:pPr>
        <w:pStyle w:val="ArticleBody"/>
        <w:jc w:val="left"/>
      </w:pPr>
      <w:r>
        <w:rPr>
          <w:rFonts w:ascii="Times New Roman" w:hAnsi="Times New Roman" w:eastAsia="Times New Roman" w:cs="Times New Roman"/>
        </w:rPr>
        <w:t>En définitive, la corne du bouc fut brisée et produisit quatre cornes, ce qui la disqualifie également comme offrande dans le sanctuaire de Dieu.</w:t>
      </w:r>
    </w:p>
    <w:p>
      <w:pPr>
        <w:pStyle w:val="ArticleScripture"/>
        <w:jc w:val="left"/>
      </w:pP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එළු</w:t>
      </w:r>
      <w:r>
        <w:rPr>
          <w:rFonts w:ascii="Times New Roman" w:hAnsi="Times New Roman" w:eastAsia="Times New Roman" w:cs="Times New Roman"/>
        </w:rPr>
        <w:t xml:space="preserve"> </w:t>
      </w:r>
      <w:r>
        <w:rPr>
          <w:rFonts w:ascii="Nirmala UI" w:hAnsi="Nirmala UI" w:eastAsia="Nirmala UI" w:cs="Nirmala UI"/>
        </w:rPr>
        <w:t>පුරුෂයා</w:t>
      </w:r>
      <w:r>
        <w:rPr>
          <w:rFonts w:ascii="Times New Roman" w:hAnsi="Times New Roman" w:eastAsia="Times New Roman" w:cs="Times New Roman"/>
        </w:rPr>
        <w:t xml:space="preserve"> </w:t>
      </w:r>
      <w:r>
        <w:rPr>
          <w:rFonts w:ascii="Nirmala UI" w:hAnsi="Nirmala UI" w:eastAsia="Nirmala UI" w:cs="Nirmala UI"/>
        </w:rPr>
        <w:t>අතිශය</w:t>
      </w:r>
      <w:r>
        <w:rPr>
          <w:rFonts w:ascii="Times New Roman" w:hAnsi="Times New Roman" w:eastAsia="Times New Roman" w:cs="Times New Roman"/>
        </w:rPr>
        <w:t xml:space="preserve"> </w:t>
      </w:r>
      <w:r>
        <w:rPr>
          <w:rFonts w:ascii="Nirmala UI" w:hAnsi="Nirmala UI" w:eastAsia="Nirmala UI" w:cs="Nirmala UI"/>
        </w:rPr>
        <w:t>මහත්විය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බලවත්ව</w:t>
      </w:r>
      <w:r>
        <w:rPr>
          <w:rFonts w:ascii="Times New Roman" w:hAnsi="Times New Roman" w:eastAsia="Times New Roman" w:cs="Times New Roman"/>
        </w:rPr>
        <w:t xml:space="preserve"> </w:t>
      </w:r>
      <w:r>
        <w:rPr>
          <w:rFonts w:ascii="Nirmala UI" w:hAnsi="Nirmala UI" w:eastAsia="Nirmala UI" w:cs="Nirmala UI"/>
        </w:rPr>
        <w:t>සිටියදී</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කොඹය</w:t>
      </w:r>
      <w:r>
        <w:rPr>
          <w:rFonts w:ascii="Times New Roman" w:hAnsi="Times New Roman" w:eastAsia="Times New Roman" w:cs="Times New Roman"/>
        </w:rPr>
        <w:t xml:space="preserve"> </w:t>
      </w:r>
      <w:r>
        <w:rPr>
          <w:rFonts w:ascii="Nirmala UI" w:hAnsi="Nirmala UI" w:eastAsia="Nirmala UI" w:cs="Nirmala UI"/>
        </w:rPr>
        <w:t>බිඳිණ</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ස්ථානයට</w:t>
      </w:r>
      <w:r>
        <w:rPr>
          <w:rFonts w:ascii="Times New Roman" w:hAnsi="Times New Roman" w:eastAsia="Times New Roman" w:cs="Times New Roman"/>
        </w:rPr>
        <w:t xml:space="preserve"> </w:t>
      </w:r>
      <w:r>
        <w:rPr>
          <w:rFonts w:ascii="Nirmala UI" w:hAnsi="Nirmala UI" w:eastAsia="Nirmala UI" w:cs="Nirmala UI"/>
        </w:rPr>
        <w:t>අහසේ</w:t>
      </w:r>
      <w:r>
        <w:rPr>
          <w:rFonts w:ascii="Times New Roman" w:hAnsi="Times New Roman" w:eastAsia="Times New Roman" w:cs="Times New Roman"/>
        </w:rPr>
        <w:t xml:space="preserve"> </w:t>
      </w:r>
      <w:r>
        <w:rPr>
          <w:rFonts w:ascii="Nirmala UI" w:hAnsi="Nirmala UI" w:eastAsia="Nirmala UI" w:cs="Nirmala UI"/>
        </w:rPr>
        <w:t>සතර</w:t>
      </w:r>
      <w:r>
        <w:rPr>
          <w:rFonts w:ascii="Times New Roman" w:hAnsi="Times New Roman" w:eastAsia="Times New Roman" w:cs="Times New Roman"/>
        </w:rPr>
        <w:t xml:space="preserve"> </w:t>
      </w:r>
      <w:r>
        <w:rPr>
          <w:rFonts w:ascii="Nirmala UI" w:hAnsi="Nirmala UI" w:eastAsia="Nirmala UI" w:cs="Nirmala UI"/>
        </w:rPr>
        <w:t>සුළං</w:t>
      </w:r>
      <w:r>
        <w:rPr>
          <w:rFonts w:ascii="Times New Roman" w:hAnsi="Times New Roman" w:eastAsia="Times New Roman" w:cs="Times New Roman"/>
        </w:rPr>
        <w:t xml:space="preserve"> </w:t>
      </w:r>
      <w:r>
        <w:rPr>
          <w:rFonts w:ascii="Nirmala UI" w:hAnsi="Nirmala UI" w:eastAsia="Nirmala UI" w:cs="Nirmala UI"/>
        </w:rPr>
        <w:t>දෙසට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රසිද්ධ</w:t>
      </w:r>
      <w:r>
        <w:rPr>
          <w:rFonts w:ascii="Times New Roman" w:hAnsi="Times New Roman" w:eastAsia="Times New Roman" w:cs="Times New Roman"/>
        </w:rPr>
        <w:t xml:space="preserve"> </w:t>
      </w:r>
      <w:r>
        <w:rPr>
          <w:rFonts w:ascii="Nirmala UI" w:hAnsi="Nirmala UI" w:eastAsia="Nirmala UI" w:cs="Nirmala UI"/>
        </w:rPr>
        <w:t>කොඹ</w:t>
      </w:r>
      <w:r>
        <w:rPr>
          <w:rFonts w:ascii="Times New Roman" w:hAnsi="Times New Roman" w:eastAsia="Times New Roman" w:cs="Times New Roman"/>
        </w:rPr>
        <w:t xml:space="preserve"> </w:t>
      </w:r>
      <w:r>
        <w:rPr>
          <w:rFonts w:ascii="Nirmala UI" w:hAnsi="Nirmala UI" w:eastAsia="Nirmala UI" w:cs="Nirmala UI"/>
        </w:rPr>
        <w:t>සතරක්</w:t>
      </w:r>
      <w:r>
        <w:rPr>
          <w:rFonts w:ascii="Times New Roman" w:hAnsi="Times New Roman" w:eastAsia="Times New Roman" w:cs="Times New Roman"/>
        </w:rPr>
        <w:t xml:space="preserve"> </w:t>
      </w:r>
      <w:r>
        <w:rPr>
          <w:rFonts w:ascii="Nirmala UI" w:hAnsi="Nirmala UI" w:eastAsia="Nirmala UI" w:cs="Nirmala UI"/>
        </w:rPr>
        <w:t>උදා</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8:8.</w:t>
      </w:r>
    </w:p>
    <w:p>
      <w:pPr>
        <w:pStyle w:val="ArticleBody"/>
        <w:jc w:val="left"/>
      </w:pPr>
      <w:r>
        <w:rPr>
          <w:rFonts w:ascii="Times New Roman" w:hAnsi="Times New Roman" w:eastAsia="Times New Roman" w:cs="Times New Roman"/>
        </w:rPr>
        <w:t>Daniele, capitolo otto, inizia senza che il regno di Babilonia sia rappresentato mediante un simbolo. Babilonia, il primo regno della profezia biblica, è già stata biblicamente stabilita sulla testimonianza dei due testimoni del capitolo due e del capitolo sette; ma nel capitolo otto Babilonia è volutamente nascosta per mettere in risalto l’attributo profetico del papato che riceve una ferita mortale e che, alla fine, viene guarita. Durante il periodo che va dalla sua ferita mortale fino alla sua guarigione, il papato è profeticamente nascosto, o dimenticato. Questo nascondimento fu rappresentato anche dalla rimozione del regno di Nabucodonosor e dal suo successivo ristabilimento.</w:t>
      </w:r>
    </w:p>
    <w:p>
      <w:pPr>
        <w:pStyle w:val="ArticleBody"/>
        <w:jc w:val="left"/>
      </w:pPr>
      <w:r>
        <w:rPr>
          <w:rFonts w:ascii="Times New Roman" w:hAnsi="Times New Roman" w:eastAsia="Times New Roman" w:cs="Times New Roman"/>
        </w:rPr>
        <w:t>Daniel hoofdstuk acht begint met een rechtstreeks symbool van het tweede koninkrijk door de ram in te voeren, die het Medo-Perzische koninkrijk vertegenwoordigt, waarna de verdorven geitenbok volgt, die het koninkrijk Griekenland vertegenwoordigt. Vervolgens ziet Daniël uit een van de vier winden waarin de vier horens van Griekenland uiteengevallen waren, een kleine hoorn opkomen die het vierde koninkrijk van Rome vertegenwoordigt. De kleine hoorn vertegenwoordigt beide fasen van Rome, die in vier verzen worden voorgesteld. Het heidense Rome wordt voorgesteld door de kleine hoorn in het mannelijk geslacht, en het pauselijke Rome als de kleine hoorn in het vrouwelijk geslacht.</w:t>
      </w:r>
    </w:p>
    <w:p>
      <w:pPr>
        <w:pStyle w:val="ArticleScripture"/>
        <w:jc w:val="left"/>
      </w:pPr>
      <w:r>
        <w:rPr>
          <w:rFonts w:ascii="Times New Roman" w:hAnsi="Times New Roman" w:eastAsia="Times New Roman" w:cs="Times New Roman"/>
        </w:rPr>
        <w:t>Og út úr einu þeirra kom fram lítið horn, sem varð ákaflega mikið, í suður og í austur og til hins fagra lands. Og það varð mikið, allt til hers himnanna; og það felldi niður til jarðar nokkra af hernum og af stjörnunum og tróð þær undir fótum sér. Já, það upphóf sjálft sig allt til höfðingja hersins, og fyrir þess tilverknað var hið daglega fórnarhald tekið burt, og staður helgidóms hans var varpað niður. Og herlið var því fengið gegn hinu daglega fórnarhaldi vegna misgjörðar, og það felldi sannleikann til jarðar; og það framkvæmdi þetta og hafði framgang. Daníel 8:9–12.</w:t>
      </w:r>
    </w:p>
    <w:p>
      <w:pPr>
        <w:pStyle w:val="ArticleBody"/>
        <w:jc w:val="left"/>
      </w:pPr>
      <w:r>
        <w:rPr>
          <w:rFonts w:ascii="Nirmala UI" w:hAnsi="Nirmala UI" w:eastAsia="Nirmala UI" w:cs="Nirmala UI"/>
        </w:rPr>
        <w:t>ह्म्नंगो</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सिंगाव</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आयातनि</w:t>
      </w:r>
      <w:r>
        <w:rPr>
          <w:rFonts w:ascii="Times New Roman" w:hAnsi="Times New Roman" w:eastAsia="Times New Roman" w:cs="Times New Roman"/>
        </w:rPr>
        <w:t xml:space="preserve"> </w:t>
      </w:r>
      <w:r>
        <w:rPr>
          <w:rFonts w:ascii="Nirmala UI" w:hAnsi="Nirmala UI" w:eastAsia="Nirmala UI" w:cs="Nirmala UI"/>
        </w:rPr>
        <w:t>सारिनि</w:t>
      </w:r>
      <w:r>
        <w:rPr>
          <w:rFonts w:ascii="Times New Roman" w:hAnsi="Times New Roman" w:eastAsia="Times New Roman" w:cs="Times New Roman"/>
        </w:rPr>
        <w:t xml:space="preserve"> </w:t>
      </w:r>
      <w:r>
        <w:rPr>
          <w:rFonts w:ascii="Nirmala UI" w:hAnsi="Nirmala UI" w:eastAsia="Nirmala UI" w:cs="Nirmala UI"/>
        </w:rPr>
        <w:t>गोदानाव</w:t>
      </w:r>
      <w:r>
        <w:rPr>
          <w:rFonts w:ascii="Times New Roman" w:hAnsi="Times New Roman" w:eastAsia="Times New Roman" w:cs="Times New Roman"/>
        </w:rPr>
        <w:t xml:space="preserve"> (verse nine)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पुंलिंगाव</w:t>
      </w:r>
      <w:r>
        <w:rPr>
          <w:rFonts w:ascii="Times New Roman" w:hAnsi="Times New Roman" w:eastAsia="Times New Roman" w:cs="Times New Roman"/>
        </w:rPr>
        <w:t xml:space="preserve"> </w:t>
      </w:r>
      <w:r>
        <w:rPr>
          <w:rFonts w:ascii="Nirmala UI" w:hAnsi="Nirmala UI" w:eastAsia="Nirmala UI" w:cs="Nirmala UI"/>
        </w:rPr>
        <w:t>दिन्थिफुंगोन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दसाव</w:t>
      </w:r>
      <w:r>
        <w:rPr>
          <w:rFonts w:ascii="Times New Roman" w:hAnsi="Times New Roman" w:eastAsia="Times New Roman" w:cs="Times New Roman"/>
        </w:rPr>
        <w:t xml:space="preserve"> (verse ten), </w:t>
      </w:r>
      <w:r>
        <w:rPr>
          <w:rFonts w:ascii="Nirmala UI" w:hAnsi="Nirmala UI" w:eastAsia="Nirmala UI" w:cs="Nirmala UI"/>
        </w:rPr>
        <w:t>सिंगाव</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स्त्रीलिंगाव</w:t>
      </w:r>
      <w:r>
        <w:rPr>
          <w:rFonts w:ascii="Times New Roman" w:hAnsi="Times New Roman" w:eastAsia="Times New Roman" w:cs="Times New Roman"/>
        </w:rPr>
        <w:t xml:space="preserve"> </w:t>
      </w:r>
      <w:r>
        <w:rPr>
          <w:rFonts w:ascii="Nirmala UI" w:hAnsi="Nirmala UI" w:eastAsia="Nirmala UI" w:cs="Nirmala UI"/>
        </w:rPr>
        <w:t>दिन्थिफुंगोन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एगाराव</w:t>
      </w:r>
      <w:r>
        <w:rPr>
          <w:rFonts w:ascii="Times New Roman" w:hAnsi="Times New Roman" w:eastAsia="Times New Roman" w:cs="Times New Roman"/>
        </w:rPr>
        <w:t xml:space="preserve"> (verse eleven), </w:t>
      </w:r>
      <w:r>
        <w:rPr>
          <w:rFonts w:ascii="Nirmala UI" w:hAnsi="Nirmala UI" w:eastAsia="Nirmala UI" w:cs="Nirmala UI"/>
        </w:rPr>
        <w:t>सिंगाव</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पुंलिंगाव</w:t>
      </w:r>
      <w:r>
        <w:rPr>
          <w:rFonts w:ascii="Times New Roman" w:hAnsi="Times New Roman" w:eastAsia="Times New Roman" w:cs="Times New Roman"/>
        </w:rPr>
        <w:t xml:space="preserve"> </w:t>
      </w:r>
      <w:r>
        <w:rPr>
          <w:rFonts w:ascii="Nirmala UI" w:hAnsi="Nirmala UI" w:eastAsia="Nirmala UI" w:cs="Nirmala UI"/>
        </w:rPr>
        <w:t>दिन्थिफुंगोन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बाराव</w:t>
      </w:r>
      <w:r>
        <w:rPr>
          <w:rFonts w:ascii="Times New Roman" w:hAnsi="Times New Roman" w:eastAsia="Times New Roman" w:cs="Times New Roman"/>
        </w:rPr>
        <w:t xml:space="preserve"> (verse twelve), </w:t>
      </w:r>
      <w:r>
        <w:rPr>
          <w:rFonts w:ascii="Nirmala UI" w:hAnsi="Nirmala UI" w:eastAsia="Nirmala UI" w:cs="Nirmala UI"/>
        </w:rPr>
        <w:t>सिंगाव</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फिननो</w:t>
      </w:r>
      <w:r>
        <w:rPr>
          <w:rFonts w:ascii="Times New Roman" w:hAnsi="Times New Roman" w:eastAsia="Times New Roman" w:cs="Times New Roman"/>
        </w:rPr>
        <w:t xml:space="preserve"> </w:t>
      </w:r>
      <w:r>
        <w:rPr>
          <w:rFonts w:ascii="Nirmala UI" w:hAnsi="Nirmala UI" w:eastAsia="Nirmala UI" w:cs="Nirmala UI"/>
        </w:rPr>
        <w:t>स्त्रीलिंगाव</w:t>
      </w:r>
      <w:r>
        <w:rPr>
          <w:rFonts w:ascii="Times New Roman" w:hAnsi="Times New Roman" w:eastAsia="Times New Roman" w:cs="Times New Roman"/>
        </w:rPr>
        <w:t xml:space="preserve"> </w:t>
      </w:r>
      <w:r>
        <w:rPr>
          <w:rFonts w:ascii="Nirmala UI" w:hAnsi="Nirmala UI" w:eastAsia="Nirmala UI" w:cs="Nirmala UI"/>
        </w:rPr>
        <w:t>दिन्थिफुंगोन।</w:t>
      </w:r>
    </w:p>
    <w:p>
      <w:pPr>
        <w:pStyle w:val="ArticleBody"/>
        <w:jc w:val="left"/>
      </w:pPr>
      <w:r>
        <w:rPr>
          <w:rFonts w:ascii="Times New Roman" w:hAnsi="Times New Roman" w:eastAsia="Times New Roman" w:cs="Times New Roman"/>
        </w:rPr>
        <w:t>Daniel chapter eight, cache le premier royaume; puis les deux royaumes suivants sont représentés comme des bêtes corrompues du sanctuaire, et le quatrième royaume est représenté par une corne. La corne est prophétiquement corrompue, car elle apparaît comme un homme, puis une femme, puis un homme, puis une femme.</w:t>
      </w:r>
    </w:p>
    <w:p>
      <w:pPr>
        <w:pStyle w:val="ArticleScripture"/>
        <w:jc w:val="left"/>
      </w:pPr>
      <w:r>
        <w:rPr>
          <w:rFonts w:ascii="Times New Roman" w:hAnsi="Times New Roman" w:eastAsia="Times New Roman" w:cs="Times New Roman"/>
        </w:rPr>
        <w:t>La femme ne portera point un habillement d’homme, et l’homme ne mettra point des vêtements de femme; car quiconque fait ces choses est en abomination à l’Éternel, ton Dieu. Deutéronome 22:5.</w:t>
      </w:r>
    </w:p>
    <w:p>
      <w:pPr>
        <w:pStyle w:val="ArticleBody"/>
        <w:jc w:val="left"/>
      </w:pPr>
      <w:r>
        <w:rPr>
          <w:rFonts w:ascii="Times New Roman" w:hAnsi="Times New Roman" w:eastAsia="Times New Roman" w:cs="Times New Roman"/>
        </w:rPr>
        <w:t>Puo e tona tane ya lonaka ol nge pagana Roma, e ka kasem long ol ves 9 na 11, na puo e tona meri ya lonaka ol nge papala Roma, e ka kasem long ol ves 10 na 12. Ol dispela jenda blong puo i lonaka, sapos yumi tingim ol tok blong Daniel long level blong original text, samting we Miller i no save lukim, from hem i yusum Cruden’s Concordance nomo, na Cruden’s Concordance i no givim eni infomesen long saed blong original language. Dispela senis-senis blong jenda long ol foa ves ya, ol transleta blong King James Bible oli bin luksave long hem, mo oli bin holem jenda insaed long dispela hap tok, sapos yu save wanem blong lukluk long hem.</w:t>
      </w:r>
    </w:p>
    <w:p>
      <w:pPr>
        <w:pStyle w:val="ArticleBody"/>
        <w:jc w:val="left"/>
      </w:pPr>
      <w:r>
        <w:rPr>
          <w:rFonts w:ascii="Times New Roman" w:hAnsi="Times New Roman" w:eastAsia="Times New Roman" w:cs="Times New Roman"/>
        </w:rPr>
        <w:t>Les traducteurs ont reconnu la distinction entre la petite corne masculine et la petite corne féminine des versets neuf à douze, et ils ont rendu cette distinction par le mot « it ». Le mot « it » est employé pour la petite corne lorsqu’elle est à son genre féminin. Voir Daniel, chapitre huit, verset dix :</w:t>
      </w:r>
    </w:p>
    <w:p>
      <w:pPr>
        <w:pStyle w:val="ArticleScripture"/>
        <w:jc w:val="left"/>
      </w:pPr>
      <w:r>
        <w:rPr>
          <w:rFonts w:ascii="Times New Roman" w:hAnsi="Times New Roman" w:eastAsia="Times New Roman" w:cs="Times New Roman"/>
        </w:rPr>
        <w:t>Et elle grandit jusqu’à l’armée des cieux; et elle fit tomber à terre une partie de cette armée et des étoiles, et les foula aux pieds. Daniel 8:10.</w:t>
      </w:r>
    </w:p>
    <w:p>
      <w:pPr>
        <w:pStyle w:val="ArticleBody"/>
        <w:jc w:val="left"/>
      </w:pPr>
      <w:r>
        <w:rPr>
          <w:rFonts w:ascii="Times New Roman" w:hAnsi="Times New Roman" w:eastAsia="Times New Roman" w:cs="Times New Roman"/>
        </w:rPr>
        <w:t>It “waxed great,” and “it cast down,” confirming the little horn as the woman. Verse twelve states:</w:t>
      </w:r>
    </w:p>
    <w:p>
      <w:pPr>
        <w:pStyle w:val="ArticleScripture"/>
        <w:jc w:val="left"/>
      </w:pPr>
      <w:r>
        <w:rPr>
          <w:rFonts w:ascii="Times New Roman" w:hAnsi="Times New Roman" w:eastAsia="Times New Roman" w:cs="Times New Roman"/>
        </w:rPr>
        <w:t>Et une armée lui fut donnée contre le sacrifice perpétuel à cause de la transgression; elle jeta la vérité par terre, agit, et prospéra. Daniel 8:12.</w:t>
      </w:r>
    </w:p>
    <w:p>
      <w:pPr>
        <w:pStyle w:val="ArticleBody"/>
        <w:jc w:val="left"/>
      </w:pPr>
      <w:r>
        <w:rPr>
          <w:rFonts w:ascii="Times New Roman" w:hAnsi="Times New Roman" w:eastAsia="Times New Roman" w:cs="Times New Roman"/>
        </w:rPr>
        <w:t>Wulida kichuu kudha lama keessa jechi “isa” jedhu dabalameera; innis gaanfa xinnoo sana sirriitti hin bakka bu’u; sababiin isaas, gaanfi xinnoon kun lakkoofsa sana keessatti yeroo lama “ishee” jedhamee adda baafameera; kanaanis dubartummaa agarsiisa. Warri hiikan ifatti garaagarummaa saalaa Daani’el godhe hubatanii turan; garuu Daani’el maal jechuu akka barbaade irratti isaanii hin mirkanoofne; kanaafis jecha xurree qubeessame “isa” jedhu dabalachuudhaan, lakkoofsa sana keessatti gaanfa xinnoo sana dhiira taasisuuf yaalanii turan; garuu kun jechoota dhugaa Daani’el irraa hin deggaramu. Jechoonni isaa gaanfa xinnoo sana akka dubartii ta’ee fi “ishee” ta’u adda baasu; “isheen” (gaanfi xinnoon dubartiin), dhugaa gara lafaatti gate; “isheenis” (gaanfi xinnoon dubartiin), hojjettee milkoofte.</w:t>
      </w:r>
    </w:p>
    <w:p>
      <w:pPr>
        <w:pStyle w:val="ArticleBody"/>
        <w:jc w:val="left"/>
      </w:pPr>
      <w:r>
        <w:rPr>
          <w:rFonts w:ascii="Times New Roman" w:hAnsi="Times New Roman" w:eastAsia="Times New Roman" w:cs="Times New Roman"/>
        </w:rPr>
        <w:t>Í níunda versinu er orðasambandið „lítið horn“ í karlkyni og táknar heiðið Róm. Það kom frá einum af hinum „fjórum vindum“, sem gríska heimsveldið hafði leyst upp í. Í versinu, í samræmi við söguna, lagði heiðið Róm undir sig þrjú landfræðileg svæði, er það tók sér sess á hásæti jarðarinnar.</w:t>
      </w:r>
    </w:p>
    <w:p>
      <w:pPr>
        <w:pStyle w:val="ArticleScripture"/>
        <w:jc w:val="left"/>
      </w:pPr>
      <w:r>
        <w:rPr>
          <w:rFonts w:ascii="Times New Roman" w:hAnsi="Times New Roman" w:eastAsia="Times New Roman" w:cs="Times New Roman"/>
        </w:rPr>
        <w:t>Dan. 8:9: Nai mu baako mu na abɛn ketewa bi puee, na ɛyɛɛ kɛse pa ara kɔɔ anafo fam, apuei fam, ne asase fɛfɛ no so.</w:t>
      </w:r>
    </w:p>
    <w:p>
      <w:pPr>
        <w:pStyle w:val="ArticleBody"/>
        <w:jc w:val="left"/>
      </w:pPr>
      <w:r>
        <w:rPr>
          <w:rFonts w:ascii="Times New Roman" w:hAnsi="Times New Roman" w:eastAsia="Times New Roman" w:cs="Times New Roman"/>
        </w:rPr>
        <w:t>Dans le verset onze (qui est l’un des principaux terrains de lutte de la controverse au sujet du « sacrifice perpétuel »), la petite corne est désignée par « il », « lui » et « son ».</w:t>
      </w:r>
    </w:p>
    <w:p>
      <w:pPr>
        <w:pStyle w:val="ArticleScripture"/>
        <w:jc w:val="left"/>
      </w:pPr>
      <w:r>
        <w:rPr>
          <w:rFonts w:ascii="Times New Roman" w:hAnsi="Times New Roman" w:eastAsia="Times New Roman" w:cs="Times New Roman"/>
        </w:rPr>
        <w:t>Oiina, o guddise ofii isaa hamma bulchaa loltootaatti ol ol kaase; isumaanis aarsaan guyyuu dhiʼeeffamu irraa fuudhame, iddoodhaanis mana qulqullummaa isaa diigame. Daani’el 8:11.</w:t>
      </w:r>
    </w:p>
    <w:p>
      <w:pPr>
        <w:pStyle w:val="ArticleBody"/>
        <w:jc w:val="left"/>
      </w:pPr>
      <w:r>
        <w:rPr>
          <w:rFonts w:ascii="Times New Roman" w:hAnsi="Times New Roman" w:eastAsia="Times New Roman" w:cs="Times New Roman"/>
        </w:rPr>
        <w:t>Meme asa yi ho adesua yi so wɔ asɛm a edi hɔ no mu.</w:t>
      </w:r>
    </w:p>
    <w:p>
      <w:pPr>
        <w:pStyle w:val="ArticleScripture"/>
        <w:jc w:val="left"/>
      </w:pPr>
      <w:r>
        <w:rPr>
          <w:rFonts w:ascii="Times New Roman" w:hAnsi="Times New Roman" w:eastAsia="Times New Roman" w:cs="Times New Roman"/>
        </w:rPr>
        <w:t>« Prinsip wote waliomo katika neno la Mungu wana nafasi yao, kila ukweli una umuhimu wake. Nayo sura yake kamili, katika mpango na utekelezaji, hushuhudia kuhusu Mtungaji wake. Muundo wa namna hiyo hakuna akili yoyote ila ile ya Yeye asiye na mipaka ingeweza kuubuni au kuuumba. »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Arobaini na Sita</dc:title>
  <dc:subject>ዕረፍትን ማደስንም</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