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quarante-neuf</w:t>
      </w:r>
    </w:p>
    <w:p>
      <w:pPr>
        <w:pStyle w:val="ArticleSubtitle"/>
        <w:jc w:val="left"/>
      </w:pPr>
      <w:r>
        <w:rPr>
          <w:rFonts w:ascii="Arial" w:hAnsi="Arial" w:eastAsia="Arial" w:cs="Arial"/>
        </w:rPr>
        <w:t>Nigerian Pidgin: The Midnight Cry, Islam in Role, and the Final Testing Process for the Last Days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Uguhishurirwa kw’ubumenyi kwabonetse igihe iyerekwa ry’Umugezi wa Ulai ryafungurwaga mu 1798, kwabyaye inzira yo kugeragezwa yageze ku ndunduro yayo mu rugendo rw’Induru ya Saa Sita z’ijoro mu 1844. Induru ya Saa Sita z’ijoro yo mu minsi y’imperuka, ubu irimo gufungurwa, yagereranyijwe n’ayo mateka, kandi ikubiyemo ukuri kumwe n’uko kugerageza kwari muri ayo mateka, kuko ubutumwa bw’Induru ya Saa Sita z’ijoro ubu burimo gufungurwa ari ugusubizwaho kw’imitako ya Miller.</w:t>
      </w:r>
    </w:p>
    <w:p>
      <w:pPr>
        <w:pStyle w:val="ArticleScripture"/>
        <w:jc w:val="left"/>
      </w:pPr>
      <w:r>
        <w:rPr>
          <w:rFonts w:ascii="Times New Roman" w:hAnsi="Times New Roman" w:eastAsia="Times New Roman" w:cs="Times New Roman"/>
        </w:rPr>
        <w:t>« Les vérités que nous avons reçues en 1841, 1842, 1843 et 1844 doivent maintenant être étudiées et proclamées. Les messages des premier, deuxième et troisième anges seront, à l’avenir, proclamés d’une voix forte. Ils seront donnés avec une détermination fervente et dans la puissance de l’Esprit. » Manuscript Releases, vol. 15, p. 371.</w:t>
      </w:r>
    </w:p>
    <w:p>
      <w:pPr>
        <w:pStyle w:val="ArticleBody"/>
        <w:jc w:val="left"/>
      </w:pPr>
      <w:r>
        <w:rPr>
          <w:rFonts w:ascii="Times New Roman" w:hAnsi="Times New Roman" w:eastAsia="Times New Roman" w:cs="Times New Roman"/>
        </w:rPr>
        <w:t>Maudu kuu ya ujumbe wa kinabii wa Kilio cha Usiku wa manane cha wakati wetu ni wajibu wa Uislamu wa ole ya tatu. Ole tatu za Uislamu zote zimewakilishwa juu ya mbao mbili za Habakuki. Ujumbe wa Kilio cha Usiku wa manane wa siku za mwisho ulianza kufunuliwa muhuri wake katika kufadhaishwa kwa Julai 18, 2020, wakati wa kukawia wa siku za mwisho ulipowadia. Kama ilivyokuwa kwa ujumbe wa Kilio cha Usiku wa manane katika historia ya Wamillerite, ujumbe wa siku za mwisho huendelezwa hatua kwa hatua mpaka ufikie kiwango kinachowakilishwa na mkutano wa kambi wa Exeter. Katika hatua hiyo mabikira ama wana mafuta, au hawana.</w:t>
      </w:r>
    </w:p>
    <w:p>
      <w:pPr>
        <w:pStyle w:val="ArticleBody"/>
        <w:jc w:val="left"/>
      </w:pPr>
      <w:r>
        <w:rPr>
          <w:rFonts w:ascii="Times New Roman" w:hAnsi="Times New Roman" w:eastAsia="Times New Roman" w:cs="Times New Roman"/>
        </w:rPr>
        <w:t>Verkið um Ísaiás, har hann boðar spottsku monnunum, sum ráða yvir fólkinum í Jerúsalem, vísir á, at sjónin er vorðin fyritiknu drykkjumonnunum í Efraim sum ein innsiglað bók. Í hesum broti hjá Ísaiási skal tað verk, at broyta eitt satanskt ímyndarligt tekin til eitt gudiligt tekin, soleiðis sum er framt í søgu adventismunnar, metast sum leir hjá pottasmiðinum. Hetta verk var at staðfesta týðingina av “hinum dagliga” sum einum tekni um Kristus, tá tað í veruleikanum er eitt tekin um Satan. Tá Dánjal nýtti orðið “tamid” sum eitt tekin um heidinskap, valdi hann orðið í symbolskum endamáli, tí orðið merkir “støðugt”.</w:t>
      </w:r>
    </w:p>
    <w:p>
      <w:pPr>
        <w:pStyle w:val="ArticleBody"/>
        <w:jc w:val="left"/>
      </w:pPr>
      <w:r>
        <w:rPr>
          <w:rFonts w:ascii="Times New Roman" w:hAnsi="Times New Roman" w:eastAsia="Times New Roman" w:cs="Times New Roman"/>
        </w:rPr>
        <w:t>Il y a trois puissances qui conduisent le monde à Armageddon, et la première de ces trois puissances est le dragon (le paganisme). Le dragon commença sa guerre contre Dieu dans le ciel. Le dragon poursuit cette guerre jusqu’à la fin du millénium de mille ans, où il est finalement détruit.</w:t>
      </w:r>
    </w:p>
    <w:p>
      <w:pPr>
        <w:pStyle w:val="ArticleScripture"/>
        <w:jc w:val="left"/>
      </w:pPr>
      <w:r>
        <w:rPr>
          <w:rFonts w:ascii="Leelawadee UI" w:hAnsi="Leelawadee UI" w:eastAsia="Leelawadee UI" w:cs="Leelawadee UI"/>
        </w:rPr>
        <w:t>ខណៈពេលដែលមួយពាន់ឆ្នាំបានផុតកំណត់ទៅហើយ</w:t>
      </w:r>
      <w:r>
        <w:rPr>
          <w:rFonts w:ascii="Times New Roman" w:hAnsi="Times New Roman" w:eastAsia="Times New Roman" w:cs="Times New Roman"/>
        </w:rPr>
        <w:t xml:space="preserve"> </w:t>
      </w:r>
      <w:r>
        <w:rPr>
          <w:rFonts w:ascii="Leelawadee UI" w:hAnsi="Leelawadee UI" w:eastAsia="Leelawadee UI" w:cs="Leelawadee UI"/>
        </w:rPr>
        <w:t>សាតាំងនឹងត្រូវបានដោះលែងចេញពីគុករបស់វា</w:t>
      </w:r>
      <w:r>
        <w:rPr>
          <w:rFonts w:ascii="Times New Roman" w:hAnsi="Times New Roman" w:eastAsia="Times New Roman" w:cs="Times New Roman"/>
        </w:rPr>
        <w:t xml:space="preserve"> </w:t>
      </w:r>
      <w:r>
        <w:rPr>
          <w:rFonts w:ascii="Leelawadee UI" w:hAnsi="Leelawadee UI" w:eastAsia="Leelawadee UI" w:cs="Leelawadee UI"/>
        </w:rPr>
        <w:t>ហើយវានឹងចេញទៅបញ្ឆោតប្រជាជាតិនានា</w:t>
      </w:r>
      <w:r>
        <w:rPr>
          <w:rFonts w:ascii="Times New Roman" w:hAnsi="Times New Roman" w:eastAsia="Times New Roman" w:cs="Times New Roman"/>
        </w:rPr>
        <w:t xml:space="preserve"> </w:t>
      </w:r>
      <w:r>
        <w:rPr>
          <w:rFonts w:ascii="Leelawadee UI" w:hAnsi="Leelawadee UI" w:eastAsia="Leelawadee UI" w:cs="Leelawadee UI"/>
        </w:rPr>
        <w:t>ដែលស្ថិតនៅគ្រប់ជ្រុងទាំងបួននៃផែនដី</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កោក</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ម៉ាកោក</w:t>
      </w:r>
      <w:r>
        <w:rPr>
          <w:rFonts w:ascii="Times New Roman" w:hAnsi="Times New Roman" w:eastAsia="Times New Roman" w:cs="Times New Roman"/>
        </w:rPr>
        <w:t xml:space="preserve"> </w:t>
      </w:r>
      <w:r>
        <w:rPr>
          <w:rFonts w:ascii="Leelawadee UI" w:hAnsi="Leelawadee UI" w:eastAsia="Leelawadee UI" w:cs="Leelawadee UI"/>
        </w:rPr>
        <w:t>ដើម្បីប្រមូលពួកគេមកសម្រាប់សង្គ្រាម</w:t>
      </w:r>
      <w:r>
        <w:rPr>
          <w:rFonts w:ascii="Times New Roman" w:hAnsi="Times New Roman" w:eastAsia="Times New Roman" w:cs="Times New Roman"/>
        </w:rPr>
        <w:t xml:space="preserve"> </w:t>
      </w:r>
      <w:r>
        <w:rPr>
          <w:rFonts w:ascii="Leelawadee UI" w:hAnsi="Leelawadee UI" w:eastAsia="Leelawadee UI" w:cs="Leelawadee UI"/>
        </w:rPr>
        <w:t>ដែលចំនួនរបស់ពួកគេមានដូចខ្សាច់សមុទ្រ។</w:t>
      </w:r>
      <w:r>
        <w:rPr>
          <w:rFonts w:ascii="Times New Roman" w:hAnsi="Times New Roman" w:eastAsia="Times New Roman" w:cs="Times New Roman"/>
        </w:rPr>
        <w:t xml:space="preserve"> </w:t>
      </w:r>
      <w:r>
        <w:rPr>
          <w:rFonts w:ascii="Leelawadee UI" w:hAnsi="Leelawadee UI" w:eastAsia="Leelawadee UI" w:cs="Leelawadee UI"/>
        </w:rPr>
        <w:t>ហើយពួកគេបានឡើងមកលើផ្ទៃធំទូលាយនៃផែនដី</w:t>
      </w:r>
      <w:r>
        <w:rPr>
          <w:rFonts w:ascii="Times New Roman" w:hAnsi="Times New Roman" w:eastAsia="Times New Roman" w:cs="Times New Roman"/>
        </w:rPr>
        <w:t xml:space="preserve"> </w:t>
      </w:r>
      <w:r>
        <w:rPr>
          <w:rFonts w:ascii="Leelawadee UI" w:hAnsi="Leelawadee UI" w:eastAsia="Leelawadee UI" w:cs="Leelawadee UI"/>
        </w:rPr>
        <w:t>ហើយឡោមព័ទ្ធជុំវិញជំរំរបស់ពួកបរិសុទ្ធ</w:t>
      </w:r>
      <w:r>
        <w:rPr>
          <w:rFonts w:ascii="Times New Roman" w:hAnsi="Times New Roman" w:eastAsia="Times New Roman" w:cs="Times New Roman"/>
        </w:rPr>
        <w:t xml:space="preserve"> </w:t>
      </w:r>
      <w:r>
        <w:rPr>
          <w:rFonts w:ascii="Leelawadee UI" w:hAnsi="Leelawadee UI" w:eastAsia="Leelawadee UI" w:cs="Leelawadee UI"/>
        </w:rPr>
        <w:t>និងទីក្រុងជាទីស្រឡាញ់</w:t>
      </w:r>
      <w:r>
        <w:rPr>
          <w:rFonts w:ascii="Times New Roman" w:hAnsi="Times New Roman" w:eastAsia="Times New Roman" w:cs="Times New Roman"/>
        </w:rPr>
        <w:t xml:space="preserve">; </w:t>
      </w:r>
      <w:r>
        <w:rPr>
          <w:rFonts w:ascii="Leelawadee UI" w:hAnsi="Leelawadee UI" w:eastAsia="Leelawadee UI" w:cs="Leelawadee UI"/>
        </w:rPr>
        <w:t>ហើយភ្លើងបានចុះមកពីព្រះអង្គចេញពីស្ថានសួគ៌</w:t>
      </w:r>
      <w:r>
        <w:rPr>
          <w:rFonts w:ascii="Times New Roman" w:hAnsi="Times New Roman" w:eastAsia="Times New Roman" w:cs="Times New Roman"/>
        </w:rPr>
        <w:t xml:space="preserve"> </w:t>
      </w:r>
      <w:r>
        <w:rPr>
          <w:rFonts w:ascii="Leelawadee UI" w:hAnsi="Leelawadee UI" w:eastAsia="Leelawadee UI" w:cs="Leelawadee UI"/>
        </w:rPr>
        <w:t>ហើយបំផ្លាញពួកគេ។</w:t>
      </w:r>
      <w:r>
        <w:rPr>
          <w:rFonts w:ascii="Times New Roman" w:hAnsi="Times New Roman" w:eastAsia="Times New Roman" w:cs="Times New Roman"/>
        </w:rPr>
        <w:t xml:space="preserve"> </w:t>
      </w:r>
      <w:r>
        <w:rPr>
          <w:rFonts w:ascii="Leelawadee UI" w:hAnsi="Leelawadee UI" w:eastAsia="Leelawadee UI" w:cs="Leelawadee UI"/>
        </w:rPr>
        <w:t>ហើយអារក្សដែលបានបញ្ឆោតពួកគេ</w:t>
      </w:r>
      <w:r>
        <w:rPr>
          <w:rFonts w:ascii="Times New Roman" w:hAnsi="Times New Roman" w:eastAsia="Times New Roman" w:cs="Times New Roman"/>
        </w:rPr>
        <w:t xml:space="preserve"> </w:t>
      </w:r>
      <w:r>
        <w:rPr>
          <w:rFonts w:ascii="Leelawadee UI" w:hAnsi="Leelawadee UI" w:eastAsia="Leelawadee UI" w:cs="Leelawadee UI"/>
        </w:rPr>
        <w:t>ត្រូវបានបោះចូលទៅក្នុងបឹងភ្លើង</w:t>
      </w:r>
      <w:r>
        <w:rPr>
          <w:rFonts w:ascii="Times New Roman" w:hAnsi="Times New Roman" w:eastAsia="Times New Roman" w:cs="Times New Roman"/>
        </w:rPr>
        <w:t xml:space="preserve"> </w:t>
      </w:r>
      <w:r>
        <w:rPr>
          <w:rFonts w:ascii="Leelawadee UI" w:hAnsi="Leelawadee UI" w:eastAsia="Leelawadee UI" w:cs="Leelawadee UI"/>
        </w:rPr>
        <w:t>និងស្ពាន់ធ័រ</w:t>
      </w:r>
      <w:r>
        <w:rPr>
          <w:rFonts w:ascii="Times New Roman" w:hAnsi="Times New Roman" w:eastAsia="Times New Roman" w:cs="Times New Roman"/>
        </w:rPr>
        <w:t xml:space="preserve"> </w:t>
      </w:r>
      <w:r>
        <w:rPr>
          <w:rFonts w:ascii="Leelawadee UI" w:hAnsi="Leelawadee UI" w:eastAsia="Leelawadee UI" w:cs="Leelawadee UI"/>
        </w:rPr>
        <w:t>ជាកន្លែងដែលសត្វសាហាវ</w:t>
      </w:r>
      <w:r>
        <w:rPr>
          <w:rFonts w:ascii="Times New Roman" w:hAnsi="Times New Roman" w:eastAsia="Times New Roman" w:cs="Times New Roman"/>
        </w:rPr>
        <w:t xml:space="preserve"> </w:t>
      </w:r>
      <w:r>
        <w:rPr>
          <w:rFonts w:ascii="Leelawadee UI" w:hAnsi="Leelawadee UI" w:eastAsia="Leelawadee UI" w:cs="Leelawadee UI"/>
        </w:rPr>
        <w:t>និងហោរាក្លែងក្លាយនៅ</w:t>
      </w:r>
      <w:r>
        <w:rPr>
          <w:rFonts w:ascii="Times New Roman" w:hAnsi="Times New Roman" w:eastAsia="Times New Roman" w:cs="Times New Roman"/>
        </w:rPr>
        <w:t xml:space="preserve"> </w:t>
      </w:r>
      <w:r>
        <w:rPr>
          <w:rFonts w:ascii="Leelawadee UI" w:hAnsi="Leelawadee UI" w:eastAsia="Leelawadee UI" w:cs="Leelawadee UI"/>
        </w:rPr>
        <w:t>ហើយនឹងត្រូវរងទុក្ខវេទនាទាំងយប់ទាំងថ្ងៃ</w:t>
      </w:r>
      <w:r>
        <w:rPr>
          <w:rFonts w:ascii="Times New Roman" w:hAnsi="Times New Roman" w:eastAsia="Times New Roman" w:cs="Times New Roman"/>
        </w:rPr>
        <w:t xml:space="preserve"> </w:t>
      </w:r>
      <w:r>
        <w:rPr>
          <w:rFonts w:ascii="Leelawadee UI" w:hAnsi="Leelawadee UI" w:eastAsia="Leelawadee UI" w:cs="Leelawadee UI"/>
        </w:rPr>
        <w:t>អស់កល្បជានិច្ច។</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20:7–10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 bête (la papauté), qui est la deuxième des trois puissances conduisant le monde à Armageddon, et le faux prophète (les États-Unis), la troisième de ces trois puissances, sont tous deux apparus dans l’histoire après l’histoire de la croix, et tous deux sont détruits lors de la seconde venue du Christ.</w:t>
      </w:r>
    </w:p>
    <w:p>
      <w:pPr>
        <w:pStyle w:val="ArticleScripture"/>
        <w:jc w:val="left"/>
      </w:pPr>
      <w:r>
        <w:rPr>
          <w:rFonts w:ascii="Times New Roman" w:hAnsi="Times New Roman" w:eastAsia="Times New Roman" w:cs="Times New Roman"/>
        </w:rPr>
        <w:t>Et la bête fut prise, et avec elle le faux prophète, qui avait opéré des miracles devant elle, par lesquels il avait séduit ceux qui avaient reçu la marque de la bête et ceux qui adoraient son image. Tous deux furent jetés vivants dans l’étang de feu embrasé de soufre. Apocalypse 19:20.</w:t>
      </w:r>
    </w:p>
    <w:p>
      <w:pPr>
        <w:pStyle w:val="ArticleBody"/>
        <w:jc w:val="left"/>
      </w:pPr>
      <w:r>
        <w:rPr>
          <w:rFonts w:ascii="Times New Roman" w:hAnsi="Times New Roman" w:eastAsia="Times New Roman" w:cs="Times New Roman"/>
        </w:rPr>
        <w:t>Ete ke Daniel a tshwanetseng go tlhopha lefoko la Sehebera le le reng “kamehla” jaaka sesupo sa boheitane (Satane), o ne a tlhopha lefoko le le bontshang gore ke Satane yo o ileng a nna a lwa le Modimo ka tsotlhe tsotlhe. Mebuso e mengwe e mebedi yone e diragala fela mo ntweng ya yone kgatlhanong le Modimo ka dinako tse di rileng tse di beilweng. Tlhopho ya ga Daniel ya lefoko “tamid” (kamehla) e ne e le ya maikaelelo, e bile e nepagetse.</w:t>
      </w:r>
    </w:p>
    <w:p>
      <w:pPr>
        <w:pStyle w:val="ArticleBody"/>
        <w:jc w:val="left"/>
      </w:pPr>
      <w:r>
        <w:rPr>
          <w:rFonts w:ascii="Times New Roman" w:hAnsi="Times New Roman" w:eastAsia="Times New Roman" w:cs="Times New Roman"/>
        </w:rPr>
        <w:t>Исаияның Жаратқан Ие терең ұйқы рухын төгіп, көздерін жұмғандар туралы қасірет жөніндегі баяндауы жиырма сегізінші тараудан отызыншы тарауға ұласқанда, ол былай деп жазады:</w:t>
      </w:r>
    </w:p>
    <w:p>
      <w:pPr>
        <w:pStyle w:val="ArticleScripture"/>
        <w:jc w:val="left"/>
      </w:pPr>
      <w:r>
        <w:rPr>
          <w:rFonts w:ascii="Times New Roman" w:hAnsi="Times New Roman" w:eastAsia="Times New Roman" w:cs="Times New Roman"/>
        </w:rPr>
        <w:t>«Пойди теперь, начертай это перед ними на доске и запиши в книгу, чтобы это осталось на будущие времена, навеки: ибо это народ мятежный, дети лживые, дети, которые не хотят слушать закона Господня; которые говорят прозорливцам: “Не прозревайте”, и пророкам: “Не пророчествуйте нам правды, говорите нам лестное, предсказывайте обман; сойдите с дороги, уклонитесь от пути, устраните от лица нашего Святого Израилева”. Посему так говорит Святой Израилев: за то, что вы отвергаете слово сие и надеетесь на угнетение и извращение, и опираетесь на это, — потому беззаконие это будет для вас, как трещина, готовая обрушиться, выпятившаяся в высокой стене, разрушение которой наступает внезапно, в одно мгновение. И Он сокрушит ее, как разбивают сосуд горшечника, разбиваемый без пощады, так что в обломках его не найдется и черепка, чтобы взять огонь из очага или зачерпнуть воды из водоема. Ибо так говорит Господь Бог, Святой Израилев: в обращении и покое вы были бы спасены; в тишине и уповании была бы крепость ваша; но вы не захотели». Исаия 30:8–15.</w:t>
      </w:r>
    </w:p>
    <w:p>
      <w:pPr>
        <w:pStyle w:val="ArticleBody"/>
        <w:jc w:val="left"/>
      </w:pPr>
      <w:r>
        <w:rPr>
          <w:rFonts w:ascii="Times New Roman" w:hAnsi="Times New Roman" w:eastAsia="Times New Roman" w:cs="Times New Roman"/>
        </w:rPr>
        <w:t>“</w:t>
      </w:r>
      <w:r>
        <w:rPr>
          <w:rFonts w:ascii="Nirmala UI" w:hAnsi="Nirmala UI" w:eastAsia="Nirmala UI" w:cs="Nirmala UI"/>
        </w:rPr>
        <w:t>टेबल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लिहिले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दोनमधील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पट्ट्या</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ठरविण्यात</w:t>
      </w:r>
      <w:r>
        <w:rPr>
          <w:rFonts w:ascii="Times New Roman" w:hAnsi="Times New Roman" w:eastAsia="Times New Roman" w:cs="Times New Roman"/>
        </w:rPr>
        <w:t xml:space="preserve"> </w:t>
      </w:r>
      <w:r>
        <w:rPr>
          <w:rFonts w:ascii="Nirmala UI" w:hAnsi="Nirmala UI" w:eastAsia="Nirmala UI" w:cs="Nirmala UI"/>
        </w:rPr>
        <w:t>आल्या</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वाचतील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धावतील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पसरवतील</w:t>
      </w:r>
      <w:r>
        <w:rPr>
          <w:rFonts w:ascii="Times New Roman" w:hAnsi="Times New Roman" w:eastAsia="Times New Roman" w:cs="Times New Roman"/>
        </w:rPr>
        <w:t>. “</w:t>
      </w:r>
      <w:r>
        <w:rPr>
          <w:rFonts w:ascii="Nirmala UI" w:hAnsi="Nirmala UI" w:eastAsia="Nirmala UI" w:cs="Nirmala UI"/>
        </w:rPr>
        <w:t>टेबल</w:t>
      </w:r>
      <w:r>
        <w:rPr>
          <w:rFonts w:ascii="Times New Roman" w:hAnsi="Times New Roman" w:eastAsia="Times New Roman" w:cs="Times New Roman"/>
        </w:rPr>
        <w:t>”</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हबक्कूकच्या</w:t>
      </w:r>
      <w:r>
        <w:rPr>
          <w:rFonts w:ascii="Times New Roman" w:hAnsi="Times New Roman" w:eastAsia="Times New Roman" w:cs="Times New Roman"/>
        </w:rPr>
        <w:t xml:space="preserve"> “</w:t>
      </w:r>
      <w:r>
        <w:rPr>
          <w:rFonts w:ascii="Nirmala UI" w:hAnsi="Nirmala UI" w:eastAsia="Nirmala UI" w:cs="Nirmala UI"/>
        </w:rPr>
        <w:t>पुस्तकातील</w:t>
      </w:r>
      <w:r>
        <w:rPr>
          <w:rFonts w:ascii="Times New Roman" w:hAnsi="Times New Roman" w:eastAsia="Times New Roman" w:cs="Times New Roman"/>
        </w:rPr>
        <w:t>” “</w:t>
      </w:r>
      <w:r>
        <w:rPr>
          <w:rFonts w:ascii="Nirmala UI" w:hAnsi="Nirmala UI" w:eastAsia="Nirmala UI" w:cs="Nirmala UI"/>
        </w:rPr>
        <w:t>टेबल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बंडखोर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खोटारडी</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परमेश्वराची</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ऐकणार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बंडखोर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w:t>
      </w:r>
      <w:r>
        <w:rPr>
          <w:rFonts w:ascii="Nirmala UI" w:hAnsi="Nirmala UI" w:eastAsia="Nirmala UI" w:cs="Nirmala UI"/>
        </w:rPr>
        <w:t>ऐकण्यास</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यिर्मयामधील</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राखणदाराच्या</w:t>
      </w:r>
      <w:r>
        <w:rPr>
          <w:rFonts w:ascii="Times New Roman" w:hAnsi="Times New Roman" w:eastAsia="Times New Roman" w:cs="Times New Roman"/>
        </w:rPr>
        <w:t xml:space="preserve"> </w:t>
      </w:r>
      <w:r>
        <w:rPr>
          <w:rFonts w:ascii="Nirmala UI" w:hAnsi="Nirmala UI" w:eastAsia="Nirmala UI" w:cs="Nirmala UI"/>
        </w:rPr>
        <w:t>तुतारीचा</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ऐकण्यास</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Kuongezea hilo niliweka walinzi juu yenu, nikisema, Sikilizeni sauti ya tarumbeta. Lakini wao wakasema, Hatutasikiliza. Yeremia 6:17.</w:t>
      </w:r>
    </w:p>
    <w:p>
      <w:pPr>
        <w:pStyle w:val="ArticleBody"/>
        <w:jc w:val="left"/>
      </w:pPr>
      <w:r>
        <w:rPr>
          <w:rFonts w:ascii="Times New Roman" w:hAnsi="Times New Roman" w:eastAsia="Times New Roman" w:cs="Times New Roman"/>
        </w:rPr>
        <w:t>Die Widerspenstigen sind jene in der Geschichte Jesajas und auch in der Geschichte Christi, die nicht hören wollten.</w:t>
      </w:r>
    </w:p>
    <w:p>
      <w:pPr>
        <w:pStyle w:val="ArticleScripture"/>
        <w:jc w:val="left"/>
      </w:pPr>
      <w:r>
        <w:rPr>
          <w:rFonts w:ascii="Times New Roman" w:hAnsi="Times New Roman" w:eastAsia="Times New Roman" w:cs="Times New Roman"/>
        </w:rPr>
        <w:t>Et il dit: Va, et dis à ce peuple: Vous entendrez bien, et vous ne comprendrez point; vous verrez bien, et vous n’apercevrez point. Appesantis le cœur de ce peuple, rends ses oreilles pesantes, et ferme ses yeux; de peur qu’il ne voie de ses yeux, qu’il n’entende de ses oreilles, qu’il ne comprenne de son cœur, qu’il ne se convertisse, et qu’il ne soit guéri. Ésaïe 6:9, 10.</w:t>
      </w:r>
    </w:p>
    <w:p>
      <w:pPr>
        <w:pStyle w:val="ArticleBody"/>
        <w:jc w:val="left"/>
      </w:pPr>
      <w:r>
        <w:rPr>
          <w:rFonts w:ascii="Times New Roman" w:hAnsi="Times New Roman" w:eastAsia="Times New Roman" w:cs="Times New Roman"/>
        </w:rPr>
        <w:t>Les rebelles sourds d’Ésaïe peuvent « entendre », mais ils n’« entendent » pas, et leur refus d’« entendre » révèle qu’ils « ne comprennent point ». Ce sont les méchants de Daniel, qui sont aussi les vierges folles de Matthieu, qui ne comprennent pas l’accroissement de la connaissance représenté sur la « table » mentionnée dans le « livre » d’Habacuc. Si les rebelles sourds d’Ésaïe voulaient entendre, ils pourraient être convertis et guéris ; mais leur cœur est engraissé, de sorte qu’ils ne peuvent comprendre le message du Cri de Minuit. Jésus a fourni un second témoignage des rebelles sourds.</w:t>
      </w:r>
    </w:p>
    <w:p>
      <w:pPr>
        <w:pStyle w:val="ArticleScripture"/>
        <w:jc w:val="left"/>
      </w:pPr>
      <w:r>
        <w:rPr>
          <w:rFonts w:ascii="Times New Roman" w:hAnsi="Times New Roman" w:eastAsia="Times New Roman" w:cs="Times New Roman"/>
        </w:rPr>
        <w:t>Kad ang mga disipulo mingduol kaniya ug miingon, Nganong magasulti ka kanila pinaagi sa mga sambingay? Mitubag siya ug miingon kanila, Tungod kay gihatag kaninyo ang pagkaila sa mga tinago sa gingharian sa langit, apan kanila wala kini ihatag. Kay bisan kinsa nga adunay anaa, kaniya pagahatagan, ug siya makabaton pa ug labi ka daghan; apan bisan kinsa nga walay anaa, bisan ang anaa kaniya pagakuhaon pa gikan kaniya. Busa magasulti ako kanila pinaagi sa mga sambingay: kay bisan nagtan-aw sila, dili sila makakita; ug bisan nagapatalinghug sila, dili sila makadungog, ni makasabut sila. Ug diha kanila natuman ang tagna ni Esaias, nga nagaingon, Sa pagpakadungog kamo makadungog, ug dili makasabut; ug sa pagpakakita kamo makakita, ug dili makaila: Kay ang kasingkasing niining katawhan nahimong mabaga, ug ang ilang mga dalunggan mabug-at na sa pagpakadungog, ug ang ilang mga mata ilang gipiyong; aron tingali nga sila makakita pinaagi sa ilang mga mata ug makadungog pinaagi sa ilang mga dalunggan, ug makasabut pinaagi sa ilang kasingkasing, ug makabig, ug sila akong ayohon. Apan bulahan ang inyong mga mata, kay sila makakita: ug ang inyong mga dalunggan, kay sila makadungog. Kay sa pagkatinuod magaingon ako kaninyo, nga daghang mga propeta ug mga matarung nga tawo nangandoy sa pagtan-aw niadtong mga butanga nga inyong nakita, ug wala makakita niini; ug sa pagdungog niadtong mga butanga nga inyong nadungog, ug wala makadungog niini. Mateo 13:10–17.</w:t>
      </w:r>
    </w:p>
    <w:p>
      <w:pPr>
        <w:pStyle w:val="ArticleBody"/>
        <w:jc w:val="left"/>
      </w:pPr>
      <w:r>
        <w:rPr>
          <w:rFonts w:ascii="Times New Roman" w:hAnsi="Times New Roman" w:eastAsia="Times New Roman" w:cs="Times New Roman"/>
        </w:rPr>
        <w:t>Nuoŋkɛŋtɔŋkɛŋ pa̱ra̱bo̱lɛ́ɛi a̱ la̱gɛ̱rɛ̱ puɔ̱th, kɛ ɛ lɛ̱ɛ̱rɛ̱ tɔ̱ɔ̱ŋ lɛ̱ŋ tɔ̱ɔ̱ŋ kuɛ̱n. Nuoŋkɛŋkɛ bɛ̱ piɔ̱u, ba̱ lɔ̱ɔ̱r ku ba̱ raan; kɛ nuoŋkɛŋkɛ ku bɛ̱ piɔ̱u, ba̱ rotɛ̱ɛ̱r piny Daniel ca̱pter twelve. “Nuoŋkɛŋkɛ” e ba̱n lɛ̱ɛ̱r (ku kɛ̱ ciɛ̱ŋkɔ̱ɔ̱r ba̱), kɛ lɔnɔ̱ŋ yiɛ̱n looi, kɛ rotɛ̱ɛ̱r ku “table” kɛ ac na̱ŋ “book” Habakkuk; kɛ “bɛ̱ piɔ̱u” e ba̱n rɔ̱ɔ̱r.</w:t>
      </w:r>
    </w:p>
    <w:p>
      <w:pPr>
        <w:pStyle w:val="ArticleScripture"/>
        <w:jc w:val="left"/>
      </w:pPr>
      <w:r>
        <w:rPr>
          <w:rFonts w:ascii="Times New Roman" w:hAnsi="Times New Roman" w:eastAsia="Times New Roman" w:cs="Times New Roman"/>
        </w:rPr>
        <w:t>Na a li: Kɔ w’akwan so, Daniel; efisɛ wɔato nsɛm no mu na wɔasɔ ano akosi awiei bere no. Wɔbɛtew bebree ho, na wɔayɛ wɔn fitaa, na wɔasɔ wɔn ahwɛ; nanso amumɔyɛfo no bɛyɛ amumɔyɛ, na amumɔyɛfo no mu biara rennte ase; na anyansafo no de, wɔbɛte ase. Na efi bere a wobeyi daa afɔrebɔ no afi hɔ, na wɔde akyiwade a ɛma ɔsɛe no asi hɔ no, nna apem ahannu aduɔkron bɛba. Nhyira ne nea otwɛn, na oduu nna apem ahaasa aduasa anum no. Daniel 12:9–13.</w:t>
      </w:r>
    </w:p>
    <w:p>
      <w:pPr>
        <w:pStyle w:val="ArticleBody"/>
        <w:jc w:val="left"/>
      </w:pPr>
      <w:r>
        <w:rPr>
          <w:rFonts w:ascii="Times New Roman" w:hAnsi="Times New Roman" w:eastAsia="Times New Roman" w:cs="Times New Roman"/>
        </w:rPr>
        <w:t>Millerites yakka sirriittiin hubatan guyyoonni kuma tokkoo fi dhibba sadii fi soddoma shan sun yeroo waaqeffannaan mootummaa Roomaa durii (“kan guyyaa hundaa”) bara 508 keessa “kaafame” jalqaban. Eebbi sun warra bara 1843 keessatti eeggachaa turan irratti abdachiifame. Jechi “dhufa” jedhu kutaa sana keessatti “tuqa” jechuu dha. Bara 1843 yeroo xumurame bara 1844 “tuqe.” Yeroo bara 1843 xumurame, “yeroon turtii” kan Hab 2 irra jiru dhufe, eebbisni immoo warra akkuma “kitaaba” keessatti ajajametti eegan irratti labsame; kitaabni sun “gabateewwan” akka barreessaman ni akeeka. “Kitaabni” Hab 2 warra sana mul’ataaf akka “eegan” ajaje.</w:t>
      </w:r>
    </w:p>
    <w:p>
      <w:pPr>
        <w:pStyle w:val="ArticleBody"/>
        <w:jc w:val="left"/>
      </w:pPr>
      <w:r>
        <w:rPr>
          <w:rFonts w:ascii="Times New Roman" w:hAnsi="Times New Roman" w:eastAsia="Times New Roman" w:cs="Times New Roman"/>
        </w:rPr>
        <w:t>Daniel identifica la historia de 1798 (el tiempo del fin), cuando su libro fue desellado, y entonces se produjo un proceso de prueba de tres pasos (purificados, emblanquecidos y probados). Ese proceso alcanzó su conclusión en la manifestación de la historia oculta de los siete truenos. Esa historia oculta son los tres hitos de la verdad, representados por el primer chasco, el mensaje del Clamor de Medianoche y el gran chasco. La bendición de llegar al primer chasco representa un proceso de prueba de tres pasos al final de la historia de 1798 a 1844.</w:t>
      </w:r>
    </w:p>
    <w:p>
      <w:pPr>
        <w:pStyle w:val="ArticleBody"/>
        <w:jc w:val="left"/>
      </w:pPr>
      <w:r>
        <w:rPr>
          <w:rFonts w:ascii="Times New Roman" w:hAnsi="Times New Roman" w:eastAsia="Times New Roman" w:cs="Times New Roman"/>
        </w:rPr>
        <w:t>Historia ya 1798 hadi kwa mshangao mkuu wa 1844 ni mfano wa historia ya 1989 hadi kwa sheria ya Jumapili inayokaribia kuja. Kuna baraka iliyoahidiwa kwa wale wanaolingoja ono lililoanza kukawia katika mshangao wa kwanza. “Wenye hekima” wa Danieli kumi na mbili ni wale walio “wabarikiwa,” na ambao “wanangoja.” Waovu ni wale ambao “hawasikii” kwa mioyo yao, na ambao “hawaoni.” Uzoefu wote wa vuguvugu la Millerite umefupishwa katika aya nne za Danieli, na aya hizo pia zinawakilisha historia ya kutiwa muhuri kwa wale laki moja na arobaini na nne elfu.</w:t>
      </w:r>
    </w:p>
    <w:p>
      <w:pPr>
        <w:pStyle w:val="ArticleBody"/>
        <w:jc w:val="left"/>
      </w:pPr>
      <w:r>
        <w:rPr>
          <w:rFonts w:ascii="Times New Roman" w:hAnsi="Times New Roman" w:eastAsia="Times New Roman" w:cs="Times New Roman"/>
        </w:rPr>
        <w:t>ההיסטוריה המקודשת המיוצגת בארבעת הפסוקים הללו מושתתת על הבנת גידול הדעת אשר יוצג על לוחות חבקוק, ועל גידול הדעת שישוע זיהה כאשר לימד במתודולוגיה של קו על קו. הוא הציג משל אחר משל, כדי לבאר את מסתורין הנבואה ל״משכילים״. ״הרשעים״ בדניאל י״ב אינם מבינים, ובאיגרת השנייה אל התסלוניקים, פרק ב׳, חוסר הבנתם מיוצג כשנאת האמת, המביאה אשליה חזקה. האמת אשר הרשעים אינם אוהבים באיגרתו של פולוס הייתה ״התמיד״, ובארבעת הפסוקים של דניאל, האמת הנבואית המזוהה במפורש היא ״התמיד״.</w:t>
      </w:r>
    </w:p>
    <w:p>
      <w:pPr>
        <w:pStyle w:val="ArticleBody"/>
        <w:jc w:val="left"/>
      </w:pPr>
      <w:r>
        <w:rPr>
          <w:rFonts w:ascii="Times New Roman" w:hAnsi="Times New Roman" w:eastAsia="Times New Roman" w:cs="Times New Roman"/>
        </w:rPr>
        <w:t>Jesús dijo a los discípulos que eran bienaventurados, y al hacerlo los estaba contrastando con aquellos de Isaías que rehusaron ver y oír, para no convertirse. Los que son bienaventurados en Daniel doce son los que esperan. Los cuatro versículos de Daniel capítulo doce, así como el cumplimiento de esos versículos en la historia de los milleritas, y también el contraste en Isaías con una clase que rehusó oír y ver, y asimismo la misma distinción entre las dos clases hecha por Cristo, todo ello señala de antemano la historia oculta de los siete truenos que llegó el 18 de julio de 2020. El proceso final de prueba de la historia millerita que comenzó en el primer chasco se está repitiendo ahora. Algunos verán, y otros rehusarán ver.</w:t>
      </w:r>
    </w:p>
    <w:p>
      <w:pPr>
        <w:pStyle w:val="ArticleScripture"/>
        <w:jc w:val="left"/>
      </w:pPr>
      <w:r>
        <w:rPr>
          <w:rFonts w:ascii="Times New Roman" w:hAnsi="Times New Roman" w:eastAsia="Times New Roman" w:cs="Times New Roman"/>
        </w:rPr>
        <w:t>«Сите пораките дадени од 1840–1844 треба сега да се изнесат со сила, зашто има многу луѓе што го изгубиле своето духовно насочување. Пораките треба да одат до сите цркви. »</w:t>
      </w:r>
    </w:p>
    <w:p>
      <w:pPr>
        <w:pStyle w:val="ArticleScripture"/>
        <w:jc w:val="left"/>
      </w:pPr>
      <w:r>
        <w:rPr>
          <w:rFonts w:ascii="Times New Roman" w:hAnsi="Times New Roman" w:eastAsia="Times New Roman" w:cs="Times New Roman"/>
        </w:rPr>
        <w:t>« Le Christ a dit : “Heureux vos yeux, parce qu’ils voient ; et vos oreilles, parce qu’elles entendent. Car je vous le dis en vérité, beaucoup de prophètes et de justes ont désiré voir les choses que vous voyez, et ne les ont point vues ; et entendre les choses que vous entendez, et ne les ont point entendues” [Matthieu 13:16, 17]. Heureux les yeux qui ont vu les choses qui furent vues en 1843 et en 1844. »</w:t>
      </w:r>
    </w:p>
    <w:p>
      <w:pPr>
        <w:pStyle w:val="ArticleScripture"/>
        <w:jc w:val="left"/>
      </w:pPr>
      <w:r>
        <w:rPr>
          <w:rFonts w:ascii="Times New Roman" w:hAnsi="Times New Roman" w:eastAsia="Times New Roman" w:cs="Times New Roman"/>
        </w:rPr>
        <w:t>A na-enye ozi ahụ. Ọ gaghịkwa adị mkpa inwe ihe ọ bụla na-egbu oge n’ime ikwughachi ozi ahụ, n’ihi na ihe ịrịba ama nke oge ndị a na-emezu; a ghaghị imecha ọrụ mmechi ahụ. A ga-arụ nnukwu ọrụ n’oge dị mkpirikpi. N’oge na-adịghị anya, a ga-enye ozi site n’ịhọpụta nke Chineke nke ga-abawanye ruo n’ime oke mkpu. Mgbe ahụ Daniel ga-eguzo n’òkè ya, inye àmà ya.” Manuscript Releases, volume 21, 437.</w:t>
      </w:r>
    </w:p>
    <w:p>
      <w:pPr>
        <w:pStyle w:val="ArticleBody"/>
        <w:jc w:val="left"/>
      </w:pPr>
      <w:r>
        <w:rPr>
          <w:rFonts w:ascii="Times New Roman" w:hAnsi="Times New Roman" w:eastAsia="Times New Roman" w:cs="Times New Roman"/>
        </w:rPr>
        <w:t>William Miller kelgenis angelis ad cognoscendum quod “the daily” esset symbolum Romae paganae. Sister White directe confirmavit eum recte in ea intelligentia stetisse. Illa intelligentia, quae in “tabulis” repraesentata erat, de quibus in “libro” Habacuc memoratur, est “for the time to come.” Resolutio sigillorum illius “libri” manifestat “a rebellious, lying children”. “Children” est symbolum ultimae generationis; ita “the time to come,” in loco Isaiae, specifice designat novissimos dies iudicii investigativi.</w:t>
      </w:r>
    </w:p>
    <w:p>
      <w:pPr>
        <w:pStyle w:val="ArticleBody"/>
        <w:jc w:val="left"/>
      </w:pPr>
      <w:r>
        <w:rPr>
          <w:rFonts w:ascii="Times New Roman" w:hAnsi="Times New Roman" w:eastAsia="Times New Roman" w:cs="Times New Roman"/>
        </w:rPr>
        <w:t>Ésaïe déclare que les « enfants menteurs » rejetteront le message prophétique représenté sur la « table » qui est mentionnée dans le « livre », car ils disent « aux voyants : Ne voyez pas ; et aux prophètes : Ne nous prophétisez pas des choses droites, dites-nous des choses agréables, prophétisez des tromperies. » En 1863, l’adventisme laodicéen commença un processus croissant d’accomplissement de la requête des enfants menteurs. Cette œuvre est représentée par Ésaïe comme un rejet des anciens sentiers des fondements millérites, car ils disaient : « Ôtez-vous du chemin, détournez-vous du sentier, faites cesser devant nous le Saint d’Israël. » Le sentier qui est la voie, ce sont les anciens sentiers de Jérémie.</w:t>
      </w:r>
    </w:p>
    <w:p>
      <w:pPr>
        <w:pStyle w:val="ArticleScripture"/>
        <w:jc w:val="left"/>
      </w:pPr>
      <w:r>
        <w:rPr>
          <w:rFonts w:ascii="Times New Roman" w:hAnsi="Times New Roman" w:eastAsia="Times New Roman" w:cs="Times New Roman"/>
        </w:rPr>
        <w:t>Ainsi parle l’Éternel : Tenez-vous sur les chemins, regardez, et demandez quels sont les anciens sentiers, quelle est la bonne voie ; marchez-y, et vous trouverez du repos pour vos âmes. Mais ils ont dit : Nous n’y marcherons pas. Jérémie 6:16.</w:t>
      </w:r>
    </w:p>
    <w:p>
      <w:pPr>
        <w:pStyle w:val="ArticleBody"/>
        <w:jc w:val="left"/>
      </w:pPr>
      <w:r>
        <w:rPr>
          <w:rFonts w:ascii="Times New Roman" w:hAnsi="Times New Roman" w:eastAsia="Times New Roman" w:cs="Times New Roman"/>
        </w:rPr>
        <w:t>Die Verwerfung der „lügenden Kinder“ gegenüber Jeremias „alten Pfaden“ ist die Verwerfung der Botschaft des Mitternachtsrufs, wo die „Ruhe“ zu finden ist, die auch jene „Ruhe und Erquickung“ ist, auf die sie in Jesaja nicht hören wollten, und die zugleich die Erquickung der Botschaft des Spätregens ist. Diese Botschaft ist die Botschaft des Mitternachtsrufs, die in der Geschichte der Milleriten dargestellt und auf den „Tafeln“ veranschaulicht wird, die in einem „Buch“ verzeichnet sind. Die Verwerfung der Botschaft des Mitternachtsrufs durch die lügenden Kinder wird durch ihr Verlangen dargestellt, den „Heiligen Israels“ vor ihnen „aufhören zu lassen“. Ellen Whites erste Vision, deren sich Alpha und Omega gewiss bedienen würden, um das Ende darzustellen, kennzeichnet den Pfad der Gerechten, markiert das Licht an seinem Anfang und zeigt, wer es ist, der „die Weisen“ bis an das Ende des Pfades führt.</w:t>
      </w:r>
    </w:p>
    <w:p>
      <w:pPr>
        <w:pStyle w:val="ArticleScripture"/>
        <w:jc w:val="left"/>
      </w:pPr>
      <w:r>
        <w:rPr>
          <w:rFonts w:ascii="Times New Roman" w:hAnsi="Times New Roman" w:eastAsia="Times New Roman" w:cs="Times New Roman"/>
        </w:rPr>
        <w:t>“Wọn ní ìmọ́lẹ̀ didán kan tí a gbé kalẹ̀ lẹ́yìn wọn ní ìbẹ̀rẹ̀ ọ̀nà náà, èyí tí áńgẹ́lì kan sọ fún mi pé ni ‘igbe ọ̀gànjọ́.’ Ìmọ́lẹ̀ yìí ń tàn káàkiri gbogbo ọ̀nà náà, ó sì ń tan ìmọ́lẹ̀ fún ẹsẹ̀ wọn, kí wọn má bàa kọsẹ̀.</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បើពួកគេរក្សាភ្នែករបស់ខ្លួនឲ្យផ្តោតជាប់លើព្រះយេស៊ូវ</w:t>
      </w:r>
      <w:r>
        <w:rPr>
          <w:rFonts w:ascii="Times New Roman" w:hAnsi="Times New Roman" w:eastAsia="Times New Roman" w:cs="Times New Roman"/>
        </w:rPr>
        <w:t xml:space="preserve"> </w:t>
      </w:r>
      <w:r>
        <w:rPr>
          <w:rFonts w:ascii="Leelawadee UI" w:hAnsi="Leelawadee UI" w:eastAsia="Leelawadee UI" w:cs="Leelawadee UI"/>
        </w:rPr>
        <w:t>ដែលទ្រង់គង់នៅខាងមុខពួកគេ</w:t>
      </w:r>
      <w:r>
        <w:rPr>
          <w:rFonts w:ascii="Times New Roman" w:hAnsi="Times New Roman" w:eastAsia="Times New Roman" w:cs="Times New Roman"/>
        </w:rPr>
        <w:t xml:space="preserve"> </w:t>
      </w:r>
      <w:r>
        <w:rPr>
          <w:rFonts w:ascii="Leelawadee UI" w:hAnsi="Leelawadee UI" w:eastAsia="Leelawadee UI" w:cs="Leelawadee UI"/>
        </w:rPr>
        <w:t>ដឹកនាំពួកគេទៅកាន់ទីក្រុង</w:t>
      </w:r>
      <w:r>
        <w:rPr>
          <w:rFonts w:ascii="Times New Roman" w:hAnsi="Times New Roman" w:eastAsia="Times New Roman" w:cs="Times New Roman"/>
        </w:rPr>
        <w:t xml:space="preserve"> </w:t>
      </w:r>
      <w:r>
        <w:rPr>
          <w:rFonts w:ascii="Leelawadee UI" w:hAnsi="Leelawadee UI" w:eastAsia="Leelawadee UI" w:cs="Leelawadee UI"/>
        </w:rPr>
        <w:t>នោះពួកគេមានសុវត្ថិភាព។</w:t>
      </w:r>
      <w:r>
        <w:rPr>
          <w:rFonts w:ascii="Times New Roman" w:hAnsi="Times New Roman" w:eastAsia="Times New Roman" w:cs="Times New Roman"/>
        </w:rPr>
        <w:t xml:space="preserve"> </w:t>
      </w:r>
      <w:r>
        <w:rPr>
          <w:rFonts w:ascii="Leelawadee UI" w:hAnsi="Leelawadee UI" w:eastAsia="Leelawadee UI" w:cs="Leelawadee UI"/>
        </w:rPr>
        <w:t>ប៉ុន្តែមិនយូរប៉ុន្មាន</w:t>
      </w:r>
      <w:r>
        <w:rPr>
          <w:rFonts w:ascii="Times New Roman" w:hAnsi="Times New Roman" w:eastAsia="Times New Roman" w:cs="Times New Roman"/>
        </w:rPr>
        <w:t xml:space="preserve"> </w:t>
      </w:r>
      <w:r>
        <w:rPr>
          <w:rFonts w:ascii="Leelawadee UI" w:hAnsi="Leelawadee UI" w:eastAsia="Leelawadee UI" w:cs="Leelawadee UI"/>
        </w:rPr>
        <w:t>មានខ្លះនឿយហត់</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ទីក្រុងនោះនៅឆ្ងាយណាស់</w:t>
      </w:r>
      <w:r>
        <w:rPr>
          <w:rFonts w:ascii="Times New Roman" w:hAnsi="Times New Roman" w:eastAsia="Times New Roman" w:cs="Times New Roman"/>
        </w:rPr>
        <w:t xml:space="preserve"> </w:t>
      </w:r>
      <w:r>
        <w:rPr>
          <w:rFonts w:ascii="Leelawadee UI" w:hAnsi="Leelawadee UI" w:eastAsia="Leelawadee UI" w:cs="Leelawadee UI"/>
        </w:rPr>
        <w:t>ហើយពួកគេបានរំពឹងថានឹងបានចូលទៅដល់វារួចមកហើយ។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ព្រះយេស៊ូវទ្រង់នឹងលើកព្រះហស្តស្ដាំដ៏រុងរឿងរបស់ទ្រង់ឡើង</w:t>
      </w:r>
      <w:r>
        <w:rPr>
          <w:rFonts w:ascii="Times New Roman" w:hAnsi="Times New Roman" w:eastAsia="Times New Roman" w:cs="Times New Roman"/>
        </w:rPr>
        <w:t xml:space="preserve"> </w:t>
      </w:r>
      <w:r>
        <w:rPr>
          <w:rFonts w:ascii="Leelawadee UI" w:hAnsi="Leelawadee UI" w:eastAsia="Leelawadee UI" w:cs="Leelawadee UI"/>
        </w:rPr>
        <w:t>ហើយពីព្រះហស្តរបស់ទ្រង់</w:t>
      </w:r>
      <w:r>
        <w:rPr>
          <w:rFonts w:ascii="Times New Roman" w:hAnsi="Times New Roman" w:eastAsia="Times New Roman" w:cs="Times New Roman"/>
        </w:rPr>
        <w:t xml:space="preserve"> </w:t>
      </w:r>
      <w:r>
        <w:rPr>
          <w:rFonts w:ascii="Leelawadee UI" w:hAnsi="Leelawadee UI" w:eastAsia="Leelawadee UI" w:cs="Leelawadee UI"/>
        </w:rPr>
        <w:t>មានពន្លឺមួយចែងចាំងរំភើយលើក្រុមអាដវេនទីស្ត</w:t>
      </w:r>
      <w:r>
        <w:rPr>
          <w:rFonts w:ascii="Times New Roman" w:hAnsi="Times New Roman" w:eastAsia="Times New Roman" w:cs="Times New Roman"/>
        </w:rPr>
        <w:t xml:space="preserve"> </w:t>
      </w:r>
      <w:r>
        <w:rPr>
          <w:rFonts w:ascii="Leelawadee UI" w:hAnsi="Leelawadee UI" w:eastAsia="Leelawadee UI" w:cs="Leelawadee UI"/>
        </w:rPr>
        <w:t>ហើយពួកគេក៏ស្រែកឡើងថា</w:t>
      </w:r>
      <w:r>
        <w:rPr>
          <w:rFonts w:ascii="Times New Roman" w:hAnsi="Times New Roman" w:eastAsia="Times New Roman" w:cs="Times New Roman"/>
        </w:rPr>
        <w:t xml:space="preserve"> ‘</w:t>
      </w:r>
      <w:r>
        <w:rPr>
          <w:rFonts w:ascii="Leelawadee UI" w:hAnsi="Leelawadee UI" w:eastAsia="Leelawadee UI" w:cs="Leelawadee UI"/>
        </w:rPr>
        <w:t>អាលេលូយ៉ា</w:t>
      </w:r>
      <w:r>
        <w:rPr>
          <w:rFonts w:ascii="Times New Roman" w:hAnsi="Times New Roman" w:eastAsia="Times New Roman" w:cs="Times New Roman"/>
        </w:rPr>
        <w:t xml:space="preserve">!’ </w:t>
      </w:r>
      <w:r>
        <w:rPr>
          <w:rFonts w:ascii="Leelawadee UI" w:hAnsi="Leelawadee UI" w:eastAsia="Leelawadee UI" w:cs="Leelawadee UI"/>
        </w:rPr>
        <w:t>ឯអ្នកផ្សេងទៀតវិញ</w:t>
      </w:r>
      <w:r>
        <w:rPr>
          <w:rFonts w:ascii="Times New Roman" w:hAnsi="Times New Roman" w:eastAsia="Times New Roman" w:cs="Times New Roman"/>
        </w:rPr>
        <w:t xml:space="preserve"> </w:t>
      </w:r>
      <w:r>
        <w:rPr>
          <w:rFonts w:ascii="Leelawadee UI" w:hAnsi="Leelawadee UI" w:eastAsia="Leelawadee UI" w:cs="Leelawadee UI"/>
        </w:rPr>
        <w:t>បានបដិសេធពន្លឺដែលនៅពីក្រោយពួកគេដោយប្រញាប់ប្រញាល់</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មិនមែនព្រះទេដែលបានដឹកនាំពួកគេចេញមកឆ្ងាយដល់ប៉ុណ្ណេះ។</w:t>
      </w:r>
      <w:r>
        <w:rPr>
          <w:rFonts w:ascii="Times New Roman" w:hAnsi="Times New Roman" w:eastAsia="Times New Roman" w:cs="Times New Roman"/>
        </w:rPr>
        <w:t xml:space="preserve"> </w:t>
      </w:r>
      <w:r>
        <w:rPr>
          <w:rFonts w:ascii="Leelawadee UI" w:hAnsi="Leelawadee UI" w:eastAsia="Leelawadee UI" w:cs="Leelawadee UI"/>
        </w:rPr>
        <w:t>ពន្លឺដែលនៅពីក្រោយពួកគេក៏រលត់ទៅ</w:t>
      </w:r>
      <w:r>
        <w:rPr>
          <w:rFonts w:ascii="Times New Roman" w:hAnsi="Times New Roman" w:eastAsia="Times New Roman" w:cs="Times New Roman"/>
        </w:rPr>
        <w:t xml:space="preserve"> </w:t>
      </w:r>
      <w:r>
        <w:rPr>
          <w:rFonts w:ascii="Leelawadee UI" w:hAnsi="Leelawadee UI" w:eastAsia="Leelawadee UI" w:cs="Leelawadee UI"/>
        </w:rPr>
        <w:t>ទុកឲ្យជើងរបស់ពួកគេស្ថិតនៅក្នុងសេចក្តីងងឹតយ៉ាងពេញលេញ</w:t>
      </w:r>
      <w:r>
        <w:rPr>
          <w:rFonts w:ascii="Times New Roman" w:hAnsi="Times New Roman" w:eastAsia="Times New Roman" w:cs="Times New Roman"/>
        </w:rPr>
        <w:t xml:space="preserve"> </w:t>
      </w:r>
      <w:r>
        <w:rPr>
          <w:rFonts w:ascii="Leelawadee UI" w:hAnsi="Leelawadee UI" w:eastAsia="Leelawadee UI" w:cs="Leelawadee UI"/>
        </w:rPr>
        <w:t>ហើយពួកគេក៏ជំពប់</w:t>
      </w:r>
      <w:r>
        <w:rPr>
          <w:rFonts w:ascii="Times New Roman" w:hAnsi="Times New Roman" w:eastAsia="Times New Roman" w:cs="Times New Roman"/>
        </w:rPr>
        <w:t xml:space="preserve"> </w:t>
      </w:r>
      <w:r>
        <w:rPr>
          <w:rFonts w:ascii="Leelawadee UI" w:hAnsi="Leelawadee UI" w:eastAsia="Leelawadee UI" w:cs="Leelawadee UI"/>
        </w:rPr>
        <w:t>បាត់បង់ការមើលឃើញទីសម្គាល់</w:t>
      </w:r>
      <w:r>
        <w:rPr>
          <w:rFonts w:ascii="Times New Roman" w:hAnsi="Times New Roman" w:eastAsia="Times New Roman" w:cs="Times New Roman"/>
        </w:rPr>
        <w:t xml:space="preserve"> </w:t>
      </w:r>
      <w:r>
        <w:rPr>
          <w:rFonts w:ascii="Leelawadee UI" w:hAnsi="Leelawadee UI" w:eastAsia="Leelawadee UI" w:cs="Leelawadee UI"/>
        </w:rPr>
        <w:t>និងព្រះយេស៊ូវ</w:t>
      </w:r>
      <w:r>
        <w:rPr>
          <w:rFonts w:ascii="Times New Roman" w:hAnsi="Times New Roman" w:eastAsia="Times New Roman" w:cs="Times New Roman"/>
        </w:rPr>
        <w:t xml:space="preserve"> </w:t>
      </w:r>
      <w:r>
        <w:rPr>
          <w:rFonts w:ascii="Leelawadee UI" w:hAnsi="Leelawadee UI" w:eastAsia="Leelawadee UI" w:cs="Leelawadee UI"/>
        </w:rPr>
        <w:t>ហើយធ្លាក់ចេញពីផ្លូវចុះទៅក្នុងលោកិយខាងក្រោម</w:t>
      </w:r>
      <w:r>
        <w:rPr>
          <w:rFonts w:ascii="Times New Roman" w:hAnsi="Times New Roman" w:eastAsia="Times New Roman" w:cs="Times New Roman"/>
        </w:rPr>
        <w:t xml:space="preserve"> </w:t>
      </w:r>
      <w:r>
        <w:rPr>
          <w:rFonts w:ascii="Leelawadee UI" w:hAnsi="Leelawadee UI" w:eastAsia="Leelawadee UI" w:cs="Leelawadee UI"/>
        </w:rPr>
        <w:t>ដែលងងឹត</w:t>
      </w:r>
      <w:r>
        <w:rPr>
          <w:rFonts w:ascii="Times New Roman" w:hAnsi="Times New Roman" w:eastAsia="Times New Roman" w:cs="Times New Roman"/>
        </w:rPr>
        <w:t xml:space="preserve"> </w:t>
      </w:r>
      <w:r>
        <w:rPr>
          <w:rFonts w:ascii="Leelawadee UI" w:hAnsi="Leelawadee UI" w:eastAsia="Leelawadee UI" w:cs="Leelawadee UI"/>
        </w:rPr>
        <w:t>និងអាក្រក់នោះ។</w:t>
      </w:r>
      <w:r>
        <w:rPr>
          <w:rFonts w:ascii="Times New Roman" w:hAnsi="Times New Roman" w:eastAsia="Times New Roman" w:cs="Times New Roman"/>
        </w:rPr>
        <w:t>” Christian Experience and Teachings of Ellen G. White, 57.</w:t>
      </w:r>
    </w:p>
    <w:p>
      <w:pPr>
        <w:pStyle w:val="ArticleBody"/>
        <w:jc w:val="left"/>
      </w:pPr>
      <w:r>
        <w:rPr>
          <w:rFonts w:ascii="Times New Roman" w:hAnsi="Times New Roman" w:eastAsia="Times New Roman" w:cs="Times New Roman"/>
        </w:rPr>
        <w:t>Yalnızca verilecek metni akıcı, doğal ve yayıma uygun ff diline çevirmemi istediniz; ancak “ff” hangi dil olduğunu belirtmiyor. Lütfen hedef dili yazın.</w:t>
      </w:r>
    </w:p>
    <w:p>
      <w:pPr>
        <w:pStyle w:val="ArticleScripture"/>
        <w:jc w:val="left"/>
      </w:pPr>
      <w:r>
        <w:rPr>
          <w:rFonts w:ascii="Times New Roman" w:hAnsi="Times New Roman" w:eastAsia="Times New Roman" w:cs="Times New Roman"/>
        </w:rPr>
        <w:t>Անշուշտ ձեր ամեն բան գլխիվայր շրջելը պիտի համարվի իբրև բրուտի կավը. որովհետև մի՞թե գործը պիտի ասի իրեն ստեղծողին. «Նա ինձ չստեղծեց», կամ մի՞թե կազմավորվածը պիտի ասի իրեն կազմողին. «Նա ըմբռնում չուներ»։ Եսայիա 29:16։</w:t>
      </w:r>
    </w:p>
    <w:p>
      <w:pPr>
        <w:pStyle w:val="ArticleBody"/>
        <w:jc w:val="left"/>
      </w:pPr>
      <w:r>
        <w:rPr>
          <w:rFonts w:ascii="Times New Roman" w:hAnsi="Times New Roman" w:eastAsia="Times New Roman" w:cs="Times New Roman"/>
        </w:rPr>
        <w:t>“Le continuel” est la vérité prophétique qui relie entre eux les quatre versets de Daniel douze, lesquels identifient la distinction entre les méchants et les sages. “Le continuel” est la vérité qui est haïe par ceux qui reçoivent une puissance d’égarement dans 2 Thessaloniciens. “Le continuel” représente le désir des “enfants menteurs” de faire que le Saint d’Israël se retire de devant eux. Et leur châtiment est représenté par le brisement d’un vase de potier, et ce qui en reste est une illustration de la condition perdue des vierges folles; car parmi les morceaux brisés et demeurés de ce vase de potier fracassé, “on ne trouvera pas” “un tesson pour prendre du feu au foyer, ou pour puiser de l’eau de la fosse.”</w:t>
      </w:r>
    </w:p>
    <w:p>
      <w:pPr>
        <w:pStyle w:val="ArticleBody"/>
        <w:jc w:val="left"/>
      </w:pPr>
      <w:r>
        <w:rPr>
          <w:rFonts w:ascii="Times New Roman" w:hAnsi="Times New Roman" w:eastAsia="Times New Roman" w:cs="Times New Roman"/>
        </w:rPr>
        <w:t>“Աստվածային Հոգու” խորհրդանիշներ են թե՛ «կրակը» և թե՛ «ջուրը», ինչպես նաև՝ յուղը տասը կույսերի առակում։ Երբ «Կեսգիշերյան աղաղակը» հանկարծակի հնչի մի ակնթարթում, ինչպես եղավ 1844 թվականի օգոստոսին Էքսեթերի ճամբարային ժողովում, «ստախոս որդիների» համար անհնար կլինի որևէ յուղ (ջուր կամ կրակ) գտնել։ Առաջին հիասթափությունից հետո նրանց կոչ էր արվել «վերադառնալ», ինչպես Երեմիայի պարագայում, բայց նրանք հրաժարվեցին։</w:t>
      </w:r>
    </w:p>
    <w:p>
      <w:pPr>
        <w:pStyle w:val="ArticleScripture"/>
        <w:jc w:val="left"/>
      </w:pPr>
      <w:r>
        <w:rPr>
          <w:rFonts w:ascii="Times New Roman" w:hAnsi="Times New Roman" w:eastAsia="Times New Roman" w:cs="Times New Roman"/>
        </w:rPr>
        <w:t>Kata-kata-Mu didapati, lalu aku memakannya; dan firman-Mu menjadi bagiku sukacita dan kegirangan hatiku, sebab aku dipanggil dengan nama-Mu, ya TUHAN, Allah semesta alam. Aku tidak duduk dalam perkumpulan pencemooh, dan tidak bersukaria; aku duduk seorang diri oleh karena tangan-Mu, sebab Engkau telah memenuhi aku dengan geram. Mengapakah kesakitanku terus-menerus, dan lukaku tidak tersembuhkan, yang enggan disembuhkan? Masakan Engkau sungguh-sungguh menjadi bagiku seperti sungai yang menipu, seperti air yang mengecewakan? Sebab itu beginilah firman TUHAN: Jika engkau kembali, Aku akan mengembalikan engkau, sehingga engkau akan berdiri di hadapan-Ku; dan jika engkau memisahkan yang berharga dari yang hina, engkau akan menjadi seperti mulut-Ku. Biarlah mereka kembali kepadamu, tetapi janganlah engkau kembali kepada mereka. Dan Aku akan membuat engkau terhadap bangsa ini menjadi tembok tembaga yang berkubu; mereka akan memerangi engkau, tetapi tidak akan mengalahkan engkau, sebab Aku menyertai engkau untuk menyelamatkan engkau dan melepaskan engkau, demikianlah firman TUHAN. Dan Aku akan melepaskan engkau dari tangan orang-orang fasik, dan Aku akan menebus engkau dari tangan orang-orang yang ganas. Yeremia 15:16–21.</w:t>
      </w:r>
    </w:p>
    <w:p>
      <w:pPr>
        <w:pStyle w:val="ArticleBody"/>
        <w:jc w:val="left"/>
      </w:pPr>
      <w:r>
        <w:rPr>
          <w:rFonts w:ascii="Nirmala UI" w:hAnsi="Nirmala UI" w:eastAsia="Nirmala UI" w:cs="Nirmala UI"/>
        </w:rPr>
        <w:t>ಯಿರೆಮಿಯನು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ನಿರಾಶೆಯ</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ಹಿಂದಿರುಗಿದವರನ್ನು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ಅಮೂಲ್ಯವಾದುದನ್ನು</w:t>
      </w:r>
      <w:r>
        <w:rPr>
          <w:rFonts w:ascii="Times New Roman" w:hAnsi="Times New Roman" w:eastAsia="Times New Roman" w:cs="Times New Roman"/>
        </w:rPr>
        <w:t xml:space="preserve"> </w:t>
      </w:r>
      <w:r>
        <w:rPr>
          <w:rFonts w:ascii="Nirmala UI" w:hAnsi="Nirmala UI" w:eastAsia="Nirmala UI" w:cs="Nirmala UI"/>
        </w:rPr>
        <w:t>ಅಯೋಗ್ಯವಾದುದರಿಂದ</w:t>
      </w:r>
      <w:r>
        <w:rPr>
          <w:rFonts w:ascii="Times New Roman" w:hAnsi="Times New Roman" w:eastAsia="Times New Roman" w:cs="Times New Roman"/>
        </w:rPr>
        <w:t xml:space="preserve">” </w:t>
      </w:r>
      <w:r>
        <w:rPr>
          <w:rFonts w:ascii="Nirmala UI" w:hAnsi="Nirmala UI" w:eastAsia="Nirmala UI" w:cs="Nirmala UI"/>
        </w:rPr>
        <w:t>ಬೇರ್ಪಡಿಸುವ</w:t>
      </w:r>
      <w:r>
        <w:rPr>
          <w:rFonts w:ascii="Times New Roman" w:hAnsi="Times New Roman" w:eastAsia="Times New Roman" w:cs="Times New Roman"/>
        </w:rPr>
        <w:t xml:space="preserve"> </w:t>
      </w:r>
      <w:r>
        <w:rPr>
          <w:rFonts w:ascii="Nirmala UI" w:hAnsi="Nirmala UI" w:eastAsia="Nirmala UI" w:cs="Nirmala UI"/>
        </w:rPr>
        <w:t>ಕಾರ್ಯದಲ್ಲಿ</w:t>
      </w:r>
      <w:r>
        <w:rPr>
          <w:rFonts w:ascii="Times New Roman" w:hAnsi="Times New Roman" w:eastAsia="Times New Roman" w:cs="Times New Roman"/>
        </w:rPr>
        <w:t xml:space="preserve"> </w:t>
      </w:r>
      <w:r>
        <w:rPr>
          <w:rFonts w:ascii="Nirmala UI" w:hAnsi="Nirmala UI" w:eastAsia="Nirmala UI" w:cs="Nirmala UI"/>
        </w:rPr>
        <w:t>ಪ್ರವೇಶಿಸಿದವರು</w:t>
      </w:r>
      <w:r>
        <w:rPr>
          <w:rFonts w:ascii="Times New Roman" w:hAnsi="Times New Roman" w:eastAsia="Times New Roman" w:cs="Times New Roman"/>
        </w:rPr>
        <w:t xml:space="preserve">, </w:t>
      </w:r>
      <w:r>
        <w:rPr>
          <w:rFonts w:ascii="Nirmala UI" w:hAnsi="Nirmala UI" w:eastAsia="Nirmala UI" w:cs="Nirmala UI"/>
        </w:rPr>
        <w:t>ಇದರಿಂದ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ಸನ್ನಿಧಿಯಲ್ಲಿ</w:t>
      </w:r>
      <w:r>
        <w:rPr>
          <w:rFonts w:ascii="Times New Roman" w:hAnsi="Times New Roman" w:eastAsia="Times New Roman" w:cs="Times New Roman"/>
        </w:rPr>
        <w:t xml:space="preserve"> </w:t>
      </w:r>
      <w:r>
        <w:rPr>
          <w:rFonts w:ascii="Nirmala UI" w:hAnsi="Nirmala UI" w:eastAsia="Nirmala UI" w:cs="Nirmala UI"/>
        </w:rPr>
        <w:t>ನಿಲ್ಲಲು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ಬಾಯಿಯಂತೆ</w:t>
      </w:r>
      <w:r>
        <w:rPr>
          <w:rFonts w:ascii="Times New Roman" w:hAnsi="Times New Roman" w:eastAsia="Times New Roman" w:cs="Times New Roman"/>
        </w:rPr>
        <w:t xml:space="preserve">” </w:t>
      </w:r>
      <w:r>
        <w:rPr>
          <w:rFonts w:ascii="Nirmala UI" w:hAnsi="Nirmala UI" w:eastAsia="Nirmala UI" w:cs="Nirmala UI"/>
        </w:rPr>
        <w:t>ಇರಲು</w:t>
      </w:r>
      <w:r>
        <w:rPr>
          <w:rFonts w:ascii="Times New Roman" w:hAnsi="Times New Roman" w:eastAsia="Times New Roman" w:cs="Times New Roman"/>
        </w:rPr>
        <w:t xml:space="preserve"> </w:t>
      </w:r>
      <w:r>
        <w:rPr>
          <w:rFonts w:ascii="Nirmala UI" w:hAnsi="Nirmala UI" w:eastAsia="Nirmala UI" w:cs="Nirmala UI"/>
        </w:rPr>
        <w:t>ಸಾಧ್ಯವಾಗುತ್ತದೆ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ಅಧ್ಯಾಯದಲ್ಲಿರುವ</w:t>
      </w:r>
      <w:r>
        <w:rPr>
          <w:rFonts w:ascii="Times New Roman" w:hAnsi="Times New Roman" w:eastAsia="Times New Roman" w:cs="Times New Roman"/>
        </w:rPr>
        <w:t xml:space="preserve"> </w:t>
      </w:r>
      <w:r>
        <w:rPr>
          <w:rFonts w:ascii="Nirmala UI" w:hAnsi="Nirmala UI" w:eastAsia="Nirmala UI" w:cs="Nirmala UI"/>
        </w:rPr>
        <w:t>ದಾನಿಯೇಲನಿಂದ</w:t>
      </w:r>
      <w:r>
        <w:rPr>
          <w:rFonts w:ascii="Times New Roman" w:hAnsi="Times New Roman" w:eastAsia="Times New Roman" w:cs="Times New Roman"/>
        </w:rPr>
        <w:t xml:space="preserve"> </w:t>
      </w:r>
      <w:r>
        <w:rPr>
          <w:rFonts w:ascii="Nirmala UI" w:hAnsi="Nirmala UI" w:eastAsia="Nirmala UI" w:cs="Nirmala UI"/>
        </w:rPr>
        <w:t>ಪ್ರತಿನಿಧಿಸಲ್ಪಟ್ಟವರೇ</w:t>
      </w:r>
      <w:r>
        <w:rPr>
          <w:rFonts w:ascii="Times New Roman" w:hAnsi="Times New Roman" w:eastAsia="Times New Roman" w:cs="Times New Roman"/>
        </w:rPr>
        <w:t xml:space="preserve"> </w:t>
      </w:r>
      <w:r>
        <w:rPr>
          <w:rFonts w:ascii="Nirmala UI" w:hAnsi="Nirmala UI" w:eastAsia="Nirmala UI" w:cs="Nirmala UI"/>
        </w:rPr>
        <w:t>ಆಗಿದ್ದಾರೆ</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ಚದರಿಸಿಕೊಂಡ</w:t>
      </w:r>
      <w:r>
        <w:rPr>
          <w:rFonts w:ascii="Times New Roman" w:hAnsi="Times New Roman" w:eastAsia="Times New Roman" w:cs="Times New Roman"/>
        </w:rPr>
        <w:t xml:space="preserve"> </w:t>
      </w:r>
      <w:r>
        <w:rPr>
          <w:rFonts w:ascii="Nirmala UI" w:hAnsi="Nirmala UI" w:eastAsia="Nirmala UI" w:cs="Nirmala UI"/>
        </w:rPr>
        <w:t>ಸ್ಥಿತಿಯನ್ನು</w:t>
      </w:r>
      <w:r>
        <w:rPr>
          <w:rFonts w:ascii="Times New Roman" w:hAnsi="Times New Roman" w:eastAsia="Times New Roman" w:cs="Times New Roman"/>
        </w:rPr>
        <w:t xml:space="preserve"> </w:t>
      </w:r>
      <w:r>
        <w:rPr>
          <w:rFonts w:ascii="Nirmala UI" w:hAnsi="Nirmala UI" w:eastAsia="Nirmala UI" w:cs="Nirmala UI"/>
        </w:rPr>
        <w:t>ಅರಿತು</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ಪ್ರಾರ್ಥನೆಯನ್ನು</w:t>
      </w:r>
      <w:r>
        <w:rPr>
          <w:rFonts w:ascii="Times New Roman" w:hAnsi="Times New Roman" w:eastAsia="Times New Roman" w:cs="Times New Roman"/>
        </w:rPr>
        <w:t xml:space="preserve"> </w:t>
      </w:r>
      <w:r>
        <w:rPr>
          <w:rFonts w:ascii="Nirmala UI" w:hAnsi="Nirmala UI" w:eastAsia="Nirmala UI" w:cs="Nirmala UI"/>
        </w:rPr>
        <w:t>ಮಾಡುತ್ತಾರೆ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w:t>
      </w:r>
      <w:r>
        <w:rPr>
          <w:rFonts w:ascii="Nirmala UI" w:hAnsi="Nirmala UI" w:eastAsia="Nirmala UI" w:cs="Nirmala UI"/>
        </w:rPr>
        <w:t>ಯಿರೆಮಿಯ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ಹಬಕ್ಕೂಕನ</w:t>
      </w:r>
      <w:r>
        <w:rPr>
          <w:rFonts w:ascii="Times New Roman" w:hAnsi="Times New Roman" w:eastAsia="Times New Roman" w:cs="Times New Roman"/>
        </w:rPr>
        <w:t xml:space="preserve"> </w:t>
      </w:r>
      <w:r>
        <w:rPr>
          <w:rFonts w:ascii="Nirmala UI" w:hAnsi="Nirmala UI" w:eastAsia="Nirmala UI" w:cs="Nirmala UI"/>
        </w:rPr>
        <w:t>ಕಾವಲಿಗರಿಂದ</w:t>
      </w:r>
      <w:r>
        <w:rPr>
          <w:rFonts w:ascii="Times New Roman" w:hAnsi="Times New Roman" w:eastAsia="Times New Roman" w:cs="Times New Roman"/>
        </w:rPr>
        <w:t xml:space="preserve"> </w:t>
      </w:r>
      <w:r>
        <w:rPr>
          <w:rFonts w:ascii="Nirmala UI" w:hAnsi="Nirmala UI" w:eastAsia="Nirmala UI" w:cs="Nirmala UI"/>
        </w:rPr>
        <w:t>ಪ್ರತಿನಿಧಿಸಲ್ಪಟ್ಟವರೇ</w:t>
      </w:r>
      <w:r>
        <w:rPr>
          <w:rFonts w:ascii="Times New Roman" w:hAnsi="Times New Roman" w:eastAsia="Times New Roman" w:cs="Times New Roman"/>
        </w:rPr>
        <w:t xml:space="preserve"> </w:t>
      </w:r>
      <w:r>
        <w:rPr>
          <w:rFonts w:ascii="Nirmala UI" w:hAnsi="Nirmala UI" w:eastAsia="Nirmala UI" w:cs="Nirmala UI"/>
        </w:rPr>
        <w:t>ಆಗಿದ್ದಾರೆ</w:t>
      </w:r>
      <w:r>
        <w:rPr>
          <w:rFonts w:ascii="Times New Roman" w:hAnsi="Times New Roman" w:eastAsia="Times New Roman" w:cs="Times New Roman"/>
        </w:rPr>
        <w:t xml:space="preserve">; </w:t>
      </w:r>
      <w:r>
        <w:rPr>
          <w:rFonts w:ascii="Nirmala UI" w:hAnsi="Nirmala UI" w:eastAsia="Nirmala UI" w:cs="Nirmala UI"/>
        </w:rPr>
        <w:t>ಇವರು</w:t>
      </w:r>
      <w:r>
        <w:rPr>
          <w:rFonts w:ascii="Times New Roman" w:hAnsi="Times New Roman" w:eastAsia="Times New Roman" w:cs="Times New Roman"/>
        </w:rPr>
        <w:t xml:space="preserve"> “</w:t>
      </w:r>
      <w:r>
        <w:rPr>
          <w:rFonts w:ascii="Nirmala UI" w:hAnsi="Nirmala UI" w:eastAsia="Nirmala UI" w:cs="Nirmala UI"/>
        </w:rPr>
        <w:t>ಸುಳ್ಳಾಡುವ</w:t>
      </w:r>
      <w:r>
        <w:rPr>
          <w:rFonts w:ascii="Times New Roman" w:hAnsi="Times New Roman" w:eastAsia="Times New Roman" w:cs="Times New Roman"/>
        </w:rPr>
        <w:t xml:space="preserve"> </w:t>
      </w:r>
      <w:r>
        <w:rPr>
          <w:rFonts w:ascii="Nirmala UI" w:hAnsi="Nirmala UI" w:eastAsia="Nirmala UI" w:cs="Nirmala UI"/>
        </w:rPr>
        <w:t>ಮಕ್ಕಳಿಗೆ</w:t>
      </w:r>
      <w:r>
        <w:rPr>
          <w:rFonts w:ascii="Times New Roman" w:hAnsi="Times New Roman" w:eastAsia="Times New Roman" w:cs="Times New Roman"/>
        </w:rPr>
        <w:t xml:space="preserve">” </w:t>
      </w:r>
      <w:r>
        <w:rPr>
          <w:rFonts w:ascii="Nirmala UI" w:hAnsi="Nirmala UI" w:eastAsia="Nirmala UI" w:cs="Nirmala UI"/>
        </w:rPr>
        <w:t>ವಿರುದ್ಧವಾಗಿ</w:t>
      </w:r>
      <w:r>
        <w:rPr>
          <w:rFonts w:ascii="Times New Roman" w:hAnsi="Times New Roman" w:eastAsia="Times New Roman" w:cs="Times New Roman"/>
        </w:rPr>
        <w:t xml:space="preserve"> </w:t>
      </w:r>
      <w:r>
        <w:rPr>
          <w:rFonts w:ascii="Nirmala UI" w:hAnsi="Nirmala UI" w:eastAsia="Nirmala UI" w:cs="Nirmala UI"/>
        </w:rPr>
        <w:t>ನಿಲ್ಲಿಸಲ್ಪಟ್ಟಿದ್ದಾರೆ</w:t>
      </w:r>
      <w:r>
        <w:rPr>
          <w:rFonts w:ascii="Times New Roman" w:hAnsi="Times New Roman" w:eastAsia="Times New Roman" w:cs="Times New Roman"/>
        </w:rPr>
        <w:t>. “</w:t>
      </w:r>
      <w:r>
        <w:rPr>
          <w:rFonts w:ascii="Nirmala UI" w:hAnsi="Nirmala UI" w:eastAsia="Nirmala UI" w:cs="Nirmala UI"/>
        </w:rPr>
        <w:t>ಸುಳ್ಳಾಡುವ</w:t>
      </w:r>
      <w:r>
        <w:rPr>
          <w:rFonts w:ascii="Times New Roman" w:hAnsi="Times New Roman" w:eastAsia="Times New Roman" w:cs="Times New Roman"/>
        </w:rPr>
        <w:t xml:space="preserve"> </w:t>
      </w:r>
      <w:r>
        <w:rPr>
          <w:rFonts w:ascii="Nirmala UI" w:hAnsi="Nirmala UI" w:eastAsia="Nirmala UI" w:cs="Nirmala UI"/>
        </w:rPr>
        <w:t>ಮಕ್ಕಳನ್ನು</w:t>
      </w:r>
      <w:r>
        <w:rPr>
          <w:rFonts w:ascii="Times New Roman" w:hAnsi="Times New Roman" w:eastAsia="Times New Roman" w:cs="Times New Roman"/>
        </w:rPr>
        <w:t>”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ಪರಿಶುದ್ಧನು</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ಮಾತುಗಳನ್ನು</w:t>
      </w:r>
      <w:r>
        <w:rPr>
          <w:rFonts w:ascii="Times New Roman" w:hAnsi="Times New Roman" w:eastAsia="Times New Roman" w:cs="Times New Roman"/>
        </w:rPr>
        <w:t xml:space="preserve"> </w:t>
      </w:r>
      <w:r>
        <w:rPr>
          <w:rFonts w:ascii="Nirmala UI" w:hAnsi="Nirmala UI" w:eastAsia="Nirmala UI" w:cs="Nirmala UI"/>
        </w:rPr>
        <w:t>ಹೇಳಿದಾಗಲೂ</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ಕರೆದನು</w:t>
      </w:r>
      <w:r>
        <w:rPr>
          <w:rFonts w:ascii="Times New Roman" w:hAnsi="Times New Roman" w:eastAsia="Times New Roman" w:cs="Times New Roman"/>
        </w:rPr>
        <w:t>: “</w:t>
      </w:r>
      <w:r>
        <w:rPr>
          <w:rFonts w:ascii="Nirmala UI" w:hAnsi="Nirmala UI" w:eastAsia="Nirmala UI" w:cs="Nirmala UI"/>
        </w:rPr>
        <w:t>ಹಿಂತಿರುಗುವದಲ್ಲಿಯೂ</w:t>
      </w:r>
      <w:r>
        <w:rPr>
          <w:rFonts w:ascii="Times New Roman" w:hAnsi="Times New Roman" w:eastAsia="Times New Roman" w:cs="Times New Roman"/>
        </w:rPr>
        <w:t xml:space="preserve"> </w:t>
      </w:r>
      <w:r>
        <w:rPr>
          <w:rFonts w:ascii="Nirmala UI" w:hAnsi="Nirmala UI" w:eastAsia="Nirmala UI" w:cs="Nirmala UI"/>
        </w:rPr>
        <w:t>ವಿಶ್ರಾಂತಿಯಲ್ಲಿ</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ರಕ್ಷಣೆ</w:t>
      </w:r>
      <w:r>
        <w:rPr>
          <w:rFonts w:ascii="Times New Roman" w:hAnsi="Times New Roman" w:eastAsia="Times New Roman" w:cs="Times New Roman"/>
        </w:rPr>
        <w:t xml:space="preserve"> </w:t>
      </w:r>
      <w:r>
        <w:rPr>
          <w:rFonts w:ascii="Nirmala UI" w:hAnsi="Nirmala UI" w:eastAsia="Nirmala UI" w:cs="Nirmala UI"/>
        </w:rPr>
        <w:t>ಉಂಟಾಗುವುದು</w:t>
      </w:r>
      <w:r>
        <w:rPr>
          <w:rFonts w:ascii="Times New Roman" w:hAnsi="Times New Roman" w:eastAsia="Times New Roman" w:cs="Times New Roman"/>
        </w:rPr>
        <w:t xml:space="preserve">; </w:t>
      </w:r>
      <w:r>
        <w:rPr>
          <w:rFonts w:ascii="Nirmala UI" w:hAnsi="Nirmala UI" w:eastAsia="Nirmala UI" w:cs="Nirmala UI"/>
        </w:rPr>
        <w:t>ಶಾಂತತೆಯಲ್ಲಿಯೂ</w:t>
      </w:r>
      <w:r>
        <w:rPr>
          <w:rFonts w:ascii="Times New Roman" w:hAnsi="Times New Roman" w:eastAsia="Times New Roman" w:cs="Times New Roman"/>
        </w:rPr>
        <w:t xml:space="preserve"> </w:t>
      </w:r>
      <w:r>
        <w:rPr>
          <w:rFonts w:ascii="Nirmala UI" w:hAnsi="Nirmala UI" w:eastAsia="Nirmala UI" w:cs="Nirmala UI"/>
        </w:rPr>
        <w:t>ಭರವಸೆಯಲ್ಲಿಯೂ</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ಬಲವಿರುವುದು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ಒಪ್ಪಲಿಲ್ಲ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Milera dārgakmeņi ir patiesības, kas attēlotas uz Habakuka plāksnēm un kas ataino Pusnakts sauciena vēsts pārbaudi, kura rada divas pielūdzēju šķiras. Dumpja simbols, kas izpaužas pret šiem dārgakmeņiem, ir “ikdienas”. Milers savā izpratnē par “ikdienas” bija pareizs, taču viņa izpratni ierobežoja vēsture, kurā viņš dzīvoja, un dārgakmeņi, kurus viņš bija aicināts nolikt uz galda savas istabas vidū, tagad spīd desmitkārt spožāk nekā tad, kad Milers tos pirmoreiz nolika uz sava galda. Tie tagad atrodas lādītē, kas ir lielāka, jo šī lādīte tagad attēlo ne vien Bībeli, kā tas bija Milera laikā, bet tagad tā attēlo gan Bībeli, gan Pravietojuma Garu.</w:t>
      </w:r>
    </w:p>
    <w:p>
      <w:pPr>
        <w:pStyle w:val="ArticleBody"/>
        <w:jc w:val="left"/>
      </w:pPr>
      <w:r>
        <w:rPr>
          <w:rFonts w:ascii="Times New Roman" w:hAnsi="Times New Roman" w:eastAsia="Times New Roman" w:cs="Times New Roman"/>
        </w:rPr>
        <w:t>Kae, iir duu marag serɛñ yi a dii mooy jur njàng mi nuy nattu ci mujjugi fan yi, te itam iir duu marag serɛñ yi a nekk benn xeetu bërebu mag ci mujjugi fan yi. Miller gis na xare ba, ndax ci ay géntam dañu jël saaru ndeyam (Biibël bi), te dagg ko. Yowaana, miy tegtal “ñi xam-xam yi” ci mujjugi fan yi, “nekkoon na ci dunu bi ñuy wax Patmos, ndax Kàddug Yàlla ak seedey Yeesu Kirist.” Yowaana dafa doon ñu koy fitnaal ndax gëm na yégle bu aju ci ñaar-ñi: Biibël bi ak mbind yi mu Ellen White.</w:t>
      </w:r>
    </w:p>
    <w:p>
      <w:pPr>
        <w:pStyle w:val="ArticleBody"/>
        <w:jc w:val="left"/>
      </w:pPr>
      <w:r>
        <w:rPr>
          <w:rFonts w:ascii="Times New Roman" w:hAnsi="Times New Roman" w:eastAsia="Times New Roman" w:cs="Times New Roman"/>
        </w:rPr>
        <w:t>Nous poursuivrons, dans le prochain article, l’examen des vérités représentées par la vision du fleuve d’Ulai, qui fut descellée en 1798.</w:t>
      </w:r>
    </w:p>
    <w:p>
      <w:pPr>
        <w:pStyle w:val="ArticleScripture"/>
        <w:jc w:val="left"/>
      </w:pPr>
      <w:r>
        <w:rPr>
          <w:rFonts w:ascii="Times New Roman" w:hAnsi="Times New Roman" w:eastAsia="Times New Roman" w:cs="Times New Roman"/>
        </w:rPr>
        <w:t>« Nous n’avons rien à craindre pour l’avenir, sinon d’oublier la manière dont le Seigneur nous a conduits, ainsi que son enseignement dans notre histoire passée. »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quarante-neuf</dc:title>
  <dc:subject>Nigerian Pidgin: The Midnight Cry, Islam in Role, and the Final Testing Process for the Last Days</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