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Katabu cha Danieli - Namba Hamsini</w:t>
      </w:r>
    </w:p>
    <w:p>
      <w:pPr>
        <w:pStyle w:val="ArticleSubtitle"/>
        <w:jc w:val="left"/>
      </w:pPr>
      <w:r>
        <w:rPr>
          <w:rFonts w:ascii="Arial" w:hAnsi="Arial" w:eastAsia="Arial" w:cs="Arial"/>
        </w:rPr>
        <w:t>Dévoiler les mystères prophétiques de Daniel 8 : la révélation de Palmoni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Trong chương tám của Đa-ni-ên, ông được ban cho một khải tượng về các vương quốc trong lời tiên tri của Kinh Thánh, và sau đó ông nghe một cuộc đối thoại trên trời được biểu đạt qua một câu hỏi và một câu trả lời.</w:t>
      </w:r>
    </w:p>
    <w:p>
      <w:pPr>
        <w:pStyle w:val="ArticleScripture"/>
        <w:jc w:val="left"/>
      </w:pPr>
      <w:r>
        <w:rPr>
          <w:rFonts w:ascii="Times New Roman" w:hAnsi="Times New Roman" w:eastAsia="Times New Roman" w:cs="Times New Roman"/>
        </w:rPr>
        <w:t>Puis j’entendis un saint qui parlait; et un autre saint dit à celui qui parlait: Jusqu’à quand s’accomplira la vision concernant le sacrifice perpétuel et le péché dévastateur, qui livre à la fois le sanctuaire et l’armée pour être foulés aux pieds? Et il me dit: Pendant deux mille trois cents jours; puis le sanctuaire sera purifié. Daniel 8:13, 14.</w:t>
      </w:r>
    </w:p>
    <w:p>
      <w:pPr>
        <w:pStyle w:val="ArticleBody"/>
        <w:jc w:val="left"/>
      </w:pPr>
      <w:r>
        <w:rPr>
          <w:rFonts w:ascii="Times New Roman" w:hAnsi="Times New Roman" w:eastAsia="Times New Roman" w:cs="Times New Roman"/>
        </w:rPr>
        <w:t>Les douze premiers versets représentent la vision, et les versets treize et quatorze désignent une autre vision. De même qu’il existe, au chapitre huit de Daniel, deux mots hébreux différents tous deux traduits par « ôter », ainsi que deux mots hébreux différents tous deux traduits par « sanctuaire », il s’y trouve également deux mots hébreux différents, tous deux traduits par « vision ».</w:t>
      </w:r>
    </w:p>
    <w:p>
      <w:pPr>
        <w:pStyle w:val="ArticleBody"/>
        <w:jc w:val="left"/>
      </w:pPr>
      <w:r>
        <w:rPr>
          <w:rFonts w:ascii="Times New Roman" w:hAnsi="Times New Roman" w:eastAsia="Times New Roman" w:cs="Times New Roman"/>
        </w:rPr>
        <w:t>مذہبِ ایڈونٹزم کے الٰہیات دان جہاں ان دو الفاظ کا تعلق ہے جن کا ترجمہ “لے جانا” کیا گیا ہے، یہ استدلال کرتے ہیں کہ دونوں الفاظ کو “دور کرنا” کے معنی میں سمجھا جانا چاہیے۔ اور جہاں ان دو الفاظ کا تعلق ہے جن کا ترجمہ “مقدِس” کیا گیا ہے، ایڈونٹزم کے الٰہیات دان یہ استدلال کرتے ہیں کہ دونوں الفاظ کو “خدا کا مقدِس” سمجھا جانا چاہیے، اور جہاں ان دو الفاظ کا تعلق ہے جن کا ترجمہ “رؤیا” کیا گیا ہے، ایڈونٹزم کے الٰہیات دان، ایک بار پھر، ان دونوں الفاظ کے مابین امتیازات کو نظر انداز کر دیتے ہیں۔ یہ امتیاز دانی ایل کے لیے اس قدر اہم تھا کہ اُس نے قصداً عبرانی کے دو نہایت مختلف الفاظ استعمال کیے؛ لہٰذا ہمیں اس امتیاز کو پہچاننا اور برقرار رکھنا چاہیے۔ آیت تیرہ میں “رؤیا” کے لیے جو لفظ آیا ہے، وہ عبرانی لفظ “chazon” ہے، اور اس کے معنی خواب، مکاشفہ، یا وحی—یعنی ایک رؤیا—کے ہیں۔</w:t>
      </w:r>
    </w:p>
    <w:p>
      <w:pPr>
        <w:pStyle w:val="ArticleBody"/>
        <w:jc w:val="left"/>
      </w:pPr>
      <w:r>
        <w:rPr>
          <w:rFonts w:ascii="Times New Roman" w:hAnsi="Times New Roman" w:eastAsia="Times New Roman" w:cs="Times New Roman"/>
        </w:rPr>
        <w:t>Sozi “vision,” i hia mipat i kawng paruklo Daniel bung 8-ah a lang a, mahse a entîr chu Hebrai ṭawng thumal hrang hrang pahnih a ni. “Chazon,” chu châng 13-ah a awm a, châng 1-ah pawh a awm bawk; châng 2-ah vawi hnih a awm leh; châng 13-a ni ang hian, châng 15, 17 leh 26-ah pawh vawi khat theuh a awm. Daniel bung 8-ah sozi “vision” a lo lang vawi sâwm zinga vawi sarih chu “chazon” a ni a, a awmzia tlangpui chu “inlârna” tihna mai a ni.</w:t>
      </w:r>
    </w:p>
    <w:p>
      <w:pPr>
        <w:pStyle w:val="ArticleBody"/>
        <w:jc w:val="left"/>
      </w:pPr>
      <w:r>
        <w:rPr>
          <w:rFonts w:ascii="Leelawadee UI" w:hAnsi="Leelawadee UI" w:eastAsia="Leelawadee UI" w:cs="Leelawadee UI"/>
        </w:rPr>
        <w:t>សម្រាប់បីដងផ្សេងទៀតដែលពាក្យ</w:t>
      </w:r>
      <w:r>
        <w:rPr>
          <w:rFonts w:ascii="Times New Roman" w:hAnsi="Times New Roman" w:eastAsia="Times New Roman" w:cs="Times New Roman"/>
        </w:rPr>
        <w:t xml:space="preserve"> «</w:t>
      </w:r>
      <w:r>
        <w:rPr>
          <w:rFonts w:ascii="Leelawadee UI" w:hAnsi="Leelawadee UI" w:eastAsia="Leelawadee UI" w:cs="Leelawadee UI"/>
        </w:rPr>
        <w:t>និមិត្ត</w:t>
      </w:r>
      <w:r>
        <w:rPr>
          <w:rFonts w:ascii="Times New Roman" w:hAnsi="Times New Roman" w:eastAsia="Times New Roman" w:cs="Times New Roman"/>
        </w:rPr>
        <w:t xml:space="preserve">» </w:t>
      </w:r>
      <w:r>
        <w:rPr>
          <w:rFonts w:ascii="Leelawadee UI" w:hAnsi="Leelawadee UI" w:eastAsia="Leelawadee UI" w:cs="Leelawadee UI"/>
        </w:rPr>
        <w:t>លេចឡើងក្នុងដានីយ៉ែល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៨</w:t>
      </w:r>
      <w:r>
        <w:rPr>
          <w:rFonts w:ascii="Times New Roman" w:hAnsi="Times New Roman" w:eastAsia="Times New Roman" w:cs="Times New Roman"/>
        </w:rPr>
        <w:t xml:space="preserve"> </w:t>
      </w:r>
      <w:r>
        <w:rPr>
          <w:rFonts w:ascii="Leelawadee UI" w:hAnsi="Leelawadee UI" w:eastAsia="Leelawadee UI" w:cs="Leelawadee UI"/>
        </w:rPr>
        <w:t>វាជាពាក្យភាសាហេប្រឺ</w:t>
      </w:r>
      <w:r>
        <w:rPr>
          <w:rFonts w:ascii="Times New Roman" w:hAnsi="Times New Roman" w:eastAsia="Times New Roman" w:cs="Times New Roman"/>
        </w:rPr>
        <w:t xml:space="preserve"> «mareh» </w:t>
      </w:r>
      <w:r>
        <w:rPr>
          <w:rFonts w:ascii="Leelawadee UI" w:hAnsi="Leelawadee UI" w:eastAsia="Leelawadee UI" w:cs="Leelawadee UI"/>
        </w:rPr>
        <w:t>ដែលមានន័យថា</w:t>
      </w:r>
      <w:r>
        <w:rPr>
          <w:rFonts w:ascii="Times New Roman" w:hAnsi="Times New Roman" w:eastAsia="Times New Roman" w:cs="Times New Roman"/>
        </w:rPr>
        <w:t xml:space="preserve"> </w:t>
      </w:r>
      <w:r>
        <w:rPr>
          <w:rFonts w:ascii="Leelawadee UI" w:hAnsi="Leelawadee UI" w:eastAsia="Leelawadee UI" w:cs="Leelawadee UI"/>
        </w:rPr>
        <w:t>ការមើលឃើញមួយ</w:t>
      </w:r>
      <w:r>
        <w:rPr>
          <w:rFonts w:ascii="Times New Roman" w:hAnsi="Times New Roman" w:eastAsia="Times New Roman" w:cs="Times New Roman"/>
        </w:rPr>
        <w:t xml:space="preserve"> </w:t>
      </w:r>
      <w:r>
        <w:rPr>
          <w:rFonts w:ascii="Leelawadee UI" w:hAnsi="Leelawadee UI" w:eastAsia="Leelawadee UI" w:cs="Leelawadee UI"/>
        </w:rPr>
        <w:t>ឬការបង្ហាញខ្លួនមួយ។</w:t>
      </w:r>
      <w:r>
        <w:rPr>
          <w:rFonts w:ascii="Times New Roman" w:hAnsi="Times New Roman" w:eastAsia="Times New Roman" w:cs="Times New Roman"/>
        </w:rPr>
        <w:t xml:space="preserve"> </w:t>
      </w:r>
      <w:r>
        <w:rPr>
          <w:rFonts w:ascii="Leelawadee UI" w:hAnsi="Leelawadee UI" w:eastAsia="Leelawadee UI" w:cs="Leelawadee UI"/>
        </w:rPr>
        <w:t>ក្នុងជំពូក</w:t>
      </w:r>
      <w:r>
        <w:rPr>
          <w:rFonts w:ascii="Times New Roman" w:hAnsi="Times New Roman" w:eastAsia="Times New Roman" w:cs="Times New Roman"/>
        </w:rPr>
        <w:t xml:space="preserve"> </w:t>
      </w:r>
      <w:r>
        <w:rPr>
          <w:rFonts w:ascii="Leelawadee UI" w:hAnsi="Leelawadee UI" w:eastAsia="Leelawadee UI" w:cs="Leelawadee UI"/>
        </w:rPr>
        <w:t>៨</w:t>
      </w:r>
      <w:r>
        <w:rPr>
          <w:rFonts w:ascii="Times New Roman" w:hAnsi="Times New Roman" w:eastAsia="Times New Roman" w:cs="Times New Roman"/>
        </w:rPr>
        <w:t xml:space="preserve"> </w:t>
      </w:r>
      <w:r>
        <w:rPr>
          <w:rFonts w:ascii="Leelawadee UI" w:hAnsi="Leelawadee UI" w:eastAsia="Leelawadee UI" w:cs="Leelawadee UI"/>
        </w:rPr>
        <w:t>ពាក្យភាសាហេប្រឺ</w:t>
      </w:r>
      <w:r>
        <w:rPr>
          <w:rFonts w:ascii="Times New Roman" w:hAnsi="Times New Roman" w:eastAsia="Times New Roman" w:cs="Times New Roman"/>
        </w:rPr>
        <w:t xml:space="preserve"> «mareh» </w:t>
      </w:r>
      <w:r>
        <w:rPr>
          <w:rFonts w:ascii="Leelawadee UI" w:hAnsi="Leelawadee UI" w:eastAsia="Leelawadee UI" w:cs="Leelawadee UI"/>
        </w:rPr>
        <w:t>ក៏ត្រូវបានបកប្រែម្តងមួយដែរ</w:t>
      </w:r>
      <w:r>
        <w:rPr>
          <w:rFonts w:ascii="Times New Roman" w:hAnsi="Times New Roman" w:eastAsia="Times New Roman" w:cs="Times New Roman"/>
        </w:rPr>
        <w:t xml:space="preserve"> </w:t>
      </w:r>
      <w:r>
        <w:rPr>
          <w:rFonts w:ascii="Leelawadee UI" w:hAnsi="Leelawadee UI" w:eastAsia="Leelawadee UI" w:cs="Leelawadee UI"/>
        </w:rPr>
        <w:t>មិនមែនជា</w:t>
      </w:r>
      <w:r>
        <w:rPr>
          <w:rFonts w:ascii="Times New Roman" w:hAnsi="Times New Roman" w:eastAsia="Times New Roman" w:cs="Times New Roman"/>
        </w:rPr>
        <w:t xml:space="preserve"> «</w:t>
      </w:r>
      <w:r>
        <w:rPr>
          <w:rFonts w:ascii="Leelawadee UI" w:hAnsi="Leelawadee UI" w:eastAsia="Leelawadee UI" w:cs="Leelawadee UI"/>
        </w:rPr>
        <w:t>និមិត្ត</w:t>
      </w:r>
      <w:r>
        <w:rPr>
          <w:rFonts w:ascii="Times New Roman" w:hAnsi="Times New Roman" w:eastAsia="Times New Roman" w:cs="Times New Roman"/>
        </w:rPr>
        <w:t xml:space="preserve">» </w:t>
      </w:r>
      <w:r>
        <w:rPr>
          <w:rFonts w:ascii="Leelawadee UI" w:hAnsi="Leelawadee UI" w:eastAsia="Leelawadee UI" w:cs="Leelawadee UI"/>
        </w:rPr>
        <w:t>ទេ</w:t>
      </w:r>
      <w:r>
        <w:rPr>
          <w:rFonts w:ascii="Times New Roman" w:hAnsi="Times New Roman" w:eastAsia="Times New Roman" w:cs="Times New Roman"/>
        </w:rPr>
        <w:t xml:space="preserve"> </w:t>
      </w:r>
      <w:r>
        <w:rPr>
          <w:rFonts w:ascii="Leelawadee UI" w:hAnsi="Leelawadee UI" w:eastAsia="Leelawadee UI" w:cs="Leelawadee UI"/>
        </w:rPr>
        <w:t>ប៉ុន្តែជា</w:t>
      </w:r>
      <w:r>
        <w:rPr>
          <w:rFonts w:ascii="Times New Roman" w:hAnsi="Times New Roman" w:eastAsia="Times New Roman" w:cs="Times New Roman"/>
        </w:rPr>
        <w:t xml:space="preserve"> «</w:t>
      </w:r>
      <w:r>
        <w:rPr>
          <w:rFonts w:ascii="Leelawadee UI" w:hAnsi="Leelawadee UI" w:eastAsia="Leelawadee UI" w:cs="Leelawadee UI"/>
        </w:rPr>
        <w:t>ការបង្ហាញខ្លួន</w:t>
      </w:r>
      <w:r>
        <w:rPr>
          <w:rFonts w:ascii="Times New Roman" w:hAnsi="Times New Roman" w:eastAsia="Times New Roman" w:cs="Times New Roman"/>
        </w:rPr>
        <w:t xml:space="preserve">» </w:t>
      </w:r>
      <w:r>
        <w:rPr>
          <w:rFonts w:ascii="Leelawadee UI" w:hAnsi="Leelawadee UI" w:eastAsia="Leelawadee UI" w:cs="Leelawadee UI"/>
        </w:rPr>
        <w:t>ដូច្នេះហើយបានកំណត់ន័យរបស់ពាក្យនោះឲ្យបានពេញលេញជាងមុន។</w:t>
      </w:r>
      <w:r>
        <w:rPr>
          <w:rFonts w:ascii="Times New Roman" w:hAnsi="Times New Roman" w:eastAsia="Times New Roman" w:cs="Times New Roman"/>
        </w:rPr>
        <w:t xml:space="preserve"> </w:t>
      </w:r>
      <w:r>
        <w:rPr>
          <w:rFonts w:ascii="Leelawadee UI" w:hAnsi="Leelawadee UI" w:eastAsia="Leelawadee UI" w:cs="Leelawadee UI"/>
        </w:rPr>
        <w:t>ហេតុអ្វីបានជាដានីយ៉ែលប្រើពាក្យភាសាហេប្រឺពីរខុសគ្នា</w:t>
      </w:r>
      <w:r>
        <w:rPr>
          <w:rFonts w:ascii="Times New Roman" w:hAnsi="Times New Roman" w:eastAsia="Times New Roman" w:cs="Times New Roman"/>
        </w:rPr>
        <w:t xml:space="preserve"> </w:t>
      </w:r>
      <w:r>
        <w:rPr>
          <w:rFonts w:ascii="Leelawadee UI" w:hAnsi="Leelawadee UI" w:eastAsia="Leelawadee UI" w:cs="Leelawadee UI"/>
        </w:rPr>
        <w:t>ដែលមានន័យជិតស្និទ្ធគ្នាដល់ថ្នាក់អ្នកបកប្រែនឹងចាត់ទុកវាថាជាពាក្យដូចគ្នា</w:t>
      </w:r>
      <w:r>
        <w:rPr>
          <w:rFonts w:ascii="Times New Roman" w:hAnsi="Times New Roman" w:eastAsia="Times New Roman" w:cs="Times New Roman"/>
        </w:rPr>
        <w:t xml:space="preserve">? </w:t>
      </w:r>
      <w:r>
        <w:rPr>
          <w:rFonts w:ascii="Leelawadee UI" w:hAnsi="Leelawadee UI" w:eastAsia="Leelawadee UI" w:cs="Leelawadee UI"/>
        </w:rPr>
        <w:t>តើការនេះសំខាន់ឬ</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Tout principe dans la parole de Dieu a sa place, chaque fait sa portée. Et l’édifice tout entier, dans sa conception comme dans son exécution, rend témoignage à son Auteur. Une telle structure, nul esprit sinon celui de l’Infini ne pouvait la concevoir ni la façonner. » Education, 123.</w:t>
      </w:r>
    </w:p>
    <w:p>
      <w:pPr>
        <w:pStyle w:val="ArticleBody"/>
        <w:jc w:val="left"/>
      </w:pPr>
      <w:r>
        <w:rPr>
          <w:rFonts w:ascii="Times New Roman" w:hAnsi="Times New Roman" w:eastAsia="Times New Roman" w:cs="Times New Roman"/>
        </w:rPr>
        <w:t>La réponse à la seconde question est Oui : il importe réellement de savoir pourquoi Daniel a établi cette distinction; il incombe donc à l’étudiant de la prophétie de chercher à comprendre la première question, qui demande pourquoi Daniel a fait cette distinction. Les distinctions qu’il a faites au sujet du mot traduit par « sanctuaire » et du mot traduit par « ôter » ont des conséquences éternelles; pourquoi donc quiconque s’attendrait-il à y voir moins d’importance en ce qui concerne le mot traduit par « vision » ? « Chaque fait » a « sa portée » « dans la parole de Dieu », et influe sur la « structure » prophétique ainsi que sur l’accomplissement de la prophétie lorsqu’elle est « exécutée ».</w:t>
      </w:r>
    </w:p>
    <w:p>
      <w:pPr>
        <w:pStyle w:val="ArticleBody"/>
        <w:jc w:val="left"/>
      </w:pPr>
      <w:r>
        <w:rPr>
          <w:rFonts w:ascii="Times New Roman" w:hAnsi="Times New Roman" w:eastAsia="Times New Roman" w:cs="Times New Roman"/>
        </w:rPr>
        <w:t>Tandis que nous commençons à considérer le mot « vision », au chapitre huit, un « fait » ayant « incidence » sur le témoignage de Daniel est de savoir qui fut celui qui répondit à la question de Daniel 8, verset 13, par ces paroles : « Jusqu’à deux mille trois cents jours ; puis le sanctuaire sera purifié. »</w:t>
      </w:r>
    </w:p>
    <w:p>
      <w:pPr>
        <w:pStyle w:val="ArticleBody"/>
        <w:jc w:val="left"/>
      </w:pPr>
      <w:r>
        <w:rPr>
          <w:rFonts w:ascii="Times New Roman" w:hAnsi="Times New Roman" w:eastAsia="Times New Roman" w:cs="Times New Roman"/>
        </w:rPr>
        <w:t>Kuna ukweli wanne ambao una “uhusiano wa moja kwa moja” na Danieli sura ya nane, ambao ninakusudia kuushughulikia. Mmoja ni huu: kwamba ono la mto Ulai limetambuliwa kuwa unabii wa siku za mwisho, na pia ndilo ishara ya “maarifa” ya kitabu cha Danieli yaliyokuwa “yamefunuliwa” katika “wakati wa mwisho” mwaka wa 1798.</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គឺមានការចាំបាច់ឲ្យមានការសិក្សាព្រះបន្ទូលរបស់ព្រះយ៉ាងជិតស្និទ្ធជាងនេះខ្លាំងណាស់។</w:t>
      </w:r>
      <w:r>
        <w:rPr>
          <w:rFonts w:ascii="Times New Roman" w:hAnsi="Times New Roman" w:eastAsia="Times New Roman" w:cs="Times New Roman"/>
        </w:rPr>
        <w:t xml:space="preserve"> </w:t>
      </w:r>
      <w:r>
        <w:rPr>
          <w:rFonts w:ascii="Leelawadee UI" w:hAnsi="Leelawadee UI" w:eastAsia="Leelawadee UI" w:cs="Leelawadee UI"/>
        </w:rPr>
        <w:t>ជាពិសេស</w:t>
      </w:r>
      <w:r>
        <w:rPr>
          <w:rFonts w:ascii="Times New Roman" w:hAnsi="Times New Roman" w:eastAsia="Times New Roman" w:cs="Times New Roman"/>
        </w:rPr>
        <w:t xml:space="preserve"> </w:t>
      </w:r>
      <w:r>
        <w:rPr>
          <w:rFonts w:ascii="Leelawadee UI" w:hAnsi="Leelawadee UI" w:eastAsia="Leelawadee UI" w:cs="Leelawadee UI"/>
        </w:rPr>
        <w:t>សៀវភៅដានីយ៉ែល</w:t>
      </w:r>
      <w:r>
        <w:rPr>
          <w:rFonts w:ascii="Times New Roman" w:hAnsi="Times New Roman" w:eastAsia="Times New Roman" w:cs="Times New Roman"/>
        </w:rPr>
        <w:t xml:space="preserve"> </w:t>
      </w:r>
      <w:r>
        <w:rPr>
          <w:rFonts w:ascii="Leelawadee UI" w:hAnsi="Leelawadee UI" w:eastAsia="Leelawadee UI" w:cs="Leelawadee UI"/>
        </w:rPr>
        <w:t>និងវិវរណៈ</w:t>
      </w:r>
      <w:r>
        <w:rPr>
          <w:rFonts w:ascii="Times New Roman" w:hAnsi="Times New Roman" w:eastAsia="Times New Roman" w:cs="Times New Roman"/>
        </w:rPr>
        <w:t xml:space="preserve"> </w:t>
      </w:r>
      <w:r>
        <w:rPr>
          <w:rFonts w:ascii="Leelawadee UI" w:hAnsi="Leelawadee UI" w:eastAsia="Leelawadee UI" w:cs="Leelawadee UI"/>
        </w:rPr>
        <w:t>គួរត្រូវបានយកចិត្តទុកដាក់យ៉ាងខ្លាំង</w:t>
      </w:r>
      <w:r>
        <w:rPr>
          <w:rFonts w:ascii="Times New Roman" w:hAnsi="Times New Roman" w:eastAsia="Times New Roman" w:cs="Times New Roman"/>
        </w:rPr>
        <w:t xml:space="preserve"> </w:t>
      </w:r>
      <w:r>
        <w:rPr>
          <w:rFonts w:ascii="Leelawadee UI" w:hAnsi="Leelawadee UI" w:eastAsia="Leelawadee UI" w:cs="Leelawadee UI"/>
        </w:rPr>
        <w:t>ដូចមិនដែលមានពីមុនមកក្នុងប្រវត្តិនៃកិច្ចការរបស់យើងឡើយ។</w:t>
      </w:r>
      <w:r>
        <w:rPr>
          <w:rFonts w:ascii="Times New Roman" w:hAnsi="Times New Roman" w:eastAsia="Times New Roman" w:cs="Times New Roman"/>
        </w:rPr>
        <w:t xml:space="preserve"> </w:t>
      </w:r>
      <w:r>
        <w:rPr>
          <w:rFonts w:ascii="Leelawadee UI" w:hAnsi="Leelawadee UI" w:eastAsia="Leelawadee UI" w:cs="Leelawadee UI"/>
        </w:rPr>
        <w:t>អំពីអំណាចរ៉ូម</w:t>
      </w:r>
      <w:r>
        <w:rPr>
          <w:rFonts w:ascii="Times New Roman" w:hAnsi="Times New Roman" w:eastAsia="Times New Roman" w:cs="Times New Roman"/>
        </w:rPr>
        <w:t xml:space="preserve"> </w:t>
      </w:r>
      <w:r>
        <w:rPr>
          <w:rFonts w:ascii="Leelawadee UI" w:hAnsi="Leelawadee UI" w:eastAsia="Leelawadee UI" w:cs="Leelawadee UI"/>
        </w:rPr>
        <w:t>និងសម្តេចប៉ាប</w:t>
      </w:r>
      <w:r>
        <w:rPr>
          <w:rFonts w:ascii="Times New Roman" w:hAnsi="Times New Roman" w:eastAsia="Times New Roman" w:cs="Times New Roman"/>
        </w:rPr>
        <w:t xml:space="preserve"> </w:t>
      </w:r>
      <w:r>
        <w:rPr>
          <w:rFonts w:ascii="Leelawadee UI" w:hAnsi="Leelawadee UI" w:eastAsia="Leelawadee UI" w:cs="Leelawadee UI"/>
        </w:rPr>
        <w:t>យើងប្រហែលជាមានអ្វីនិយាយតិចជាងមុនក្នុងបន្ទាត់ខ្លះៗ</w:t>
      </w:r>
      <w:r>
        <w:rPr>
          <w:rFonts w:ascii="Times New Roman" w:hAnsi="Times New Roman" w:eastAsia="Times New Roman" w:cs="Times New Roman"/>
        </w:rPr>
        <w:t xml:space="preserve"> </w:t>
      </w:r>
      <w:r>
        <w:rPr>
          <w:rFonts w:ascii="Leelawadee UI" w:hAnsi="Leelawadee UI" w:eastAsia="Leelawadee UI" w:cs="Leelawadee UI"/>
        </w:rPr>
        <w:t>ប៉ុន្តែយើងគួរតែទាក់ទាញការយកចិត្តទុកដាក់ទៅកាន់អ្វីដែលពួកហោរា</w:t>
      </w:r>
      <w:r>
        <w:rPr>
          <w:rFonts w:ascii="Times New Roman" w:hAnsi="Times New Roman" w:eastAsia="Times New Roman" w:cs="Times New Roman"/>
        </w:rPr>
        <w:t xml:space="preserve"> </w:t>
      </w:r>
      <w:r>
        <w:rPr>
          <w:rFonts w:ascii="Leelawadee UI" w:hAnsi="Leelawadee UI" w:eastAsia="Leelawadee UI" w:cs="Leelawadee UI"/>
        </w:rPr>
        <w:t>និងពួកសាវកបានសរសេរដោយការបំផុសគំនិតនៃព្រះវិញ្ញាណរបស់ព្រះ។</w:t>
      </w:r>
      <w:r>
        <w:rPr>
          <w:rFonts w:ascii="Times New Roman" w:hAnsi="Times New Roman" w:eastAsia="Times New Roman" w:cs="Times New Roman"/>
        </w:rPr>
        <w:t xml:space="preserve"> </w:t>
      </w:r>
      <w:r>
        <w:rPr>
          <w:rFonts w:ascii="Leelawadee UI" w:hAnsi="Leelawadee UI" w:eastAsia="Leelawadee UI" w:cs="Leelawadee UI"/>
        </w:rPr>
        <w:t>ព្រះវិញ្ញាណបរិសុទ្ធបានរៀបចំកិច្ចការទាំងឡាយយ៉ាងដូច្នេះ</w:t>
      </w:r>
      <w:r>
        <w:rPr>
          <w:rFonts w:ascii="Times New Roman" w:hAnsi="Times New Roman" w:eastAsia="Times New Roman" w:cs="Times New Roman"/>
        </w:rPr>
        <w:t xml:space="preserve"> </w:t>
      </w:r>
      <w:r>
        <w:rPr>
          <w:rFonts w:ascii="Leelawadee UI" w:hAnsi="Leelawadee UI" w:eastAsia="Leelawadee UI" w:cs="Leelawadee UI"/>
        </w:rPr>
        <w:t>ទាំងក្នុងការផ្តល់ទំនាយ</w:t>
      </w:r>
      <w:r>
        <w:rPr>
          <w:rFonts w:ascii="Times New Roman" w:hAnsi="Times New Roman" w:eastAsia="Times New Roman" w:cs="Times New Roman"/>
        </w:rPr>
        <w:t xml:space="preserve"> </w:t>
      </w:r>
      <w:r>
        <w:rPr>
          <w:rFonts w:ascii="Leelawadee UI" w:hAnsi="Leelawadee UI" w:eastAsia="Leelawadee UI" w:cs="Leelawadee UI"/>
        </w:rPr>
        <w:t>និងក្នុងព្រឹត្តិការណ៍ដែលត្រូវបានពិពណ៌នា</w:t>
      </w:r>
      <w:r>
        <w:rPr>
          <w:rFonts w:ascii="Times New Roman" w:hAnsi="Times New Roman" w:eastAsia="Times New Roman" w:cs="Times New Roman"/>
        </w:rPr>
        <w:t xml:space="preserve"> </w:t>
      </w:r>
      <w:r>
        <w:rPr>
          <w:rFonts w:ascii="Leelawadee UI" w:hAnsi="Leelawadee UI" w:eastAsia="Leelawadee UI" w:cs="Leelawadee UI"/>
        </w:rPr>
        <w:t>ដើម្បីបង្រៀនថា</w:t>
      </w:r>
      <w:r>
        <w:rPr>
          <w:rFonts w:ascii="Times New Roman" w:hAnsi="Times New Roman" w:eastAsia="Times New Roman" w:cs="Times New Roman"/>
        </w:rPr>
        <w:t xml:space="preserve"> </w:t>
      </w:r>
      <w:r>
        <w:rPr>
          <w:rFonts w:ascii="Leelawadee UI" w:hAnsi="Leelawadee UI" w:eastAsia="Leelawadee UI" w:cs="Leelawadee UI"/>
        </w:rPr>
        <w:t>ភ្នាក់ងារមនុស្សត្រូវតែត្រូវបានរក្សាទុកឲ្យនៅក្រៅការមើលឃើញ</w:t>
      </w:r>
      <w:r>
        <w:rPr>
          <w:rFonts w:ascii="Times New Roman" w:hAnsi="Times New Roman" w:eastAsia="Times New Roman" w:cs="Times New Roman"/>
        </w:rPr>
        <w:t xml:space="preserve"> </w:t>
      </w:r>
      <w:r>
        <w:rPr>
          <w:rFonts w:ascii="Leelawadee UI" w:hAnsi="Leelawadee UI" w:eastAsia="Leelawadee UI" w:cs="Leelawadee UI"/>
        </w:rPr>
        <w:t>លាក់កំបាំងនៅក្នុងព្រះគ្រីស្ទ</w:t>
      </w:r>
      <w:r>
        <w:rPr>
          <w:rFonts w:ascii="Times New Roman" w:hAnsi="Times New Roman" w:eastAsia="Times New Roman" w:cs="Times New Roman"/>
        </w:rPr>
        <w:t xml:space="preserve"> </w:t>
      </w:r>
      <w:r>
        <w:rPr>
          <w:rFonts w:ascii="Leelawadee UI" w:hAnsi="Leelawadee UI" w:eastAsia="Leelawadee UI" w:cs="Leelawadee UI"/>
        </w:rPr>
        <w:t>ហើយព្រះអម្ចាស់ជាព្រះនៃស្ថានសួគ៌</w:t>
      </w:r>
      <w:r>
        <w:rPr>
          <w:rFonts w:ascii="Times New Roman" w:hAnsi="Times New Roman" w:eastAsia="Times New Roman" w:cs="Times New Roman"/>
        </w:rPr>
        <w:t xml:space="preserve"> </w:t>
      </w:r>
      <w:r>
        <w:rPr>
          <w:rFonts w:ascii="Leelawadee UI" w:hAnsi="Leelawadee UI" w:eastAsia="Leelawadee UI" w:cs="Leelawadee UI"/>
        </w:rPr>
        <w:t>និងក្រឹត្យវិន័យរបស់ទ្រង់</w:t>
      </w:r>
      <w:r>
        <w:rPr>
          <w:rFonts w:ascii="Times New Roman" w:hAnsi="Times New Roman" w:eastAsia="Times New Roman" w:cs="Times New Roman"/>
        </w:rPr>
        <w:t xml:space="preserve"> </w:t>
      </w:r>
      <w:r>
        <w:rPr>
          <w:rFonts w:ascii="Leelawadee UI" w:hAnsi="Leelawadee UI" w:eastAsia="Leelawadee UI" w:cs="Leelawadee UI"/>
        </w:rPr>
        <w:t>ត្រូវតែត្រូវបានលើកតម្កើង។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ဖတ်ပါ</w:t>
      </w:r>
      <w:r>
        <w:rPr>
          <w:rFonts w:ascii="Times New Roman" w:hAnsi="Times New Roman" w:eastAsia="Times New Roman" w:cs="Times New Roman"/>
        </w:rPr>
        <w:t xml:space="preserve"> </w:t>
      </w:r>
      <w:r>
        <w:rPr>
          <w:rFonts w:ascii="Myanmar Text" w:hAnsi="Myanmar Text" w:eastAsia="Myanmar Text" w:cs="Myanmar Text"/>
        </w:rPr>
        <w:t>ဒံယေလကျမ်းကို။</w:t>
      </w:r>
      <w:r>
        <w:rPr>
          <w:rFonts w:ascii="Times New Roman" w:hAnsi="Times New Roman" w:eastAsia="Times New Roman" w:cs="Times New Roman"/>
        </w:rPr>
        <w:t xml:space="preserve"> </w:t>
      </w:r>
      <w:r>
        <w:rPr>
          <w:rFonts w:ascii="Myanmar Text" w:hAnsi="Myanmar Text" w:eastAsia="Myanmar Text" w:cs="Myanmar Text"/>
        </w:rPr>
        <w:t>ထိုကျမ်း၌</w:t>
      </w:r>
      <w:r>
        <w:rPr>
          <w:rFonts w:ascii="Times New Roman" w:hAnsi="Times New Roman" w:eastAsia="Times New Roman" w:cs="Times New Roman"/>
        </w:rPr>
        <w:t xml:space="preserve"> </w:t>
      </w:r>
      <w:r>
        <w:rPr>
          <w:rFonts w:ascii="Myanmar Text" w:hAnsi="Myanmar Text" w:eastAsia="Myanmar Text" w:cs="Myanmar Text"/>
        </w:rPr>
        <w:t>ကိုယ်စားပြုဖော်ပြထားသော</w:t>
      </w:r>
      <w:r>
        <w:rPr>
          <w:rFonts w:ascii="Times New Roman" w:hAnsi="Times New Roman" w:eastAsia="Times New Roman" w:cs="Times New Roman"/>
        </w:rPr>
        <w:t xml:space="preserve"> </w:t>
      </w:r>
      <w:r>
        <w:rPr>
          <w:rFonts w:ascii="Myanmar Text" w:hAnsi="Myanmar Text" w:eastAsia="Myanmar Text" w:cs="Myanmar Text"/>
        </w:rPr>
        <w:t>တိုင်းနိုင်ငံများ၏</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အချက်အလက်တစ်ခုချင်းစီအလိုက်</w:t>
      </w:r>
      <w:r>
        <w:rPr>
          <w:rFonts w:ascii="Times New Roman" w:hAnsi="Times New Roman" w:eastAsia="Times New Roman" w:cs="Times New Roman"/>
        </w:rPr>
        <w:t xml:space="preserve"> </w:t>
      </w:r>
      <w:r>
        <w:rPr>
          <w:rFonts w:ascii="Myanmar Text" w:hAnsi="Myanmar Text" w:eastAsia="Myanmar Text" w:cs="Myanmar Text"/>
        </w:rPr>
        <w:t>ပြန်လည်ခေါ်ထုတ်ကြည့်ပါ။</w:t>
      </w:r>
      <w:r>
        <w:rPr>
          <w:rFonts w:ascii="Times New Roman" w:hAnsi="Times New Roman" w:eastAsia="Times New Roman" w:cs="Times New Roman"/>
        </w:rPr>
        <w:t xml:space="preserve"> </w:t>
      </w:r>
      <w:r>
        <w:rPr>
          <w:rFonts w:ascii="Myanmar Text" w:hAnsi="Myanmar Text" w:eastAsia="Myanmar Text" w:cs="Myanmar Text"/>
        </w:rPr>
        <w:t>နိုင်ငံရေးပညာရှင်များ၊</w:t>
      </w:r>
      <w:r>
        <w:rPr>
          <w:rFonts w:ascii="Times New Roman" w:hAnsi="Times New Roman" w:eastAsia="Times New Roman" w:cs="Times New Roman"/>
        </w:rPr>
        <w:t xml:space="preserve"> </w:t>
      </w:r>
      <w:r>
        <w:rPr>
          <w:rFonts w:ascii="Myanmar Text" w:hAnsi="Myanmar Text" w:eastAsia="Myanmar Text" w:cs="Myanmar Text"/>
        </w:rPr>
        <w:t>အစည်းအဝေးတိုင်ပင်မှုများ၊</w:t>
      </w:r>
      <w:r>
        <w:rPr>
          <w:rFonts w:ascii="Times New Roman" w:hAnsi="Times New Roman" w:eastAsia="Times New Roman" w:cs="Times New Roman"/>
        </w:rPr>
        <w:t xml:space="preserve"> </w:t>
      </w:r>
      <w:r>
        <w:rPr>
          <w:rFonts w:ascii="Myanmar Text" w:hAnsi="Myanmar Text" w:eastAsia="Myanmar Text" w:cs="Myanmar Text"/>
        </w:rPr>
        <w:t>အင်အားကြီးစစ်တပ်များကို</w:t>
      </w:r>
      <w:r>
        <w:rPr>
          <w:rFonts w:ascii="Times New Roman" w:hAnsi="Times New Roman" w:eastAsia="Times New Roman" w:cs="Times New Roman"/>
        </w:rPr>
        <w:t xml:space="preserve"> </w:t>
      </w:r>
      <w:r>
        <w:rPr>
          <w:rFonts w:ascii="Myanmar Text" w:hAnsi="Myanmar Text" w:eastAsia="Myanmar Text" w:cs="Myanmar Text"/>
        </w:rPr>
        <w:t>မြင်ကြည့်လော့၊</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မာနကို</w:t>
      </w:r>
      <w:r>
        <w:rPr>
          <w:rFonts w:ascii="Times New Roman" w:hAnsi="Times New Roman" w:eastAsia="Times New Roman" w:cs="Times New Roman"/>
        </w:rPr>
        <w:t xml:space="preserve"> </w:t>
      </w:r>
      <w:r>
        <w:rPr>
          <w:rFonts w:ascii="Myanmar Text" w:hAnsi="Myanmar Text" w:eastAsia="Myanmar Text" w:cs="Myanmar Text"/>
        </w:rPr>
        <w:t>နှိမ့်ချ၍</w:t>
      </w:r>
      <w:r>
        <w:rPr>
          <w:rFonts w:ascii="Times New Roman" w:hAnsi="Times New Roman" w:eastAsia="Times New Roman" w:cs="Times New Roman"/>
        </w:rPr>
        <w:t xml:space="preserve"> </w:t>
      </w:r>
      <w:r>
        <w:rPr>
          <w:rFonts w:ascii="Myanmar Text" w:hAnsi="Myanmar Text" w:eastAsia="Myanmar Text" w:cs="Myanmar Text"/>
        </w:rPr>
        <w:t>လူသားဘုန်းအသရေကို</w:t>
      </w:r>
      <w:r>
        <w:rPr>
          <w:rFonts w:ascii="Times New Roman" w:hAnsi="Times New Roman" w:eastAsia="Times New Roman" w:cs="Times New Roman"/>
        </w:rPr>
        <w:t xml:space="preserve"> </w:t>
      </w:r>
      <w:r>
        <w:rPr>
          <w:rFonts w:ascii="Myanmar Text" w:hAnsi="Myanmar Text" w:eastAsia="Myanmar Text" w:cs="Myanmar Text"/>
        </w:rPr>
        <w:t>မြေမှုန့်ထဲသို့</w:t>
      </w:r>
      <w:r>
        <w:rPr>
          <w:rFonts w:ascii="Times New Roman" w:hAnsi="Times New Roman" w:eastAsia="Times New Roman" w:cs="Times New Roman"/>
        </w:rPr>
        <w:t xml:space="preserve"> </w:t>
      </w:r>
      <w:r>
        <w:rPr>
          <w:rFonts w:ascii="Myanmar Text" w:hAnsi="Myanmar Text" w:eastAsia="Myanmar Text" w:cs="Myanmar Text"/>
        </w:rPr>
        <w:t>ချလိုက်ရန်</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ဆောင်ရွက်တော်မူခဲ့သည်ကိုလည်း</w:t>
      </w:r>
      <w:r>
        <w:rPr>
          <w:rFonts w:ascii="Times New Roman" w:hAnsi="Times New Roman" w:eastAsia="Times New Roman" w:cs="Times New Roman"/>
        </w:rPr>
        <w:t xml:space="preserve"> </w:t>
      </w:r>
      <w:r>
        <w:rPr>
          <w:rFonts w:ascii="Myanmar Text" w:hAnsi="Myanmar Text" w:eastAsia="Myanmar Text" w:cs="Myanmar Text"/>
        </w:rPr>
        <w:t>ကြည့်လော့။</w:t>
      </w:r>
      <w:r>
        <w:rPr>
          <w:rFonts w:ascii="Times New Roman" w:hAnsi="Times New Roman" w:eastAsia="Times New Roman" w:cs="Times New Roman"/>
        </w:rPr>
        <w:t xml:space="preserve"> </w:t>
      </w:r>
      <w:r>
        <w:rPr>
          <w:rFonts w:ascii="Myanmar Text" w:hAnsi="Myanmar Text" w:eastAsia="Myanmar Text" w:cs="Myanmar Text"/>
        </w:rPr>
        <w:t>ကြီးမြတ်တော်မူသောအရှင်အဖြစ်</w:t>
      </w:r>
      <w:r>
        <w:rPr>
          <w:rFonts w:ascii="Times New Roman" w:hAnsi="Times New Roman" w:eastAsia="Times New Roman" w:cs="Times New Roman"/>
        </w:rPr>
        <w:t xml:space="preserve"> </w:t>
      </w:r>
      <w:r>
        <w:rPr>
          <w:rFonts w:ascii="Myanmar Text" w:hAnsi="Myanmar Text" w:eastAsia="Myanmar Text" w:cs="Myanmar Text"/>
        </w:rPr>
        <w:t>ကိုယ်စားပြုဖော်ပြခံရသည်မှာ</w:t>
      </w:r>
      <w:r>
        <w:rPr>
          <w:rFonts w:ascii="Times New Roman" w:hAnsi="Times New Roman" w:eastAsia="Times New Roman" w:cs="Times New Roman"/>
        </w:rPr>
        <w:t xml:space="preserve"> </w:t>
      </w:r>
      <w:r>
        <w:rPr>
          <w:rFonts w:ascii="Myanmar Text" w:hAnsi="Myanmar Text" w:eastAsia="Myanmar Text" w:cs="Myanmar Text"/>
        </w:rPr>
        <w:t>ဘုရားသခင်တော်တစ်ပါးတည်းသာ</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ပရောဖက်၏</w:t>
      </w:r>
      <w:r>
        <w:rPr>
          <w:rFonts w:ascii="Times New Roman" w:hAnsi="Times New Roman" w:eastAsia="Times New Roman" w:cs="Times New Roman"/>
        </w:rPr>
        <w:t xml:space="preserve"> </w:t>
      </w:r>
      <w:r>
        <w:rPr>
          <w:rFonts w:ascii="Myanmar Text" w:hAnsi="Myanmar Text" w:eastAsia="Myanmar Text" w:cs="Myanmar Text"/>
        </w:rPr>
        <w:t>ရူပါရုံ၌</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အာဏာကြီးမားသော</w:t>
      </w:r>
      <w:r>
        <w:rPr>
          <w:rFonts w:ascii="Times New Roman" w:hAnsi="Times New Roman" w:eastAsia="Times New Roman" w:cs="Times New Roman"/>
        </w:rPr>
        <w:t xml:space="preserve"> </w:t>
      </w:r>
      <w:r>
        <w:rPr>
          <w:rFonts w:ascii="Myanmar Text" w:hAnsi="Myanmar Text" w:eastAsia="Myanmar Text" w:cs="Myanmar Text"/>
        </w:rPr>
        <w:t>အုပ်စိုးရှင်တစ်ဦးကို</w:t>
      </w:r>
      <w:r>
        <w:rPr>
          <w:rFonts w:ascii="Times New Roman" w:hAnsi="Times New Roman" w:eastAsia="Times New Roman" w:cs="Times New Roman"/>
        </w:rPr>
        <w:t xml:space="preserve"> </w:t>
      </w:r>
      <w:r>
        <w:rPr>
          <w:rFonts w:ascii="Myanmar Text" w:hAnsi="Myanmar Text" w:eastAsia="Myanmar Text" w:cs="Myanmar Text"/>
        </w:rPr>
        <w:t>ဖြုတ်ချ၍</w:t>
      </w:r>
      <w:r>
        <w:rPr>
          <w:rFonts w:ascii="Times New Roman" w:hAnsi="Times New Roman" w:eastAsia="Times New Roman" w:cs="Times New Roman"/>
        </w:rPr>
        <w:t xml:space="preserve"> </w:t>
      </w:r>
      <w:r>
        <w:rPr>
          <w:rFonts w:ascii="Myanmar Text" w:hAnsi="Myanmar Text" w:eastAsia="Myanmar Text" w:cs="Myanmar Text"/>
        </w:rPr>
        <w:t>အခြားတစ်ဦးကို</w:t>
      </w:r>
      <w:r>
        <w:rPr>
          <w:rFonts w:ascii="Times New Roman" w:hAnsi="Times New Roman" w:eastAsia="Times New Roman" w:cs="Times New Roman"/>
        </w:rPr>
        <w:t xml:space="preserve"> </w:t>
      </w:r>
      <w:r>
        <w:rPr>
          <w:rFonts w:ascii="Myanmar Text" w:hAnsi="Myanmar Text" w:eastAsia="Myanmar Text" w:cs="Myanmar Text"/>
        </w:rPr>
        <w:t>ထူထောင်တင်မြှောက်တော်မူသည်ကို</w:t>
      </w:r>
      <w:r>
        <w:rPr>
          <w:rFonts w:ascii="Times New Roman" w:hAnsi="Times New Roman" w:eastAsia="Times New Roman" w:cs="Times New Roman"/>
        </w:rPr>
        <w:t xml:space="preserve"> </w:t>
      </w:r>
      <w:r>
        <w:rPr>
          <w:rFonts w:ascii="Myanmar Text" w:hAnsi="Myanmar Text" w:eastAsia="Myanmar Text" w:cs="Myanmar Text"/>
        </w:rPr>
        <w:t>မြင်ရသည်။</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စကြဝဠာ၏</w:t>
      </w:r>
      <w:r>
        <w:rPr>
          <w:rFonts w:ascii="Times New Roman" w:hAnsi="Times New Roman" w:eastAsia="Times New Roman" w:cs="Times New Roman"/>
        </w:rPr>
        <w:t xml:space="preserve"> </w:t>
      </w:r>
      <w:r>
        <w:rPr>
          <w:rFonts w:ascii="Myanmar Text" w:hAnsi="Myanmar Text" w:eastAsia="Myanmar Text" w:cs="Myanmar Text"/>
        </w:rPr>
        <w:t>ဘုရင်အဖြစ်၊</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ထာဝရနိုင်ငံတော်ကို</w:t>
      </w:r>
      <w:r>
        <w:rPr>
          <w:rFonts w:ascii="Times New Roman" w:hAnsi="Times New Roman" w:eastAsia="Times New Roman" w:cs="Times New Roman"/>
        </w:rPr>
        <w:t xml:space="preserve"> </w:t>
      </w:r>
      <w:r>
        <w:rPr>
          <w:rFonts w:ascii="Myanmar Text" w:hAnsi="Myanmar Text" w:eastAsia="Myanmar Text" w:cs="Myanmar Text"/>
        </w:rPr>
        <w:t>တည်ထောင်ခါနီးတော်မူသောအရှင်အဖြစ်</w:t>
      </w:r>
      <w:r>
        <w:rPr>
          <w:rFonts w:ascii="Times New Roman" w:hAnsi="Times New Roman" w:eastAsia="Times New Roman" w:cs="Times New Roman"/>
        </w:rPr>
        <w:t>—</w:t>
      </w:r>
      <w:r>
        <w:rPr>
          <w:rFonts w:ascii="Myanmar Text" w:hAnsi="Myanmar Text" w:eastAsia="Myanmar Text" w:cs="Myanmar Text"/>
        </w:rPr>
        <w:t>နေ့ရက်များ၏</w:t>
      </w:r>
      <w:r>
        <w:rPr>
          <w:rFonts w:ascii="Times New Roman" w:hAnsi="Times New Roman" w:eastAsia="Times New Roman" w:cs="Times New Roman"/>
        </w:rPr>
        <w:t xml:space="preserve"> </w:t>
      </w:r>
      <w:r>
        <w:rPr>
          <w:rFonts w:ascii="Myanmar Text" w:hAnsi="Myanmar Text" w:eastAsia="Myanmar Text" w:cs="Myanmar Text"/>
        </w:rPr>
        <w:t>ရှေးဟောင်းတော်မူသောအရှင်၊</w:t>
      </w:r>
      <w:r>
        <w:rPr>
          <w:rFonts w:ascii="Times New Roman" w:hAnsi="Times New Roman" w:eastAsia="Times New Roman" w:cs="Times New Roman"/>
        </w:rPr>
        <w:t xml:space="preserve"> </w:t>
      </w:r>
      <w:r>
        <w:rPr>
          <w:rFonts w:ascii="Myanmar Text" w:hAnsi="Myanmar Text" w:eastAsia="Myanmar Text" w:cs="Myanmar Text"/>
        </w:rPr>
        <w:t>အသက်ရှင်တော်မူသော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ပညာအလုံးစုံ၏</w:t>
      </w:r>
      <w:r>
        <w:rPr>
          <w:rFonts w:ascii="Times New Roman" w:hAnsi="Times New Roman" w:eastAsia="Times New Roman" w:cs="Times New Roman"/>
        </w:rPr>
        <w:t xml:space="preserve"> </w:t>
      </w:r>
      <w:r>
        <w:rPr>
          <w:rFonts w:ascii="Myanmar Text" w:hAnsi="Myanmar Text" w:eastAsia="Myanmar Text" w:cs="Myanmar Text"/>
        </w:rPr>
        <w:t>အရင်းအမြစ်၊</w:t>
      </w:r>
      <w:r>
        <w:rPr>
          <w:rFonts w:ascii="Times New Roman" w:hAnsi="Times New Roman" w:eastAsia="Times New Roman" w:cs="Times New Roman"/>
        </w:rPr>
        <w:t xml:space="preserve"> </w:t>
      </w:r>
      <w:r>
        <w:rPr>
          <w:rFonts w:ascii="Myanmar Text" w:hAnsi="Myanmar Text" w:eastAsia="Myanmar Text" w:cs="Myanmar Text"/>
        </w:rPr>
        <w:t>ပစ္စုပ္ပန်ကာလကို</w:t>
      </w:r>
      <w:r>
        <w:rPr>
          <w:rFonts w:ascii="Times New Roman" w:hAnsi="Times New Roman" w:eastAsia="Times New Roman" w:cs="Times New Roman"/>
        </w:rPr>
        <w:t xml:space="preserve"> </w:t>
      </w:r>
      <w:r>
        <w:rPr>
          <w:rFonts w:ascii="Myanmar Text" w:hAnsi="Myanmar Text" w:eastAsia="Myanmar Text" w:cs="Myanmar Text"/>
        </w:rPr>
        <w:t>အုပ်စိုးတော်မူသောအရှင်၊</w:t>
      </w:r>
      <w:r>
        <w:rPr>
          <w:rFonts w:ascii="Times New Roman" w:hAnsi="Times New Roman" w:eastAsia="Times New Roman" w:cs="Times New Roman"/>
        </w:rPr>
        <w:t xml:space="preserve"> </w:t>
      </w:r>
      <w:r>
        <w:rPr>
          <w:rFonts w:ascii="Myanmar Text" w:hAnsi="Myanmar Text" w:eastAsia="Myanmar Text" w:cs="Myanmar Text"/>
        </w:rPr>
        <w:t>အနာဂတ်ကို</w:t>
      </w:r>
      <w:r>
        <w:rPr>
          <w:rFonts w:ascii="Times New Roman" w:hAnsi="Times New Roman" w:eastAsia="Times New Roman" w:cs="Times New Roman"/>
        </w:rPr>
        <w:t xml:space="preserve"> </w:t>
      </w:r>
      <w:r>
        <w:rPr>
          <w:rFonts w:ascii="Myanmar Text" w:hAnsi="Myanmar Text" w:eastAsia="Myanmar Text" w:cs="Myanmar Text"/>
        </w:rPr>
        <w:t>ဖွင့်ပြတော်မူသောအရှင်အဖြစ်</w:t>
      </w:r>
      <w:r>
        <w:rPr>
          <w:rFonts w:ascii="Times New Roman" w:hAnsi="Times New Roman" w:eastAsia="Times New Roman" w:cs="Times New Roman"/>
        </w:rPr>
        <w:t>—</w:t>
      </w:r>
      <w:r>
        <w:rPr>
          <w:rFonts w:ascii="Myanmar Text" w:hAnsi="Myanmar Text" w:eastAsia="Myanmar Text" w:cs="Myanmar Text"/>
        </w:rPr>
        <w:t>ထင်ရှားဖော်ပြထားသည်။</w:t>
      </w:r>
      <w:r>
        <w:rPr>
          <w:rFonts w:ascii="Times New Roman" w:hAnsi="Times New Roman" w:eastAsia="Times New Roman" w:cs="Times New Roman"/>
        </w:rPr>
        <w:t xml:space="preserve"> </w:t>
      </w:r>
      <w:r>
        <w:rPr>
          <w:rFonts w:ascii="Myanmar Text" w:hAnsi="Myanmar Text" w:eastAsia="Myanmar Text" w:cs="Myanmar Text"/>
        </w:rPr>
        <w:t>ဖတ်၍</w:t>
      </w:r>
      <w:r>
        <w:rPr>
          <w:rFonts w:ascii="Times New Roman" w:hAnsi="Times New Roman" w:eastAsia="Times New Roman" w:cs="Times New Roman"/>
        </w:rPr>
        <w:t xml:space="preserve"> </w:t>
      </w:r>
      <w:r>
        <w:rPr>
          <w:rFonts w:ascii="Myanmar Text" w:hAnsi="Myanmar Text" w:eastAsia="Myanmar Text" w:cs="Myanmar Text"/>
        </w:rPr>
        <w:t>နားလည်လော့</w:t>
      </w:r>
      <w:r>
        <w:rPr>
          <w:rFonts w:ascii="Times New Roman" w:hAnsi="Times New Roman" w:eastAsia="Times New Roman" w:cs="Times New Roman"/>
        </w:rPr>
        <w:t>—</w:t>
      </w:r>
      <w:r>
        <w:rPr>
          <w:rFonts w:ascii="Myanmar Text" w:hAnsi="Myanmar Text" w:eastAsia="Myanmar Text" w:cs="Myanmar Text"/>
        </w:rPr>
        <w:t>အချည်းနှီးသောအရာသို့</w:t>
      </w:r>
      <w:r>
        <w:rPr>
          <w:rFonts w:ascii="Times New Roman" w:hAnsi="Times New Roman" w:eastAsia="Times New Roman" w:cs="Times New Roman"/>
        </w:rPr>
        <w:t xml:space="preserve"> </w:t>
      </w:r>
      <w:r>
        <w:rPr>
          <w:rFonts w:ascii="Myanmar Text" w:hAnsi="Myanmar Text" w:eastAsia="Myanmar Text" w:cs="Myanmar Text"/>
        </w:rPr>
        <w:t>မိမိစိတ်ဝိညာဉ်ကို</w:t>
      </w:r>
      <w:r>
        <w:rPr>
          <w:rFonts w:ascii="Times New Roman" w:hAnsi="Times New Roman" w:eastAsia="Times New Roman" w:cs="Times New Roman"/>
        </w:rPr>
        <w:t xml:space="preserve"> </w:t>
      </w:r>
      <w:r>
        <w:rPr>
          <w:rFonts w:ascii="Myanmar Text" w:hAnsi="Myanmar Text" w:eastAsia="Myanmar Text" w:cs="Myanmar Text"/>
        </w:rPr>
        <w:t>မြှောက်တင်သော</w:t>
      </w:r>
      <w:r>
        <w:rPr>
          <w:rFonts w:ascii="Times New Roman" w:hAnsi="Times New Roman" w:eastAsia="Times New Roman" w:cs="Times New Roman"/>
        </w:rPr>
        <w:t xml:space="preserve"> </w:t>
      </w:r>
      <w:r>
        <w:rPr>
          <w:rFonts w:ascii="Myanmar Text" w:hAnsi="Myanmar Text" w:eastAsia="Myanmar Text" w:cs="Myanmar Text"/>
        </w:rPr>
        <w:t>လူသည်</w:t>
      </w:r>
      <w:r>
        <w:rPr>
          <w:rFonts w:ascii="Times New Roman" w:hAnsi="Times New Roman" w:eastAsia="Times New Roman" w:cs="Times New Roman"/>
        </w:rPr>
        <w:t xml:space="preserve"> </w:t>
      </w:r>
      <w:r>
        <w:rPr>
          <w:rFonts w:ascii="Myanmar Text" w:hAnsi="Myanmar Text" w:eastAsia="Myanmar Text" w:cs="Myanmar Text"/>
        </w:rPr>
        <w:t>မည်မျှဆင်းရဲနိမ့်ကျသနည်း၊</w:t>
      </w:r>
      <w:r>
        <w:rPr>
          <w:rFonts w:ascii="Times New Roman" w:hAnsi="Times New Roman" w:eastAsia="Times New Roman" w:cs="Times New Roman"/>
        </w:rPr>
        <w:t xml:space="preserve"> </w:t>
      </w:r>
      <w:r>
        <w:rPr>
          <w:rFonts w:ascii="Myanmar Text" w:hAnsi="Myanmar Text" w:eastAsia="Myanmar Text" w:cs="Myanmar Text"/>
        </w:rPr>
        <w:t>မည်မျှအင်အားနည်းပါးသနည်း၊</w:t>
      </w:r>
      <w:r>
        <w:rPr>
          <w:rFonts w:ascii="Times New Roman" w:hAnsi="Times New Roman" w:eastAsia="Times New Roman" w:cs="Times New Roman"/>
        </w:rPr>
        <w:t xml:space="preserve"> </w:t>
      </w:r>
      <w:r>
        <w:rPr>
          <w:rFonts w:ascii="Myanmar Text" w:hAnsi="Myanmar Text" w:eastAsia="Myanmar Text" w:cs="Myanmar Text"/>
        </w:rPr>
        <w:t>မည်မျှအသက်တိုသနည်း၊</w:t>
      </w:r>
      <w:r>
        <w:rPr>
          <w:rFonts w:ascii="Times New Roman" w:hAnsi="Times New Roman" w:eastAsia="Times New Roman" w:cs="Times New Roman"/>
        </w:rPr>
        <w:t xml:space="preserve"> </w:t>
      </w:r>
      <w:r>
        <w:rPr>
          <w:rFonts w:ascii="Myanmar Text" w:hAnsi="Myanmar Text" w:eastAsia="Myanmar Text" w:cs="Myanmar Text"/>
        </w:rPr>
        <w:t>မည်မျှမှားယွင်းလွယ်သနည်း၊</w:t>
      </w:r>
      <w:r>
        <w:rPr>
          <w:rFonts w:ascii="Times New Roman" w:hAnsi="Times New Roman" w:eastAsia="Times New Roman" w:cs="Times New Roman"/>
        </w:rPr>
        <w:t xml:space="preserve"> </w:t>
      </w:r>
      <w:r>
        <w:rPr>
          <w:rFonts w:ascii="Myanmar Text" w:hAnsi="Myanmar Text" w:eastAsia="Myanmar Text" w:cs="Myanmar Text"/>
        </w:rPr>
        <w:t>မည်မျှအပြစ်ရှိသနည်း</w:t>
      </w:r>
      <w:r>
        <w:rPr>
          <w:rFonts w:ascii="Times New Roman" w:hAnsi="Times New Roman" w:eastAsia="Times New Roman" w:cs="Times New Roman"/>
        </w:rPr>
        <w:t xml:space="preserve"> </w:t>
      </w:r>
      <w:r>
        <w:rPr>
          <w:rFonts w:ascii="Myanmar Text" w:hAnsi="Myanmar Text" w:eastAsia="Myanmar Text" w:cs="Myanmar Text"/>
        </w:rPr>
        <w:t>ဟူသည်ကို။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“Roho Mtakatifu kupitia Isaya anatuelekeza kwa Mungu, Mungu aliye hai, kama lengo kuu la kutazamwa—kwa Mungu kama alivyofunuliwa katika Kristo. ‘Maana kwa ajili yetu mtoto amezaliwa, tumepewa mwana; na mamlaka yatakuwa begani mwake; na jina lake litaitwa wa Ajabu, Mshauri, Mungu Mwenye Nguvu, Baba wa Milele, Mfalme wa Amani’ [Isaya 9:6].”</w:t>
      </w:r>
    </w:p>
    <w:p>
      <w:pPr>
        <w:pStyle w:val="ArticleScripture"/>
        <w:jc w:val="left"/>
      </w:pPr>
      <w:r>
        <w:rPr>
          <w:rFonts w:ascii="Times New Roman" w:hAnsi="Times New Roman" w:eastAsia="Times New Roman" w:cs="Times New Roman"/>
        </w:rPr>
        <w:t>“Ishusho Daniyeli yakiriye iturutse ku Mana ubwayo yahawe mu buryo bwihariye ku bw’iyi minsi y’imperuka. Iyerekwa yabonye ku nkengero z’Ulai na Hidekeli, ya migezi minini y’i Shinari, ubu riri mu nzira yo gusohora, kandi ibyabaye byose byahanuwe bidatinze bizaba bisohoye.”</w:t>
      </w:r>
    </w:p>
    <w:p>
      <w:pPr>
        <w:pStyle w:val="ArticleScripture"/>
        <w:jc w:val="left"/>
      </w:pPr>
      <w:r>
        <w:rPr>
          <w:rFonts w:ascii="Times New Roman" w:hAnsi="Times New Roman" w:eastAsia="Times New Roman" w:cs="Times New Roman"/>
        </w:rPr>
        <w:t>“Batshelang maemo a sechaba sa Bajuda nakong eo boporofeta ba Daniele bo neng bo fanoa ka eona. Baiseraele ba ne ba le botlamuoeng, tempele ea bona e ne e sentsoe, tšebeletso ea bona ea tempeleng e emisitsoe. Bolumeli ba bona bo ne bo thehiloe mekhoeng ea tsamaiso ea mahlabelo. Ba ne ba entse hore mefuta ea kantle e be eona ea bohlokoahali, athe ba ne ba lahlehetsoe ke moea oa khumamelo ea ’nete. Litšebeletso tsa bona li ne li silafalitsoe ke lineano le mekhoa ea bohetene, ’me ha ba phetha litšebeletso tsa mahlabelo ba ne ba sa talime ka nqane ho moriti ho ea ho seo e leng ntho ea sebele. Ba ne ba sa lemohe Kreste, nyehelo ea ’nete bakeng sa libe tsa batho. Morena o ile a sebetsa ho isa sechaba botlamuoeng, le ho emisa litšebeletso ka tempeleng, e le hore mekete ea kantle e se ke ea fetoha kakaretso eohle ea bolumeli ba bona. Melao-motheo le mekhoa ea bona li ne li tshwanetse ho hloekisoa boheteneng. Tšebeletso ea moetlo e ile ea khaotsa e le hore tšebeletso ea pelo e tle e tsosolosoe. Khanya ea kantle e ile ea tlosoa e le hore ea moea e tle e senoloe.”</w:t>
      </w:r>
    </w:p>
    <w:p>
      <w:pPr>
        <w:pStyle w:val="ArticleScripture"/>
        <w:jc w:val="left"/>
      </w:pPr>
      <w:r>
        <w:rPr>
          <w:rFonts w:ascii="Times New Roman" w:hAnsi="Times New Roman" w:eastAsia="Times New Roman" w:cs="Times New Roman"/>
        </w:rPr>
        <w:t>„V zemi svého zajetí, když se lid obracel k Hospodinu v pokání, zjevoval se jim. Postrádali vnější znázornění Jeho přítomnosti; avšak jasné paprsky Slunce spravedlnosti zářily do jejich mysli i srdcí. Když volali k Bohu ve svém ponížení a soužení, byla Jeho prorokům dávána vidění, která odhalovala budoucí události — svržení utlačovatelů Božího lidu, příchod Vykupitele a ustanovení věčného království.“ Manuscript Releases, svazek 16, 333–335.</w:t>
      </w:r>
    </w:p>
    <w:p>
      <w:pPr>
        <w:pStyle w:val="ArticleBody"/>
        <w:jc w:val="left"/>
      </w:pPr>
      <w:r>
        <w:rPr>
          <w:rFonts w:ascii="Times New Roman" w:hAnsi="Times New Roman" w:eastAsia="Times New Roman" w:cs="Times New Roman"/>
        </w:rPr>
        <w:t>“</w:t>
      </w:r>
      <w:r>
        <w:rPr>
          <w:rFonts w:ascii="Nirmala UI" w:hAnsi="Nirmala UI" w:eastAsia="Nirmala UI" w:cs="Nirmala UI"/>
        </w:rPr>
        <w:t>ফ্যাক্ট</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উলাই</w:t>
      </w:r>
      <w:r>
        <w:rPr>
          <w:rFonts w:ascii="Times New Roman" w:hAnsi="Times New Roman" w:eastAsia="Times New Roman" w:cs="Times New Roman"/>
        </w:rPr>
        <w:t xml:space="preserve"> </w:t>
      </w:r>
      <w:r>
        <w:rPr>
          <w:rFonts w:ascii="Nirmala UI" w:hAnsi="Nirmala UI" w:eastAsia="Nirmala UI" w:cs="Nirmala UI"/>
        </w:rPr>
        <w:t>নদীর</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শিক্ষার্থীকে</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প্রচেষ্টা</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বাধ্য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ঘটনাবলি</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পূর্ববাণী</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পারেন।</w:t>
      </w:r>
      <w:r>
        <w:rPr>
          <w:rFonts w:ascii="Times New Roman" w:hAnsi="Times New Roman" w:eastAsia="Times New Roman" w:cs="Times New Roman"/>
        </w:rPr>
        <w:t xml:space="preserve"> </w:t>
      </w:r>
      <w:r>
        <w:rPr>
          <w:rFonts w:ascii="Nirmala UI" w:hAnsi="Nirmala UI" w:eastAsia="Nirmala UI" w:cs="Nirmala UI"/>
        </w:rPr>
        <w:t>উলাই</w:t>
      </w:r>
      <w:r>
        <w:rPr>
          <w:rFonts w:ascii="Times New Roman" w:hAnsi="Times New Roman" w:eastAsia="Times New Roman" w:cs="Times New Roman"/>
        </w:rPr>
        <w:t xml:space="preserve"> </w:t>
      </w:r>
      <w:r>
        <w:rPr>
          <w:rFonts w:ascii="Nirmala UI" w:hAnsi="Nirmala UI" w:eastAsia="Nirmala UI" w:cs="Nirmala UI"/>
        </w:rPr>
        <w:t>নদীর</w:t>
      </w:r>
      <w:r>
        <w:rPr>
          <w:rFonts w:ascii="Times New Roman" w:hAnsi="Times New Roman" w:eastAsia="Times New Roman" w:cs="Times New Roman"/>
        </w:rPr>
        <w:t xml:space="preserve"> </w:t>
      </w:r>
      <w:r>
        <w:rPr>
          <w:rFonts w:ascii="Nirmala UI" w:hAnsi="Nirmala UI" w:eastAsia="Nirmala UI" w:cs="Nirmala UI"/>
        </w:rPr>
        <w:t>দর্শনের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সংশ্লিষ্ট</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বিষয়সমূহ</w:t>
      </w:r>
      <w:r>
        <w:rPr>
          <w:rFonts w:ascii="Times New Roman" w:hAnsi="Times New Roman" w:eastAsia="Times New Roman" w:cs="Times New Roman"/>
        </w:rPr>
        <w:t>”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কর্তৃক</w:t>
      </w:r>
      <w:r>
        <w:rPr>
          <w:rFonts w:ascii="Times New Roman" w:hAnsi="Times New Roman" w:eastAsia="Times New Roman" w:cs="Times New Roman"/>
        </w:rPr>
        <w:t xml:space="preserve"> “</w:t>
      </w:r>
      <w:r>
        <w:rPr>
          <w:rFonts w:ascii="Nirmala UI" w:hAnsi="Nirmala UI" w:eastAsia="Nirmala UI" w:cs="Nirmala UI"/>
        </w:rPr>
        <w:t>গঠিত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ভবিষ্যদ্বাণী</w:t>
      </w:r>
      <w:r>
        <w:rPr>
          <w:rFonts w:ascii="Times New Roman" w:hAnsi="Times New Roman" w:eastAsia="Times New Roman" w:cs="Times New Roman"/>
        </w:rPr>
        <w:t xml:space="preserve"> </w:t>
      </w:r>
      <w:r>
        <w:rPr>
          <w:rFonts w:ascii="Nirmala UI" w:hAnsi="Nirmala UI" w:eastAsia="Nirmala UI" w:cs="Nirmala UI"/>
        </w:rPr>
        <w:t>প্রদানের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ঘটনাবলিতে।</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নবী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ঘটছিল</w:t>
      </w:r>
      <w:r>
        <w:rPr>
          <w:rFonts w:ascii="Times New Roman" w:hAnsi="Times New Roman" w:eastAsia="Times New Roman" w:cs="Times New Roman"/>
        </w:rPr>
        <w:t xml:space="preserve">, </w:t>
      </w:r>
      <w:r>
        <w:rPr>
          <w:rFonts w:ascii="Nirmala UI" w:hAnsi="Nirmala UI" w:eastAsia="Nirmala UI" w:cs="Nirmala UI"/>
        </w:rPr>
        <w:t>তদুপরি</w:t>
      </w:r>
      <w:r>
        <w:rPr>
          <w:rFonts w:ascii="Times New Roman" w:hAnsi="Times New Roman" w:eastAsia="Times New Roman" w:cs="Times New Roman"/>
        </w:rPr>
        <w:t xml:space="preserve"> </w:t>
      </w:r>
      <w:r>
        <w:rPr>
          <w:rFonts w:ascii="Nirmala UI" w:hAnsi="Nirmala UI" w:eastAsia="Nirmala UI" w:cs="Nirmala UI"/>
        </w:rPr>
        <w:t>নবী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ঘটনাবলি</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অধ্যয়ন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উচিত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জ্ঞানে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বিষয়ের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পূর্ববর্তী</w:t>
      </w:r>
      <w:r>
        <w:rPr>
          <w:rFonts w:ascii="Times New Roman" w:hAnsi="Times New Roman" w:eastAsia="Times New Roman" w:cs="Times New Roman"/>
        </w:rPr>
        <w:t xml:space="preserve"> </w:t>
      </w:r>
      <w:r>
        <w:rPr>
          <w:rFonts w:ascii="Nirmala UI" w:hAnsi="Nirmala UI" w:eastAsia="Nirmala UI" w:cs="Nirmala UI"/>
        </w:rPr>
        <w:t>অনুচ্ছেদটি</w:t>
      </w:r>
      <w:r>
        <w:rPr>
          <w:rFonts w:ascii="Times New Roman" w:hAnsi="Times New Roman" w:eastAsia="Times New Roman" w:cs="Times New Roman"/>
        </w:rPr>
        <w:t xml:space="preserve"> </w:t>
      </w:r>
      <w:r>
        <w:rPr>
          <w:rFonts w:ascii="Nirmala UI" w:hAnsi="Nirmala UI" w:eastAsia="Nirmala UI" w:cs="Nirmala UI"/>
        </w:rPr>
        <w:t>জোর</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স্বীকার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উচিত</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বন্দিত্বে</w:t>
      </w:r>
      <w:r>
        <w:rPr>
          <w:rFonts w:ascii="Times New Roman" w:hAnsi="Times New Roman" w:eastAsia="Times New Roman" w:cs="Times New Roman"/>
        </w:rPr>
        <w:t xml:space="preserve"> </w:t>
      </w:r>
      <w:r>
        <w:rPr>
          <w:rFonts w:ascii="Nirmala UI" w:hAnsi="Nirmala UI" w:eastAsia="Nirmala UI" w:cs="Nirmala UI"/>
        </w:rPr>
        <w:t>ছিলেন।</w:t>
      </w:r>
    </w:p>
    <w:p>
      <w:pPr>
        <w:pStyle w:val="ArticleBody"/>
        <w:jc w:val="left"/>
      </w:pPr>
      <w:r>
        <w:rPr>
          <w:rFonts w:ascii="Times New Roman" w:hAnsi="Times New Roman" w:eastAsia="Times New Roman" w:cs="Times New Roman"/>
        </w:rPr>
        <w:t>Daniel représente ceux qui reconnaissent leur captivité à la conclusion des trois jours et demi d’Apocalypse onze, qui ensuite se tournent vers le Seigneur avec repentance, accomplissent la prière de Lévitique vingt-six, séparent ce qui est précieux de ce qui est vil, puis le Seigneur accomplit sa promesse de rassembler ceux qui ont été dispersés, en se manifestant à eux. Leur « principal objet d’attention » est alors « Dieu tel qu’il est révélé en Christ ».</w:t>
      </w:r>
    </w:p>
    <w:p>
      <w:pPr>
        <w:pStyle w:val="ArticleBody"/>
        <w:jc w:val="left"/>
      </w:pPr>
      <w:r>
        <w:rPr>
          <w:rFonts w:ascii="Times New Roman" w:hAnsi="Times New Roman" w:eastAsia="Times New Roman" w:cs="Times New Roman"/>
        </w:rPr>
        <w:t>La « portée » de la vision du fleuve d’Ulaï, et la manière dont elle contribue à la « structure » du message prophétique qui fut « conçue » par le Christ, est le premier « fait » que nous avons brièvement examiné, et le passage cité indique que notre principal objet doit être la révélation de Dieu, tel qu’« révélé en Christ ». Dans le chapitre huit de Daniel, le Christ n’est pas présenté tel qu’il le fut par Ésaïe, lorsque Ésaïe déclara que le « nom » du Christ « sera appelé Admirable, Conseiller, Dieu puissant, Père éternel, Prince de la paix ». Dans le chapitre huit de Daniel, Dieu est révélé en Christ comme Palmoni, signifiant le Merveilleux Compteur, ou le Compteur des Secrets.</w:t>
      </w:r>
    </w:p>
    <w:p>
      <w:pPr>
        <w:pStyle w:val="ArticleBody"/>
        <w:jc w:val="left"/>
      </w:pPr>
      <w:r>
        <w:rPr>
          <w:rFonts w:ascii="Times New Roman" w:hAnsi="Times New Roman" w:eastAsia="Times New Roman" w:cs="Times New Roman"/>
        </w:rPr>
        <w:t>Ky “fakt” kërkon që të shqyrtohet “domethënia” e emrit “Palmoni”, së bashku me mënyrën se si ai emër kontribuon në “strukturën” dhe “planin” e profecisë. Një “fakt” i tretë në kapitullin tetë të Danielit, që duhet të pranohet, është se pikërisht në atë kapitull parashtrohet shtylla qendrore doktrinore e lëvizjes Millerite. Xhevahiri më i ndritshëm i Millerit gjendej në vargun katërmbëdhjetë, dhe ne duhet të kërkojmë të kuptojmë “domethënien” që ai “fakt” ka mbi vegimin e lumit Ulai, i cili tani është në proces përmbushjeje.</w:t>
      </w:r>
    </w:p>
    <w:p>
      <w:pPr>
        <w:pStyle w:val="ArticleBody"/>
        <w:jc w:val="left"/>
      </w:pPr>
      <w:r>
        <w:rPr>
          <w:rFonts w:ascii="Times New Roman" w:hAnsi="Times New Roman" w:eastAsia="Times New Roman" w:cs="Times New Roman"/>
        </w:rPr>
        <w:t>Na sopi Miller, ora ang kabaong ket naisaad iti rabaw ti lamesa idiay tengnga ti silidna, nagraniag dayta iti kinalinteg ti init; ngem kadagiti maudi nga aldaw, ti kabaong ket dakdakkel ken agraniag iti sangapulo a daras a nalawag ngem idi immuna a naisaad iti rabaw ti lamesa ni Miller. Ania iti adda iti sirmata ti Karayan Ulai, a mangiraman iti kangrunaan nga adigi ti panaggunay ti Millerita, a mangpaadu iti lawag dayta a doktrina iti sangapulo a daras kadagiti maudi nga aldaw? Ania ti maiparangarang kadagiti maudi nga aldaw a saan a naiparangarang idi tiempo ti panungpalan idi 1798? Ania dagiti “paspasamak” ti sirmata ti Karayan Ulai, a kuna ni Kabsat a White a “ita ket maaddada iti proseso ti pannakatungpal?”</w:t>
      </w:r>
    </w:p>
    <w:p>
      <w:pPr>
        <w:pStyle w:val="ArticleBody"/>
        <w:jc w:val="left"/>
      </w:pPr>
      <w:r>
        <w:rPr>
          <w:rFonts w:ascii="Times New Roman" w:hAnsi="Times New Roman" w:eastAsia="Times New Roman" w:cs="Times New Roman"/>
        </w:rPr>
        <w:t>Eger biz şu ilkinji üç fakty açykdan-açyk bir ýere jemlesek (Ulaý baradaky görnüş, Mesihiň Palmoni hökmünde açylmagy we merkezi taglymat sütüniniň bolmagy), onda biz Ulaý derýasynyň görnüşini öwrenişimize täsir etjek bir ýönekeý başlangyç pikiri kabul etmäge taýýar bolmalydyrys. Bu birleşen faktlar görmek isleýänlere 1798-nji ýylda möhri açylan habaryň “wagta asylyp goýlan” bir habar bolandygyny bildirýär. Öňünden aýdylýan wagt pygamberliginiň elementi bolmasady, Milleriň habary asla bolmazdy.</w:t>
      </w:r>
    </w:p>
    <w:p>
      <w:pPr>
        <w:pStyle w:val="ArticleBody"/>
        <w:jc w:val="left"/>
      </w:pPr>
      <w:r>
        <w:rPr>
          <w:rFonts w:ascii="Times New Roman" w:hAnsi="Times New Roman" w:eastAsia="Times New Roman" w:cs="Times New Roman"/>
        </w:rPr>
        <w:t>Qodobni afraad ee “xaqiiqada” ee khuseeya cutubkan waa in Milleriyiintu ay soo bandhigeen farriin ku salaysan waqti nebiyadeed. Si xaqiiqadan loo adkeeyo, Ilaah waxaa lagu muujiyey Masiixa, aayadaha saddex iyo tobnaad iyo afar iyo tobnaad, sida Tiriyaha Yaabka leh (Palmoni). Fikradda ah in riyadu ay ka koobnayd oo keliya aqoonsiga Oktoobar 22, 1844, sida dhammaadka labada kun iyo saddexda boqol ee maalmood ee aayadda afar iyo tobnaad, waa in biyo qabow lagu shubo muujinta Ilaah ee lagu muujiyey Masiixa sida Palmoni.</w:t>
      </w:r>
    </w:p>
    <w:p>
      <w:pPr>
        <w:pStyle w:val="ArticleBody"/>
        <w:jc w:val="left"/>
      </w:pPr>
      <w:r>
        <w:rPr>
          <w:rFonts w:ascii="Leelawadee UI" w:hAnsi="Leelawadee UI" w:eastAsia="Leelawadee UI" w:cs="Leelawadee UI"/>
        </w:rPr>
        <w:t>អធិការបណ្ឌិតវិទ្យាសាស្ត្រសាសនារបស់អាដ</w:t>
      </w:r>
      <w:r>
        <w:rPr>
          <w:rFonts w:ascii="Times New Roman" w:hAnsi="Times New Roman" w:eastAsia="Times New Roman" w:cs="Times New Roman"/>
        </w:rPr>
        <w:t>վեն</w:t>
      </w:r>
      <w:r>
        <w:rPr>
          <w:rFonts w:ascii="Leelawadee UI" w:hAnsi="Leelawadee UI" w:eastAsia="Leelawadee UI" w:cs="Leelawadee UI"/>
        </w:rPr>
        <w:t>ទីស្ដ</w:t>
      </w:r>
      <w:r>
        <w:rPr>
          <w:rFonts w:ascii="Times New Roman" w:hAnsi="Times New Roman" w:eastAsia="Times New Roman" w:cs="Times New Roman"/>
        </w:rPr>
        <w:t xml:space="preserve"> </w:t>
      </w:r>
      <w:r>
        <w:rPr>
          <w:rFonts w:ascii="Leelawadee UI" w:hAnsi="Leelawadee UI" w:eastAsia="Leelawadee UI" w:cs="Leelawadee UI"/>
        </w:rPr>
        <w:t>បានខិតខំយ៉ាងអត់ធ្មត់</w:t>
      </w:r>
      <w:r>
        <w:rPr>
          <w:rFonts w:ascii="Times New Roman" w:hAnsi="Times New Roman" w:eastAsia="Times New Roman" w:cs="Times New Roman"/>
        </w:rPr>
        <w:t xml:space="preserve"> </w:t>
      </w:r>
      <w:r>
        <w:rPr>
          <w:rFonts w:ascii="Leelawadee UI" w:hAnsi="Leelawadee UI" w:eastAsia="Leelawadee UI" w:cs="Leelawadee UI"/>
        </w:rPr>
        <w:t>ដើម្បីបាំងបិទសារៈសំខាន់នៃសំណួរនៅខទីដប់បី</w:t>
      </w:r>
      <w:r>
        <w:rPr>
          <w:rFonts w:ascii="Times New Roman" w:hAnsi="Times New Roman" w:eastAsia="Times New Roman" w:cs="Times New Roman"/>
        </w:rPr>
        <w:t xml:space="preserve"> </w:t>
      </w:r>
      <w:r>
        <w:rPr>
          <w:rFonts w:ascii="Leelawadee UI" w:hAnsi="Leelawadee UI" w:eastAsia="Leelawadee UI" w:cs="Leelawadee UI"/>
        </w:rPr>
        <w:t>នៃដានីយ៉ែល</w:t>
      </w:r>
      <w:r>
        <w:rPr>
          <w:rFonts w:ascii="Times New Roman" w:hAnsi="Times New Roman" w:eastAsia="Times New Roman" w:cs="Times New Roman"/>
        </w:rPr>
        <w:t xml:space="preserve"> </w:t>
      </w:r>
      <w:r>
        <w:rPr>
          <w:rFonts w:ascii="Leelawadee UI" w:hAnsi="Leelawadee UI" w:eastAsia="Leelawadee UI" w:cs="Leelawadee UI"/>
        </w:rPr>
        <w:t>ជំពូកទីប្រាំបី</w:t>
      </w:r>
      <w:r>
        <w:rPr>
          <w:rFonts w:ascii="Times New Roman" w:hAnsi="Times New Roman" w:eastAsia="Times New Roman" w:cs="Times New Roman"/>
        </w:rPr>
        <w:t xml:space="preserve"> </w:t>
      </w:r>
      <w:r>
        <w:rPr>
          <w:rFonts w:ascii="Leelawadee UI" w:hAnsi="Leelawadee UI" w:eastAsia="Leelawadee UI" w:cs="Leelawadee UI"/>
        </w:rPr>
        <w:t>ដើម្បីបង្កើតរសជាតិក្នុងម្ហូបនៃរឿងព្រេងក្លែងក្លាយរបស់ពួកគេ</w:t>
      </w:r>
      <w:r>
        <w:rPr>
          <w:rFonts w:ascii="Times New Roman" w:hAnsi="Times New Roman" w:eastAsia="Times New Roman" w:cs="Times New Roman"/>
        </w:rPr>
        <w:t xml:space="preserve"> </w:t>
      </w:r>
      <w:r>
        <w:rPr>
          <w:rFonts w:ascii="Leelawadee UI" w:hAnsi="Leelawadee UI" w:eastAsia="Leelawadee UI" w:cs="Leelawadee UI"/>
        </w:rPr>
        <w:t>ដែលពួកគេបានកំណត់ថា</w:t>
      </w:r>
      <w:r>
        <w:rPr>
          <w:rFonts w:ascii="Times New Roman" w:hAnsi="Times New Roman" w:eastAsia="Times New Roman" w:cs="Times New Roman"/>
        </w:rPr>
        <w:t xml:space="preserve"> </w:t>
      </w:r>
      <w:r>
        <w:rPr>
          <w:rFonts w:ascii="Leelawadee UI" w:hAnsi="Leelawadee UI" w:eastAsia="Leelawadee UI" w:cs="Leelawadee UI"/>
        </w:rPr>
        <w:t>នឹងរក្សាអ្នកដែលមិនមានចំណេះដឹង</w:t>
      </w:r>
      <w:r>
        <w:rPr>
          <w:rFonts w:ascii="Times New Roman" w:hAnsi="Times New Roman" w:eastAsia="Times New Roman" w:cs="Times New Roman"/>
        </w:rPr>
        <w:t xml:space="preserve"> </w:t>
      </w:r>
      <w:r>
        <w:rPr>
          <w:rFonts w:ascii="Leelawadee UI" w:hAnsi="Leelawadee UI" w:eastAsia="Leelawadee UI" w:cs="Leelawadee UI"/>
        </w:rPr>
        <w:t>មានត្រចៀករមាស់</w:t>
      </w:r>
      <w:r>
        <w:rPr>
          <w:rFonts w:ascii="Times New Roman" w:hAnsi="Times New Roman" w:eastAsia="Times New Roman" w:cs="Times New Roman"/>
        </w:rPr>
        <w:t xml:space="preserve"> </w:t>
      </w:r>
      <w:r>
        <w:rPr>
          <w:rFonts w:ascii="Leelawadee UI" w:hAnsi="Leelawadee UI" w:eastAsia="Leelawadee UI" w:cs="Leelawadee UI"/>
        </w:rPr>
        <w:t>មិនឲ្យខ្វល់ខ្វាយអំពីសេចក្តីពិតទាំងឡាយដែលទាក់ទងនឹងសសរគ្រឹះកណ្ដាលនៃអាដ</w:t>
      </w:r>
      <w:r>
        <w:rPr>
          <w:rFonts w:ascii="Times New Roman" w:hAnsi="Times New Roman" w:eastAsia="Times New Roman" w:cs="Times New Roman"/>
        </w:rPr>
        <w:t>վեն</w:t>
      </w:r>
      <w:r>
        <w:rPr>
          <w:rFonts w:ascii="Leelawadee UI" w:hAnsi="Leelawadee UI" w:eastAsia="Leelawadee UI" w:cs="Leelawadee UI"/>
        </w:rPr>
        <w:t>ទីស្ដ។</w:t>
      </w:r>
    </w:p>
    <w:p>
      <w:pPr>
        <w:pStyle w:val="ArticleScripture"/>
        <w:jc w:val="left"/>
      </w:pPr>
      <w:r>
        <w:rPr>
          <w:rFonts w:ascii="Times New Roman" w:hAnsi="Times New Roman" w:eastAsia="Times New Roman" w:cs="Times New Roman"/>
        </w:rPr>
        <w:t>«Le passage de l’Écriture qui, plus que tout autre, avait été à la fois le fondement et le pilier central de la foi adventiste, était cette déclaration : “Jusqu’à deux mille trois cents soirs et matins ; puis le sanctuaire sera purifié.” [Daniel 8:14.] Ces paroles étaient familières à tous ceux qui croyaient au retour prochain du Seigneur. Des lèvres de milliers de croyants, cette prophétie était répétée comme le mot d’ordre de leur foi. Tous sentaient que de l’accomplissement des événements qui y étaient annoncés dépendaient leurs plus brillantes attentes et leurs espérances les plus chères. Il avait été montré que ces jours prophétiques devaient prendre fin à l’automne de 1844. Comme le reste du monde chrétien, les adventistes soutenaient alors que la terre, ou quelque partie de celle-ci, était le sanctuaire. Ils comprenaient que la purification du sanctuaire était la purification de la terre par les feux du grand dernier jour, et que cela devait avoir lieu lors du second avènement. De là venait la conclusion que le Christ reviendrait sur la terre en 1844. »</w:t>
      </w:r>
    </w:p>
    <w:p>
      <w:pPr>
        <w:pStyle w:val="ArticleScripture"/>
        <w:jc w:val="left"/>
      </w:pPr>
      <w:r>
        <w:rPr>
          <w:rFonts w:ascii="Times New Roman" w:hAnsi="Times New Roman" w:eastAsia="Times New Roman" w:cs="Times New Roman"/>
        </w:rPr>
        <w:t>“Mais le temps fixé était passé, et le Seigneur n’était pas apparu. Les croyants savaient que la Parole de Dieu ne pouvait faillir; leur interprétation de la prophétie devait donc être en défaut; mais où était l’erreur? Beaucoup tranchèrent témérairement le nœud de la difficulté en niant que les 2300 jours prissent fin en 1844. Aucune raison ne pouvait en être donnée, sinon que Christ n’était pas venu au moment où ils l’attendaient. Ils soutenaient que, si les jours prophétiques s’étaient achevés en 1844, Christ serait alors revenu pour purifier le sanctuaire par la purification de la terre par le feu; et que, puisqu’il n’était pas venu, les jours ne pouvaient s’être achevés.</w:t>
      </w:r>
    </w:p>
    <w:p>
      <w:pPr>
        <w:pStyle w:val="ArticleScripture"/>
        <w:jc w:val="left"/>
      </w:pPr>
      <w:r>
        <w:rPr>
          <w:rFonts w:ascii="Times New Roman" w:hAnsi="Times New Roman" w:eastAsia="Times New Roman" w:cs="Times New Roman"/>
        </w:rPr>
        <w:t>“</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निष्कर्ष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गणना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परित्याग</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2300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पुनर्स्थापना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अर्तक्षत्र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457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शरद</w:t>
      </w:r>
      <w:r>
        <w:rPr>
          <w:rFonts w:ascii="Times New Roman" w:hAnsi="Times New Roman" w:eastAsia="Times New Roman" w:cs="Times New Roman"/>
        </w:rPr>
        <w:t xml:space="preserve"> </w:t>
      </w:r>
      <w:r>
        <w:rPr>
          <w:rFonts w:ascii="Nirmala UI" w:hAnsi="Nirmala UI" w:eastAsia="Nirmala UI" w:cs="Nirmala UI"/>
        </w:rPr>
        <w:t>ऋतु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9:25–27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पूर्वकथित</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घटनाओं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अनुप्रयोग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सामंजस्य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उनहत्तर</w:t>
      </w:r>
      <w:r>
        <w:rPr>
          <w:rFonts w:ascii="Times New Roman" w:hAnsi="Times New Roman" w:eastAsia="Times New Roman" w:cs="Times New Roman"/>
        </w:rPr>
        <w:t xml:space="preserve"> </w:t>
      </w:r>
      <w:r>
        <w:rPr>
          <w:rFonts w:ascii="Nirmala UI" w:hAnsi="Nirmala UI" w:eastAsia="Nirmala UI" w:cs="Nirmala UI"/>
        </w:rPr>
        <w:t>सप्ताह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2300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483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अभिषिक्त</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ईस्वी</w:t>
      </w:r>
      <w:r>
        <w:rPr>
          <w:rFonts w:ascii="Times New Roman" w:hAnsi="Times New Roman" w:eastAsia="Times New Roman" w:cs="Times New Roman"/>
        </w:rPr>
        <w:t xml:space="preserve"> 27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अभिषेक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विनिर्देश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सत्तरवें</w:t>
      </w:r>
      <w:r>
        <w:rPr>
          <w:rFonts w:ascii="Times New Roman" w:hAnsi="Times New Roman" w:eastAsia="Times New Roman" w:cs="Times New Roman"/>
        </w:rPr>
        <w:t xml:space="preserve"> </w:t>
      </w:r>
      <w:r>
        <w:rPr>
          <w:rFonts w:ascii="Nirmala UI" w:hAnsi="Nirmala UI" w:eastAsia="Nirmala UI" w:cs="Nirmala UI"/>
        </w:rPr>
        <w:t>सप्ताह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काट</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ईस्वी</w:t>
      </w:r>
      <w:r>
        <w:rPr>
          <w:rFonts w:ascii="Times New Roman" w:hAnsi="Times New Roman" w:eastAsia="Times New Roman" w:cs="Times New Roman"/>
        </w:rPr>
        <w:t xml:space="preserve"> 31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वसन्त</w:t>
      </w:r>
      <w:r>
        <w:rPr>
          <w:rFonts w:ascii="Times New Roman" w:hAnsi="Times New Roman" w:eastAsia="Times New Roman" w:cs="Times New Roman"/>
        </w:rPr>
        <w:t xml:space="preserve"> </w:t>
      </w:r>
      <w:r>
        <w:rPr>
          <w:rFonts w:ascii="Nirmala UI" w:hAnsi="Nirmala UI" w:eastAsia="Nirmala UI" w:cs="Nirmala UI"/>
        </w:rPr>
        <w:t>ऋतु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चढ़ाया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सप्ताह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490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ईस्वी</w:t>
      </w:r>
      <w:r>
        <w:rPr>
          <w:rFonts w:ascii="Times New Roman" w:hAnsi="Times New Roman" w:eastAsia="Times New Roman" w:cs="Times New Roman"/>
        </w:rPr>
        <w:t xml:space="preserve"> 34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2300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490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1810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शेष</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ईस्वी</w:t>
      </w:r>
      <w:r>
        <w:rPr>
          <w:rFonts w:ascii="Times New Roman" w:hAnsi="Times New Roman" w:eastAsia="Times New Roman" w:cs="Times New Roman"/>
        </w:rPr>
        <w:t xml:space="preserve"> 34 </w:t>
      </w:r>
      <w:r>
        <w:rPr>
          <w:rFonts w:ascii="Nirmala UI" w:hAnsi="Nirmala UI" w:eastAsia="Nirmala UI" w:cs="Nirmala UI"/>
        </w:rPr>
        <w:t>से</w:t>
      </w:r>
      <w:r>
        <w:rPr>
          <w:rFonts w:ascii="Times New Roman" w:hAnsi="Times New Roman" w:eastAsia="Times New Roman" w:cs="Times New Roman"/>
        </w:rPr>
        <w:t xml:space="preserve"> 1810 </w:t>
      </w:r>
      <w:r>
        <w:rPr>
          <w:rFonts w:ascii="Nirmala UI" w:hAnsi="Nirmala UI" w:eastAsia="Nirmala UI" w:cs="Nirmala UI"/>
        </w:rPr>
        <w:t>वर्ष</w:t>
      </w:r>
      <w:r>
        <w:rPr>
          <w:rFonts w:ascii="Times New Roman" w:hAnsi="Times New Roman" w:eastAsia="Times New Roman" w:cs="Times New Roman"/>
        </w:rPr>
        <w:t xml:space="preserve"> 1844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पूर्ववर्ती</w:t>
      </w:r>
      <w:r>
        <w:rPr>
          <w:rFonts w:ascii="Times New Roman" w:hAnsi="Times New Roman" w:eastAsia="Times New Roman" w:cs="Times New Roman"/>
        </w:rPr>
        <w:t xml:space="preserve"> </w:t>
      </w:r>
      <w:r>
        <w:rPr>
          <w:rFonts w:ascii="Nirmala UI" w:hAnsi="Nirmala UI" w:eastAsia="Nirmala UI" w:cs="Nirmala UI"/>
        </w:rPr>
        <w:t>विनिर्देश</w:t>
      </w:r>
      <w:r>
        <w:rPr>
          <w:rFonts w:ascii="Times New Roman" w:hAnsi="Times New Roman" w:eastAsia="Times New Roman" w:cs="Times New Roman"/>
        </w:rPr>
        <w:t xml:space="preserve"> </w:t>
      </w:r>
      <w:r>
        <w:rPr>
          <w:rFonts w:ascii="Nirmala UI" w:hAnsi="Nirmala UI" w:eastAsia="Nirmala UI" w:cs="Nirmala UI"/>
        </w:rPr>
        <w:t>नियत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निःसंदेह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गणना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सामंजस्यपूर्ण</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उलझन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डालना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स्थापनाओं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परित्याग</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अचूक</w:t>
      </w:r>
      <w:r>
        <w:rPr>
          <w:rFonts w:ascii="Times New Roman" w:hAnsi="Times New Roman" w:eastAsia="Times New Roman" w:cs="Times New Roman"/>
        </w:rPr>
        <w:t xml:space="preserve"> </w:t>
      </w:r>
      <w:r>
        <w:rPr>
          <w:rFonts w:ascii="Nirmala UI" w:hAnsi="Nirmala UI" w:eastAsia="Nirmala UI" w:cs="Nirmala UI"/>
        </w:rPr>
        <w:t>पूर्तियों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“Men Gud havde ledt sit folk i den store adventbevægelse; hans kraft og herlighed havde ledsaget værket, og han ville ikke tillade, at det endte i mørke og skuffelse og blev udskældt som en falsk og fanatisk ophidselse. Han ville ikke lade sit ord være indhyllet i tvivl og usikkerhed. Skønt mange opgav deres tidligere beregning af de profetiske tidsperioder og benægtede rigtigheden af den bevægelse, der var bygget derpå, var andre uvillige til at give afkald på tros- og erfaringspunkter, som blev understøttet af Skrifterne og af Guds Ånds vidnesbyrd. De troede, at de havde anvendt sunde fortolkningsprincipper i deres studium af profetierne, og at det var deres pligt at holde fast ved de sandheder, de allerede havde vundet, og at fortsætte den samme bane i bibelsk forskning. Med inderlig bøn gennemgik de på ny deres standpunkt og ransagede Skrifterne for at opdage deres fejl. Da de ikke kunne se nogen fejl i deres beregning af de profetiske tidsperioder, blev de ledt til at undersøge emnet om helligdommen nærmere.” The Great Controversy, 409, 410.</w:t>
      </w:r>
    </w:p>
    <w:p>
      <w:pPr>
        <w:pStyle w:val="ArticleBody"/>
        <w:jc w:val="left"/>
      </w:pPr>
      <w:r>
        <w:rPr>
          <w:rFonts w:ascii="Times New Roman" w:hAnsi="Times New Roman" w:eastAsia="Times New Roman" w:cs="Times New Roman"/>
        </w:rPr>
        <w:t>Nous avons été informés par Sœur White, dans le même passage où la vision du fleuve d’Ulaï est identifiée, qu’« il est nécessaire d’étudier beaucoup plus attentivement la Parole de Dieu ». Les théologiens présenteront le sujet des « périodes prophétiques » dans le passage précédent de The Great Controversy, comme si les « périodes prophétiques » auxquelles Sœur White limite son commentaire étaient les cinq prophéties représentées dans la prophétie des deux mille trois cents ans. Après tout, affirment-ils, quatre de ces prophéties sont expressément abordées dans le passage. Mais une étude « beaucoup plus attentive » du sujet démontre que l’expression « périodes prophétiques », au pluriel, dans les écrits de Sœur White, se rapporte plus précisément aux deux prophéties qui devaient s’accomplir le 22 octobre 1844.</w:t>
      </w:r>
    </w:p>
    <w:p>
      <w:pPr>
        <w:pStyle w:val="ArticleBody"/>
        <w:jc w:val="left"/>
      </w:pPr>
      <w:r>
        <w:rPr>
          <w:rFonts w:ascii="Nirmala UI" w:hAnsi="Nirmala UI" w:eastAsia="Nirmala UI" w:cs="Nirmala UI"/>
        </w:rPr>
        <w:t>ગેબ્રિએલે</w:t>
      </w:r>
      <w:r>
        <w:rPr>
          <w:rFonts w:ascii="Times New Roman" w:hAnsi="Times New Roman" w:eastAsia="Times New Roman" w:cs="Times New Roman"/>
        </w:rPr>
        <w:t xml:space="preserve"> </w:t>
      </w:r>
      <w:r>
        <w:rPr>
          <w:rFonts w:ascii="Nirmala UI" w:hAnsi="Nirmala UI" w:eastAsia="Nirmala UI" w:cs="Nirmala UI"/>
        </w:rPr>
        <w:t>દાનિયેલને</w:t>
      </w:r>
      <w:r>
        <w:rPr>
          <w:rFonts w:ascii="Times New Roman" w:hAnsi="Times New Roman" w:eastAsia="Times New Roman" w:cs="Times New Roman"/>
        </w:rPr>
        <w:t xml:space="preserve"> </w:t>
      </w:r>
      <w:r>
        <w:rPr>
          <w:rFonts w:ascii="Nirmala UI" w:hAnsi="Nirmala UI" w:eastAsia="Nirmala UI" w:cs="Nirmala UI"/>
        </w:rPr>
        <w:t>ઓળખાવેલી</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ત્રેવીસ</w:t>
      </w:r>
      <w:r>
        <w:rPr>
          <w:rFonts w:ascii="Times New Roman" w:hAnsi="Times New Roman" w:eastAsia="Times New Roman" w:cs="Times New Roman"/>
        </w:rPr>
        <w:t xml:space="preserve"> </w:t>
      </w:r>
      <w:r>
        <w:rPr>
          <w:rFonts w:ascii="Nirmala UI" w:hAnsi="Nirmala UI" w:eastAsia="Nirmala UI" w:cs="Nirmala UI"/>
        </w:rPr>
        <w:t>સો</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ભાગરૂપ</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પાંચ</w:t>
      </w:r>
      <w:r>
        <w:rPr>
          <w:rFonts w:ascii="Times New Roman" w:hAnsi="Times New Roman" w:eastAsia="Times New Roman" w:cs="Times New Roman"/>
        </w:rPr>
        <w:t xml:space="preserve"> </w:t>
      </w:r>
      <w:r>
        <w:rPr>
          <w:rFonts w:ascii="Nirmala UI" w:hAnsi="Nirmala UI" w:eastAsia="Nirmala UI" w:cs="Nirmala UI"/>
        </w:rPr>
        <w:t>નિર્ધારિત</w:t>
      </w:r>
      <w:r>
        <w:rPr>
          <w:rFonts w:ascii="Times New Roman" w:hAnsi="Times New Roman" w:eastAsia="Times New Roman" w:cs="Times New Roman"/>
        </w:rPr>
        <w:t xml:space="preserve"> </w:t>
      </w:r>
      <w:r>
        <w:rPr>
          <w:rFonts w:ascii="Nirmala UI" w:hAnsi="Nirmala UI" w:eastAsia="Nirmala UI" w:cs="Nirmala UI"/>
        </w:rPr>
        <w:t>સમયસંબંધિત</w:t>
      </w:r>
      <w:r>
        <w:rPr>
          <w:rFonts w:ascii="Times New Roman" w:hAnsi="Times New Roman" w:eastAsia="Times New Roman" w:cs="Times New Roman"/>
        </w:rPr>
        <w:t xml:space="preserve"> </w:t>
      </w:r>
      <w:r>
        <w:rPr>
          <w:rFonts w:ascii="Nirmala UI" w:hAnsi="Nirmala UI" w:eastAsia="Nirmala UI" w:cs="Nirmala UI"/>
        </w:rPr>
        <w:t>ભવિષ્યવાણીઓ</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ભવિષ્યવાણી</w:t>
      </w:r>
      <w:r>
        <w:rPr>
          <w:rFonts w:ascii="Times New Roman" w:hAnsi="Times New Roman" w:eastAsia="Times New Roman" w:cs="Times New Roman"/>
        </w:rPr>
        <w:t xml:space="preserve"> </w:t>
      </w:r>
      <w:r>
        <w:rPr>
          <w:rFonts w:ascii="Nirmala UI" w:hAnsi="Nirmala UI" w:eastAsia="Nirmala UI" w:cs="Nirmala UI"/>
        </w:rPr>
        <w:t>ઓગણપચાસ</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દર્શાવે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ગલીઓ</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ભીંતો</w:t>
      </w:r>
      <w:r>
        <w:rPr>
          <w:rFonts w:ascii="Times New Roman" w:hAnsi="Times New Roman" w:eastAsia="Times New Roman" w:cs="Times New Roman"/>
        </w:rPr>
        <w:t xml:space="preserve"> </w:t>
      </w:r>
      <w:r>
        <w:rPr>
          <w:rFonts w:ascii="Nirmala UI" w:hAnsi="Nirmala UI" w:eastAsia="Nirmala UI" w:cs="Nirmala UI"/>
        </w:rPr>
        <w:t>કષ્ટભર્યા</w:t>
      </w:r>
      <w:r>
        <w:rPr>
          <w:rFonts w:ascii="Times New Roman" w:hAnsi="Times New Roman" w:eastAsia="Times New Roman" w:cs="Times New Roman"/>
        </w:rPr>
        <w:t xml:space="preserve"> </w:t>
      </w:r>
      <w:r>
        <w:rPr>
          <w:rFonts w:ascii="Nirmala UI" w:hAnsi="Nirmala UI" w:eastAsia="Nirmala UI" w:cs="Nirmala UI"/>
        </w:rPr>
        <w:t>સમયમાં</w:t>
      </w:r>
      <w:r>
        <w:rPr>
          <w:rFonts w:ascii="Times New Roman" w:hAnsi="Times New Roman" w:eastAsia="Times New Roman" w:cs="Times New Roman"/>
        </w:rPr>
        <w:t xml:space="preserve"> </w:t>
      </w:r>
      <w:r>
        <w:rPr>
          <w:rFonts w:ascii="Nirmala UI" w:hAnsi="Nirmala UI" w:eastAsia="Nirmala UI" w:cs="Nirmala UI"/>
        </w:rPr>
        <w:t>બાંધવામાં</w:t>
      </w:r>
      <w:r>
        <w:rPr>
          <w:rFonts w:ascii="Times New Roman" w:hAnsi="Times New Roman" w:eastAsia="Times New Roman" w:cs="Times New Roman"/>
        </w:rPr>
        <w:t xml:space="preserve"> </w:t>
      </w:r>
      <w:r>
        <w:rPr>
          <w:rFonts w:ascii="Nirmala UI" w:hAnsi="Nirmala UI" w:eastAsia="Nirmala UI" w:cs="Nirmala UI"/>
        </w:rPr>
        <w:t>આવશે</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w:t>
      </w:r>
      <w:r>
        <w:rPr>
          <w:rFonts w:ascii="Nirmala UI" w:hAnsi="Nirmala UI" w:eastAsia="Nirmala UI" w:cs="Nirmala UI"/>
        </w:rPr>
        <w:t>પૂર્વે</w:t>
      </w:r>
      <w:r>
        <w:rPr>
          <w:rFonts w:ascii="Times New Roman" w:hAnsi="Times New Roman" w:eastAsia="Times New Roman" w:cs="Times New Roman"/>
        </w:rPr>
        <w:t xml:space="preserve"> 457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પ્રારંભબિંદુથી</w:t>
      </w:r>
      <w:r>
        <w:rPr>
          <w:rFonts w:ascii="Times New Roman" w:hAnsi="Times New Roman" w:eastAsia="Times New Roman" w:cs="Times New Roman"/>
        </w:rPr>
        <w:t xml:space="preserve"> </w:t>
      </w:r>
      <w:r>
        <w:rPr>
          <w:rFonts w:ascii="Nirmala UI" w:hAnsi="Nirmala UI" w:eastAsia="Nirmala UI" w:cs="Nirmala UI"/>
        </w:rPr>
        <w:t>ચારસો</w:t>
      </w:r>
      <w:r>
        <w:rPr>
          <w:rFonts w:ascii="Times New Roman" w:hAnsi="Times New Roman" w:eastAsia="Times New Roman" w:cs="Times New Roman"/>
        </w:rPr>
        <w:t xml:space="preserve"> </w:t>
      </w:r>
      <w:r>
        <w:rPr>
          <w:rFonts w:ascii="Nirmala UI" w:hAnsi="Nirmala UI" w:eastAsia="Nirmala UI" w:cs="Nirmala UI"/>
        </w:rPr>
        <w:t>ત્ર્યાસી</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બાપ્તિસ્માને</w:t>
      </w:r>
      <w:r>
        <w:rPr>
          <w:rFonts w:ascii="Times New Roman" w:hAnsi="Times New Roman" w:eastAsia="Times New Roman" w:cs="Times New Roman"/>
        </w:rPr>
        <w:t xml:space="preserve"> </w:t>
      </w:r>
      <w:r>
        <w:rPr>
          <w:rFonts w:ascii="Nirmala UI" w:hAnsi="Nirmala UI" w:eastAsia="Nirmala UI" w:cs="Nirmala UI"/>
        </w:rPr>
        <w:t>દર્શાવે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ક્રૂસાવિધિને</w:t>
      </w:r>
      <w:r>
        <w:rPr>
          <w:rFonts w:ascii="Times New Roman" w:hAnsi="Times New Roman" w:eastAsia="Times New Roman" w:cs="Times New Roman"/>
        </w:rPr>
        <w:t xml:space="preserve"> </w:t>
      </w:r>
      <w:r>
        <w:rPr>
          <w:rFonts w:ascii="Nirmala UI" w:hAnsi="Nirmala UI" w:eastAsia="Nirmala UI" w:cs="Nirmala UI"/>
        </w:rPr>
        <w:t>દર્શાવે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ચોથી</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દર્શાવે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સુસમાચાર</w:t>
      </w:r>
      <w:r>
        <w:rPr>
          <w:rFonts w:ascii="Times New Roman" w:hAnsi="Times New Roman" w:eastAsia="Times New Roman" w:cs="Times New Roman"/>
        </w:rPr>
        <w:t xml:space="preserve"> </w:t>
      </w:r>
      <w:r>
        <w:rPr>
          <w:rFonts w:ascii="Nirmala UI" w:hAnsi="Nirmala UI" w:eastAsia="Nirmala UI" w:cs="Nirmala UI"/>
        </w:rPr>
        <w:t>યહૂદી</w:t>
      </w:r>
      <w:r>
        <w:rPr>
          <w:rFonts w:ascii="Times New Roman" w:hAnsi="Times New Roman" w:eastAsia="Times New Roman" w:cs="Times New Roman"/>
        </w:rPr>
        <w:t xml:space="preserve"> </w:t>
      </w:r>
      <w:r>
        <w:rPr>
          <w:rFonts w:ascii="Nirmala UI" w:hAnsi="Nirmala UI" w:eastAsia="Nirmala UI" w:cs="Nirmala UI"/>
        </w:rPr>
        <w:t>જાતિ</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વિશેષરૂપે</w:t>
      </w:r>
      <w:r>
        <w:rPr>
          <w:rFonts w:ascii="Times New Roman" w:hAnsi="Times New Roman" w:eastAsia="Times New Roman" w:cs="Times New Roman"/>
        </w:rPr>
        <w:t xml:space="preserve"> </w:t>
      </w:r>
      <w:r>
        <w:rPr>
          <w:rFonts w:ascii="Nirmala UI" w:hAnsi="Nirmala UI" w:eastAsia="Nirmala UI" w:cs="Nirmala UI"/>
        </w:rPr>
        <w:t>અલગ</w:t>
      </w:r>
      <w:r>
        <w:rPr>
          <w:rFonts w:ascii="Times New Roman" w:hAnsi="Times New Roman" w:eastAsia="Times New Roman" w:cs="Times New Roman"/>
        </w:rPr>
        <w:t xml:space="preserve"> </w:t>
      </w:r>
      <w:r>
        <w:rPr>
          <w:rFonts w:ascii="Nirmala UI" w:hAnsi="Nirmala UI" w:eastAsia="Nirmala UI" w:cs="Nirmala UI"/>
        </w:rPr>
        <w:t>રાખવામાં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ચારસો</w:t>
      </w:r>
      <w:r>
        <w:rPr>
          <w:rFonts w:ascii="Times New Roman" w:hAnsi="Times New Roman" w:eastAsia="Times New Roman" w:cs="Times New Roman"/>
        </w:rPr>
        <w:t xml:space="preserve"> </w:t>
      </w:r>
      <w:r>
        <w:rPr>
          <w:rFonts w:ascii="Nirmala UI" w:hAnsi="Nirmala UI" w:eastAsia="Nirmala UI" w:cs="Nirmala UI"/>
        </w:rPr>
        <w:t>નેવું</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w:t>
      </w:r>
      <w:r>
        <w:rPr>
          <w:rFonts w:ascii="Nirmala UI" w:hAnsi="Nirmala UI" w:eastAsia="Nirmala UI" w:cs="Nirmala UI"/>
        </w:rPr>
        <w:t>અન્યજાતિઓ</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પહોંચશે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પાંચમી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માત્ર</w:t>
      </w:r>
      <w:r>
        <w:rPr>
          <w:rFonts w:ascii="Times New Roman" w:hAnsi="Times New Roman" w:eastAsia="Times New Roman" w:cs="Times New Roman"/>
        </w:rPr>
        <w:t xml:space="preserve"> </w:t>
      </w:r>
      <w:r>
        <w:rPr>
          <w:rFonts w:ascii="Nirmala UI" w:hAnsi="Nirmala UI" w:eastAsia="Nirmala UI" w:cs="Nirmala UI"/>
        </w:rPr>
        <w:t>પાંચમી</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સમયસંબંધિત</w:t>
      </w:r>
      <w:r>
        <w:rPr>
          <w:rFonts w:ascii="Times New Roman" w:hAnsi="Times New Roman" w:eastAsia="Times New Roman" w:cs="Times New Roman"/>
        </w:rPr>
        <w:t xml:space="preserve"> </w:t>
      </w:r>
      <w:r>
        <w:rPr>
          <w:rFonts w:ascii="Nirmala UI" w:hAnsi="Nirmala UI" w:eastAsia="Nirmala UI" w:cs="Nirmala UI"/>
        </w:rPr>
        <w:t>ભવિષ્યવાણી</w:t>
      </w:r>
      <w:r>
        <w:rPr>
          <w:rFonts w:ascii="Times New Roman" w:hAnsi="Times New Roman" w:eastAsia="Times New Roman" w:cs="Times New Roman"/>
        </w:rPr>
        <w:t xml:space="preserve"> 22 </w:t>
      </w:r>
      <w:r>
        <w:rPr>
          <w:rFonts w:ascii="Nirmala UI" w:hAnsi="Nirmala UI" w:eastAsia="Nirmala UI" w:cs="Nirmala UI"/>
        </w:rPr>
        <w:t>ઓક્ટોબર</w:t>
      </w:r>
      <w:r>
        <w:rPr>
          <w:rFonts w:ascii="Times New Roman" w:hAnsi="Times New Roman" w:eastAsia="Times New Roman" w:cs="Times New Roman"/>
        </w:rPr>
        <w:t xml:space="preserve">, 1844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અગાઉની</w:t>
      </w:r>
      <w:r>
        <w:rPr>
          <w:rFonts w:ascii="Times New Roman" w:hAnsi="Times New Roman" w:eastAsia="Times New Roman" w:cs="Times New Roman"/>
        </w:rPr>
        <w:t xml:space="preserve"> </w:t>
      </w:r>
      <w:r>
        <w:rPr>
          <w:rFonts w:ascii="Nirmala UI" w:hAnsi="Nirmala UI" w:eastAsia="Nirmala UI" w:cs="Nirmala UI"/>
        </w:rPr>
        <w:t>ચાર</w:t>
      </w:r>
      <w:r>
        <w:rPr>
          <w:rFonts w:ascii="Times New Roman" w:hAnsi="Times New Roman" w:eastAsia="Times New Roman" w:cs="Times New Roman"/>
        </w:rPr>
        <w:t xml:space="preserve"> </w:t>
      </w:r>
      <w:r>
        <w:rPr>
          <w:rFonts w:ascii="Nirmala UI" w:hAnsi="Nirmala UI" w:eastAsia="Nirmala UI" w:cs="Nirmala UI"/>
        </w:rPr>
        <w:t>સમયસંબંધિત</w:t>
      </w:r>
      <w:r>
        <w:rPr>
          <w:rFonts w:ascii="Times New Roman" w:hAnsi="Times New Roman" w:eastAsia="Times New Roman" w:cs="Times New Roman"/>
        </w:rPr>
        <w:t xml:space="preserve"> </w:t>
      </w:r>
      <w:r>
        <w:rPr>
          <w:rFonts w:ascii="Nirmala UI" w:hAnsi="Nirmala UI" w:eastAsia="Nirmala UI" w:cs="Nirmala UI"/>
        </w:rPr>
        <w:t>ભવિષ્યવાણીઓ</w:t>
      </w:r>
      <w:r>
        <w:rPr>
          <w:rFonts w:ascii="Times New Roman" w:hAnsi="Times New Roman" w:eastAsia="Times New Roman" w:cs="Times New Roman"/>
        </w:rPr>
        <w:t xml:space="preserve"> 1844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ઘણી</w:t>
      </w:r>
      <w:r>
        <w:rPr>
          <w:rFonts w:ascii="Times New Roman" w:hAnsi="Times New Roman" w:eastAsia="Times New Roman" w:cs="Times New Roman"/>
        </w:rPr>
        <w:t xml:space="preserve"> </w:t>
      </w:r>
      <w:r>
        <w:rPr>
          <w:rFonts w:ascii="Nirmala UI" w:hAnsi="Nirmala UI" w:eastAsia="Nirmala UI" w:cs="Nirmala UI"/>
        </w:rPr>
        <w:t>વહેલી</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ગઈ</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સિસ્ટર</w:t>
      </w:r>
      <w:r>
        <w:rPr>
          <w:rFonts w:ascii="Times New Roman" w:hAnsi="Times New Roman" w:eastAsia="Times New Roman" w:cs="Times New Roman"/>
        </w:rPr>
        <w:t xml:space="preserve"> </w:t>
      </w:r>
      <w:r>
        <w:rPr>
          <w:rFonts w:ascii="Nirmala UI" w:hAnsi="Nirmala UI" w:eastAsia="Nirmala UI" w:cs="Nirmala UI"/>
        </w:rPr>
        <w:t>વ્હાઇટ</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બહુવચનમાં</w:t>
      </w:r>
      <w:r>
        <w:rPr>
          <w:rFonts w:ascii="Times New Roman" w:hAnsi="Times New Roman" w:eastAsia="Times New Roman" w:cs="Times New Roman"/>
        </w:rPr>
        <w:t xml:space="preserve"> “</w:t>
      </w:r>
      <w:r>
        <w:rPr>
          <w:rFonts w:ascii="Nirmala UI" w:hAnsi="Nirmala UI" w:eastAsia="Nirmala UI" w:cs="Nirmala UI"/>
        </w:rPr>
        <w:t>ભવિષ્યવાણીય</w:t>
      </w:r>
      <w:r>
        <w:rPr>
          <w:rFonts w:ascii="Times New Roman" w:hAnsi="Times New Roman" w:eastAsia="Times New Roman" w:cs="Times New Roman"/>
        </w:rPr>
        <w:t xml:space="preserve"> </w:t>
      </w:r>
      <w:r>
        <w:rPr>
          <w:rFonts w:ascii="Nirmala UI" w:hAnsi="Nirmala UI" w:eastAsia="Nirmala UI" w:cs="Nirmala UI"/>
        </w:rPr>
        <w:t>સમયગાળાઓ</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પ્રયોગ</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1844 </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થવાના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સાચો</w:t>
      </w:r>
      <w:r>
        <w:rPr>
          <w:rFonts w:ascii="Times New Roman" w:hAnsi="Times New Roman" w:eastAsia="Times New Roman" w:cs="Times New Roman"/>
        </w:rPr>
        <w:t xml:space="preserve"> </w:t>
      </w:r>
      <w:r>
        <w:rPr>
          <w:rFonts w:ascii="Nirmala UI" w:hAnsi="Nirmala UI" w:eastAsia="Nirmala UI" w:cs="Nirmala UI"/>
        </w:rPr>
        <w:t>અર્થ</w:t>
      </w:r>
      <w:r>
        <w:rPr>
          <w:rFonts w:ascii="Times New Roman" w:hAnsi="Times New Roman" w:eastAsia="Times New Roman" w:cs="Times New Roman"/>
        </w:rPr>
        <w:t xml:space="preserve"> </w:t>
      </w:r>
      <w:r>
        <w:rPr>
          <w:rFonts w:ascii="Nirmala UI" w:hAnsi="Nirmala UI" w:eastAsia="Nirmala UI" w:cs="Nirmala UI"/>
        </w:rPr>
        <w:t>શું</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En abordant la première déception des millérites, elle identifie la réponse à cette question :</w:t>
      </w:r>
    </w:p>
    <w:p>
      <w:pPr>
        <w:pStyle w:val="ArticleScripture"/>
        <w:jc w:val="left"/>
      </w:pPr>
      <w:r>
        <w:rPr>
          <w:rFonts w:ascii="Times New Roman" w:hAnsi="Times New Roman" w:eastAsia="Times New Roman" w:cs="Times New Roman"/>
        </w:rPr>
        <w:t>“Mi nägin Jumala rahvast rõõmsana ootuses, vaadates oma Issanda järele. Kuid Jumal kavatses neid proovile panna. Tema käsi kattis vea prohvetlike ajajärkude arvestuses. Need, kes ootasid oma Issandat, ei avastanud seda viga, ja ka kõige õpetatumad mehed, kes sellele ajale vastu seisid, ei märganud seda. Jumal oli määranud, et Tema rahvas peab kogema pettumust. Aeg möödus, ja need, kes olid rõõmsa ootusega oma Päästjat oodanud, olid kurvad ja masendunud, kuna aga need, kes ei olnud armastanud Jeesuse ilmumist, vaid olid hirmu tõttu selle sõnumi vastu võtnud, tundsid heameelt, et Ta ei tulnud oodatud ajal. Nende usutunnistus ei olnud mõjutanud südant ega puhastanud elu. Aja möödumine oli hästi arvestatud selliste südamete ilmsikstoomiseks. Nemad olid esimesed, kes pöördusid ära ja pilkasid neid kurbi, pettunud inimesi, kes tõepoolest armastasid oma Päästja ilmumist. Ma nägin Jumala tarkust selles, et Ta pani oma rahva proovile ja andis neile läbikatsuva katse, et avastada need, kes katsumuse tunnil tagasi kohkuksid ja taganeksid.”</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耶稣和天上的全军都以同情和慈爱看顾那些怀着甜美的盼望、渴慕见到他们心灵所爱之主的人</w:t>
      </w:r>
      <w:r>
        <w:rPr>
          <w:rFonts w:ascii="Times New Roman" w:hAnsi="Times New Roman" w:eastAsia="Times New Roman" w:cs="Times New Roman"/>
        </w:rPr>
        <w:t>.</w:t>
      </w:r>
      <w:r>
        <w:rPr>
          <w:rFonts w:ascii="Microsoft YaHei" w:hAnsi="Microsoft YaHei" w:eastAsia="Microsoft YaHei" w:cs="Microsoft YaHei"/>
        </w:rPr>
        <w:t>众天使环绕在他们周围</w:t>
      </w:r>
      <w:r>
        <w:rPr>
          <w:rFonts w:ascii="Times New Roman" w:hAnsi="Times New Roman" w:eastAsia="Times New Roman" w:cs="Times New Roman"/>
        </w:rPr>
        <w:t>,</w:t>
      </w:r>
      <w:r>
        <w:rPr>
          <w:rFonts w:ascii="Microsoft YaHei" w:hAnsi="Microsoft YaHei" w:eastAsia="Microsoft YaHei" w:cs="Microsoft YaHei"/>
        </w:rPr>
        <w:t>要在他们受试炼的时辰扶持他们</w:t>
      </w:r>
      <w:r>
        <w:rPr>
          <w:rFonts w:ascii="Times New Roman" w:hAnsi="Times New Roman" w:eastAsia="Times New Roman" w:cs="Times New Roman"/>
        </w:rPr>
        <w:t>.</w:t>
      </w:r>
      <w:r>
        <w:rPr>
          <w:rFonts w:ascii="Microsoft YaHei" w:hAnsi="Microsoft YaHei" w:eastAsia="Microsoft YaHei" w:cs="Microsoft YaHei"/>
        </w:rPr>
        <w:t>那些忽略领受天上信息的人被留在黑暗中</w:t>
      </w:r>
      <w:r>
        <w:rPr>
          <w:rFonts w:ascii="Times New Roman" w:hAnsi="Times New Roman" w:eastAsia="Times New Roman" w:cs="Times New Roman"/>
        </w:rPr>
        <w:t>;</w:t>
      </w:r>
      <w:r>
        <w:rPr>
          <w:rFonts w:ascii="Microsoft YaHei" w:hAnsi="Microsoft YaHei" w:eastAsia="Microsoft YaHei" w:cs="Microsoft YaHei"/>
        </w:rPr>
        <w:t>上帝的忿怒向他们发作</w:t>
      </w:r>
      <w:r>
        <w:rPr>
          <w:rFonts w:ascii="Times New Roman" w:hAnsi="Times New Roman" w:eastAsia="Times New Roman" w:cs="Times New Roman"/>
        </w:rPr>
        <w:t>,</w:t>
      </w:r>
      <w:r>
        <w:rPr>
          <w:rFonts w:ascii="Microsoft YaHei" w:hAnsi="Microsoft YaHei" w:eastAsia="Microsoft YaHei" w:cs="Microsoft YaHei"/>
        </w:rPr>
        <w:t>因为他们不肯接受祂从天上赐给他们的亮光</w:t>
      </w:r>
      <w:r>
        <w:rPr>
          <w:rFonts w:ascii="Times New Roman" w:hAnsi="Times New Roman" w:eastAsia="Times New Roman" w:cs="Times New Roman"/>
        </w:rPr>
        <w:t>.</w:t>
      </w:r>
      <w:r>
        <w:rPr>
          <w:rFonts w:ascii="Microsoft YaHei" w:hAnsi="Microsoft YaHei" w:eastAsia="Microsoft YaHei" w:cs="Microsoft YaHei"/>
        </w:rPr>
        <w:t>那些忠心而失望的人</w:t>
      </w:r>
      <w:r>
        <w:rPr>
          <w:rFonts w:ascii="Times New Roman" w:hAnsi="Times New Roman" w:eastAsia="Times New Roman" w:cs="Times New Roman"/>
        </w:rPr>
        <w:t>,</w:t>
      </w:r>
      <w:r>
        <w:rPr>
          <w:rFonts w:ascii="Microsoft YaHei" w:hAnsi="Microsoft YaHei" w:eastAsia="Microsoft YaHei" w:cs="Microsoft YaHei"/>
        </w:rPr>
        <w:t>虽不明白他们的主为何没有来</w:t>
      </w:r>
      <w:r>
        <w:rPr>
          <w:rFonts w:ascii="Times New Roman" w:hAnsi="Times New Roman" w:eastAsia="Times New Roman" w:cs="Times New Roman"/>
        </w:rPr>
        <w:t>,</w:t>
      </w:r>
      <w:r>
        <w:rPr>
          <w:rFonts w:ascii="Microsoft YaHei" w:hAnsi="Microsoft YaHei" w:eastAsia="Microsoft YaHei" w:cs="Microsoft YaHei"/>
        </w:rPr>
        <w:t>却没有被留在黑暗中</w:t>
      </w:r>
      <w:r>
        <w:rPr>
          <w:rFonts w:ascii="Times New Roman" w:hAnsi="Times New Roman" w:eastAsia="Times New Roman" w:cs="Times New Roman"/>
        </w:rPr>
        <w:t>.</w:t>
      </w:r>
      <w:r>
        <w:rPr>
          <w:rFonts w:ascii="Microsoft YaHei" w:hAnsi="Microsoft YaHei" w:eastAsia="Microsoft YaHei" w:cs="Microsoft YaHei"/>
        </w:rPr>
        <w:t>他们再次被引到圣经面前</w:t>
      </w:r>
      <w:r>
        <w:rPr>
          <w:rFonts w:ascii="Times New Roman" w:hAnsi="Times New Roman" w:eastAsia="Times New Roman" w:cs="Times New Roman"/>
        </w:rPr>
        <w:t>,</w:t>
      </w:r>
      <w:r>
        <w:rPr>
          <w:rFonts w:ascii="Microsoft YaHei" w:hAnsi="Microsoft YaHei" w:eastAsia="Microsoft YaHei" w:cs="Microsoft YaHei"/>
        </w:rPr>
        <w:t>去查考预言的时期</w:t>
      </w:r>
      <w:r>
        <w:rPr>
          <w:rFonts w:ascii="Times New Roman" w:hAnsi="Times New Roman" w:eastAsia="Times New Roman" w:cs="Times New Roman"/>
        </w:rPr>
        <w:t>.</w:t>
      </w:r>
      <w:r>
        <w:rPr>
          <w:rFonts w:ascii="Microsoft YaHei" w:hAnsi="Microsoft YaHei" w:eastAsia="Microsoft YaHei" w:cs="Microsoft YaHei"/>
        </w:rPr>
        <w:t>主的手从那些数字上挪开了</w:t>
      </w:r>
      <w:r>
        <w:rPr>
          <w:rFonts w:ascii="Times New Roman" w:hAnsi="Times New Roman" w:eastAsia="Times New Roman" w:cs="Times New Roman"/>
        </w:rPr>
        <w:t>,</w:t>
      </w:r>
      <w:r>
        <w:rPr>
          <w:rFonts w:ascii="Microsoft YaHei" w:hAnsi="Microsoft YaHei" w:eastAsia="Microsoft YaHei" w:cs="Microsoft YaHei"/>
        </w:rPr>
        <w:t>那错误也得了解释</w:t>
      </w:r>
      <w:r>
        <w:rPr>
          <w:rFonts w:ascii="Times New Roman" w:hAnsi="Times New Roman" w:eastAsia="Times New Roman" w:cs="Times New Roman"/>
        </w:rPr>
        <w:t>.</w:t>
      </w:r>
      <w:r>
        <w:rPr>
          <w:rFonts w:ascii="Microsoft YaHei" w:hAnsi="Microsoft YaHei" w:eastAsia="Microsoft YaHei" w:cs="Microsoft YaHei"/>
        </w:rPr>
        <w:t>他们看见</w:t>
      </w:r>
      <w:r>
        <w:rPr>
          <w:rFonts w:ascii="Times New Roman" w:hAnsi="Times New Roman" w:eastAsia="Times New Roman" w:cs="Times New Roman"/>
        </w:rPr>
        <w:t>,</w:t>
      </w:r>
      <w:r>
        <w:rPr>
          <w:rFonts w:ascii="Microsoft YaHei" w:hAnsi="Microsoft YaHei" w:eastAsia="Microsoft YaHei" w:cs="Microsoft YaHei"/>
        </w:rPr>
        <w:t>预言的时期延伸到</w:t>
      </w:r>
      <w:r>
        <w:rPr>
          <w:rFonts w:ascii="Times New Roman" w:hAnsi="Times New Roman" w:eastAsia="Times New Roman" w:cs="Times New Roman"/>
        </w:rPr>
        <w:t>1844</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并且他们先前为证明预言时期于</w:t>
      </w:r>
      <w:r>
        <w:rPr>
          <w:rFonts w:ascii="Times New Roman" w:hAnsi="Times New Roman" w:eastAsia="Times New Roman" w:cs="Times New Roman"/>
        </w:rPr>
        <w:t>1843</w:t>
      </w:r>
      <w:r>
        <w:rPr>
          <w:rFonts w:ascii="Microsoft YaHei" w:hAnsi="Microsoft YaHei" w:eastAsia="Microsoft YaHei" w:cs="Microsoft YaHei"/>
        </w:rPr>
        <w:t>年结束所提出的同样证据</w:t>
      </w:r>
      <w:r>
        <w:rPr>
          <w:rFonts w:ascii="Times New Roman" w:hAnsi="Times New Roman" w:eastAsia="Times New Roman" w:cs="Times New Roman"/>
        </w:rPr>
        <w:t>,</w:t>
      </w:r>
      <w:r>
        <w:rPr>
          <w:rFonts w:ascii="Microsoft YaHei" w:hAnsi="Microsoft YaHei" w:eastAsia="Microsoft YaHei" w:cs="Microsoft YaHei"/>
        </w:rPr>
        <w:t>也证明其终止于</w:t>
      </w:r>
      <w:r>
        <w:rPr>
          <w:rFonts w:ascii="Times New Roman" w:hAnsi="Times New Roman" w:eastAsia="Times New Roman" w:cs="Times New Roman"/>
        </w:rPr>
        <w:t>1844</w:t>
      </w:r>
      <w:r>
        <w:rPr>
          <w:rFonts w:ascii="Microsoft YaHei" w:hAnsi="Microsoft YaHei" w:eastAsia="Microsoft YaHei" w:cs="Microsoft YaHei"/>
        </w:rPr>
        <w:t>年</w:t>
      </w:r>
      <w:r>
        <w:rPr>
          <w:rFonts w:ascii="Times New Roman" w:hAnsi="Times New Roman" w:eastAsia="Times New Roman" w:cs="Times New Roman"/>
        </w:rPr>
        <w:t>.” «</w:t>
      </w:r>
      <w:r>
        <w:rPr>
          <w:rFonts w:ascii="Microsoft YaHei" w:hAnsi="Microsoft YaHei" w:eastAsia="Microsoft YaHei" w:cs="Microsoft YaHei"/>
        </w:rPr>
        <w:t>早期著作</w:t>
      </w:r>
      <w:r>
        <w:rPr>
          <w:rFonts w:ascii="Times New Roman" w:hAnsi="Times New Roman" w:eastAsia="Times New Roman" w:cs="Times New Roman"/>
        </w:rPr>
        <w:t>»,235–237</w:t>
      </w:r>
      <w:r>
        <w:rPr>
          <w:rFonts w:ascii="Microsoft YaHei" w:hAnsi="Microsoft YaHei" w:eastAsia="Microsoft YaHei" w:cs="Microsoft YaHei"/>
        </w:rPr>
        <w:t>页</w:t>
      </w:r>
      <w:r>
        <w:rPr>
          <w:rFonts w:ascii="Times New Roman" w:hAnsi="Times New Roman" w:eastAsia="Times New Roman" w:cs="Times New Roman"/>
        </w:rPr>
        <w:t>.</w:t>
      </w:r>
    </w:p>
    <w:p>
      <w:pPr>
        <w:pStyle w:val="ArticleBody"/>
        <w:jc w:val="left"/>
      </w:pPr>
      <w:r>
        <w:rPr>
          <w:rFonts w:ascii="Microsoft YaHei" w:hAnsi="Microsoft YaHei" w:eastAsia="Microsoft YaHei" w:cs="Microsoft YaHei"/>
        </w:rPr>
        <w:t>「預言的期間」</w:t>
      </w:r>
      <w:r>
        <w:rPr>
          <w:rFonts w:ascii="MS Gothic" w:hAnsi="MS Gothic" w:eastAsia="MS Gothic" w:cs="MS Gothic"/>
        </w:rPr>
        <w:t>とは</w:t>
      </w:r>
      <w:r>
        <w:rPr>
          <w:rFonts w:ascii="Microsoft YaHei" w:hAnsi="Microsoft YaHei" w:eastAsia="Microsoft YaHei" w:cs="Microsoft YaHei"/>
        </w:rPr>
        <w:t>、「</w:t>
      </w: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にまで</w:t>
      </w:r>
      <w:r>
        <w:rPr>
          <w:rFonts w:ascii="Microsoft YaHei" w:hAnsi="Microsoft YaHei" w:eastAsia="Microsoft YaHei" w:cs="Microsoft YaHei"/>
        </w:rPr>
        <w:t>及</w:t>
      </w:r>
      <w:r>
        <w:rPr>
          <w:rFonts w:ascii="MS Gothic" w:hAnsi="MS Gothic" w:eastAsia="MS Gothic" w:cs="MS Gothic"/>
        </w:rPr>
        <w:t>ぶ</w:t>
      </w:r>
      <w:r>
        <w:rPr>
          <w:rFonts w:ascii="Microsoft YaHei" w:hAnsi="Microsoft YaHei" w:eastAsia="Microsoft YaHei" w:cs="Microsoft YaHei"/>
        </w:rPr>
        <w:t>」「預言的期間」</w:t>
      </w:r>
      <w:r>
        <w:rPr>
          <w:rFonts w:ascii="MS Gothic" w:hAnsi="MS Gothic" w:eastAsia="MS Gothic" w:cs="MS Gothic"/>
        </w:rPr>
        <w:t>のことであり</w:t>
      </w:r>
      <w:r>
        <w:rPr>
          <w:rFonts w:ascii="Microsoft YaHei" w:hAnsi="Microsoft YaHei" w:eastAsia="Microsoft YaHei" w:cs="Microsoft YaHei"/>
        </w:rPr>
        <w:t>、</w:t>
      </w:r>
      <w:r>
        <w:rPr>
          <w:rFonts w:ascii="MS Gothic" w:hAnsi="MS Gothic" w:eastAsia="MS Gothic" w:cs="MS Gothic"/>
        </w:rPr>
        <w:t>ミラー</w:t>
      </w:r>
      <w:r>
        <w:rPr>
          <w:rFonts w:ascii="Microsoft YaHei" w:hAnsi="Microsoft YaHei" w:eastAsia="Microsoft YaHei" w:cs="Microsoft YaHei"/>
        </w:rPr>
        <w:t>派</w:t>
      </w:r>
      <w:r>
        <w:rPr>
          <w:rFonts w:ascii="MS Gothic" w:hAnsi="MS Gothic" w:eastAsia="MS Gothic" w:cs="MS Gothic"/>
        </w:rPr>
        <w:t>は</w:t>
      </w:r>
      <w:r>
        <w:rPr>
          <w:rFonts w:ascii="Microsoft YaHei" w:hAnsi="Microsoft YaHei" w:eastAsia="Microsoft YaHei" w:cs="Microsoft YaHei"/>
        </w:rPr>
        <w:t>当初</w:t>
      </w:r>
      <w:r>
        <w:rPr>
          <w:rFonts w:ascii="MS Gothic" w:hAnsi="MS Gothic" w:eastAsia="MS Gothic" w:cs="MS Gothic"/>
        </w:rPr>
        <w:t>それが</w:t>
      </w:r>
      <w:r>
        <w:rPr>
          <w:rFonts w:ascii="Times New Roman" w:hAnsi="Times New Roman" w:eastAsia="Times New Roman" w:cs="Times New Roman"/>
        </w:rPr>
        <w:t>1843</w:t>
      </w:r>
      <w:r>
        <w:rPr>
          <w:rFonts w:ascii="Microsoft YaHei" w:hAnsi="Microsoft YaHei" w:eastAsia="Microsoft YaHei" w:cs="Microsoft YaHei"/>
        </w:rPr>
        <w:t>年</w:t>
      </w:r>
      <w:r>
        <w:rPr>
          <w:rFonts w:ascii="MS Gothic" w:hAnsi="MS Gothic" w:eastAsia="MS Gothic" w:cs="MS Gothic"/>
        </w:rPr>
        <w:t>にまで</w:t>
      </w:r>
      <w:r>
        <w:rPr>
          <w:rFonts w:ascii="Microsoft YaHei" w:hAnsi="Microsoft YaHei" w:eastAsia="Microsoft YaHei" w:cs="Microsoft YaHei"/>
        </w:rPr>
        <w:t>及</w:t>
      </w:r>
      <w:r>
        <w:rPr>
          <w:rFonts w:ascii="MS Gothic" w:hAnsi="MS Gothic" w:eastAsia="MS Gothic" w:cs="MS Gothic"/>
        </w:rPr>
        <w:t>ぶと</w:t>
      </w:r>
      <w:r>
        <w:rPr>
          <w:rFonts w:ascii="Microsoft YaHei" w:hAnsi="Microsoft YaHei" w:eastAsia="Microsoft YaHei" w:cs="Microsoft YaHei"/>
        </w:rPr>
        <w:t>信</w:t>
      </w:r>
      <w:r>
        <w:rPr>
          <w:rFonts w:ascii="MS Gothic" w:hAnsi="MS Gothic" w:eastAsia="MS Gothic" w:cs="MS Gothic"/>
        </w:rPr>
        <w:t>じていた</w:t>
      </w: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にまで</w:t>
      </w:r>
      <w:r>
        <w:rPr>
          <w:rFonts w:ascii="Microsoft YaHei" w:hAnsi="Microsoft YaHei" w:eastAsia="Microsoft YaHei" w:cs="Microsoft YaHei"/>
        </w:rPr>
        <w:t>及</w:t>
      </w:r>
      <w:r>
        <w:rPr>
          <w:rFonts w:ascii="MS Gothic" w:hAnsi="MS Gothic" w:eastAsia="MS Gothic" w:cs="MS Gothic"/>
        </w:rPr>
        <w:t>ぶ</w:t>
      </w:r>
      <w:r>
        <w:rPr>
          <w:rFonts w:ascii="Microsoft YaHei" w:hAnsi="Microsoft YaHei" w:eastAsia="Microsoft YaHei" w:cs="Microsoft YaHei"/>
        </w:rPr>
        <w:t>「預言的期間」</w:t>
      </w:r>
      <w:r>
        <w:rPr>
          <w:rFonts w:ascii="MS Gothic" w:hAnsi="MS Gothic" w:eastAsia="MS Gothic" w:cs="MS Gothic"/>
        </w:rPr>
        <w:t>は</w:t>
      </w:r>
      <w:r>
        <w:rPr>
          <w:rFonts w:ascii="Microsoft YaHei" w:hAnsi="Microsoft YaHei" w:eastAsia="Microsoft YaHei" w:cs="Microsoft YaHei"/>
        </w:rPr>
        <w:t>、三</w:t>
      </w:r>
      <w:r>
        <w:rPr>
          <w:rFonts w:ascii="MS Gothic" w:hAnsi="MS Gothic" w:eastAsia="MS Gothic" w:cs="MS Gothic"/>
        </w:rPr>
        <w:t>つの</w:t>
      </w:r>
      <w:r>
        <w:rPr>
          <w:rFonts w:ascii="Microsoft YaHei" w:hAnsi="Microsoft YaHei" w:eastAsia="Microsoft YaHei" w:cs="Microsoft YaHei"/>
        </w:rPr>
        <w:t>預言的期間</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そのすべてがハバククの</w:t>
      </w:r>
      <w:r>
        <w:rPr>
          <w:rFonts w:ascii="Microsoft YaHei" w:hAnsi="Microsoft YaHei" w:eastAsia="Microsoft YaHei" w:cs="Microsoft YaHei"/>
        </w:rPr>
        <w:t>表</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示</w:t>
      </w:r>
      <w:r>
        <w:rPr>
          <w:rFonts w:ascii="MS Gothic" w:hAnsi="MS Gothic" w:eastAsia="MS Gothic" w:cs="MS Gothic"/>
        </w:rPr>
        <w:t>されている</w:t>
      </w:r>
      <w:r>
        <w:rPr>
          <w:rFonts w:ascii="Times New Roman" w:hAnsi="Times New Roman" w:eastAsia="Times New Roman" w:cs="Times New Roman"/>
        </w:rPr>
        <w:t>.</w:t>
      </w:r>
      <w:r>
        <w:rPr>
          <w:rFonts w:ascii="Microsoft YaHei" w:hAnsi="Microsoft YaHei" w:eastAsia="Microsoft YaHei" w:cs="Microsoft YaHei"/>
        </w:rPr>
        <w:t>三</w:t>
      </w:r>
      <w:r>
        <w:rPr>
          <w:rFonts w:ascii="MS Gothic" w:hAnsi="MS Gothic" w:eastAsia="MS Gothic" w:cs="MS Gothic"/>
        </w:rPr>
        <w:t>つの</w:t>
      </w:r>
      <w:r>
        <w:rPr>
          <w:rFonts w:ascii="Microsoft YaHei" w:hAnsi="Microsoft YaHei" w:eastAsia="Microsoft YaHei" w:cs="Microsoft YaHei"/>
        </w:rPr>
        <w:t>期間</w:t>
      </w:r>
      <w:r>
        <w:rPr>
          <w:rFonts w:ascii="MS Gothic" w:hAnsi="MS Gothic" w:eastAsia="MS Gothic" w:cs="MS Gothic"/>
        </w:rPr>
        <w:t>のうち</w:t>
      </w:r>
      <w:r>
        <w:rPr>
          <w:rFonts w:ascii="Microsoft YaHei" w:hAnsi="Microsoft YaHei" w:eastAsia="Microsoft YaHei" w:cs="Microsoft YaHei"/>
        </w:rPr>
        <w:t>一</w:t>
      </w:r>
      <w:r>
        <w:rPr>
          <w:rFonts w:ascii="MS Gothic" w:hAnsi="MS Gothic" w:eastAsia="MS Gothic" w:cs="MS Gothic"/>
        </w:rPr>
        <w:t>つは</w:t>
      </w:r>
      <w:r>
        <w:rPr>
          <w:rFonts w:ascii="Microsoft YaHei" w:hAnsi="Microsoft YaHei" w:eastAsia="Microsoft YaHei" w:cs="Microsoft YaHei"/>
        </w:rPr>
        <w:t>単</w:t>
      </w:r>
      <w:r>
        <w:rPr>
          <w:rFonts w:ascii="MS Gothic" w:hAnsi="MS Gothic" w:eastAsia="MS Gothic" w:cs="MS Gothic"/>
        </w:rPr>
        <w:t>に</w:t>
      </w: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「触</w:t>
      </w:r>
      <w:r>
        <w:rPr>
          <w:rFonts w:ascii="MS Gothic" w:hAnsi="MS Gothic" w:eastAsia="MS Gothic" w:cs="MS Gothic"/>
        </w:rPr>
        <w:t>れる</w:t>
      </w:r>
      <w:r>
        <w:rPr>
          <w:rFonts w:ascii="Microsoft YaHei" w:hAnsi="Microsoft YaHei" w:eastAsia="Microsoft YaHei" w:cs="Microsoft YaHei"/>
        </w:rPr>
        <w:t>」</w:t>
      </w:r>
      <w:r>
        <w:rPr>
          <w:rFonts w:ascii="MS Gothic" w:hAnsi="MS Gothic" w:eastAsia="MS Gothic" w:cs="MS Gothic"/>
        </w:rPr>
        <w:t>だけであり</w:t>
      </w:r>
      <w:r>
        <w:rPr>
          <w:rFonts w:ascii="Microsoft YaHei" w:hAnsi="Microsoft YaHei" w:eastAsia="Microsoft YaHei" w:cs="Microsoft YaHei"/>
        </w:rPr>
        <w:t>、他</w:t>
      </w:r>
      <w:r>
        <w:rPr>
          <w:rFonts w:ascii="MS Gothic" w:hAnsi="MS Gothic" w:eastAsia="MS Gothic" w:cs="MS Gothic"/>
        </w:rPr>
        <w:t>の</w:t>
      </w:r>
      <w:r>
        <w:rPr>
          <w:rFonts w:ascii="Microsoft YaHei" w:hAnsi="Microsoft YaHei" w:eastAsia="Microsoft YaHei" w:cs="Microsoft YaHei"/>
        </w:rPr>
        <w:t>二</w:t>
      </w:r>
      <w:r>
        <w:rPr>
          <w:rFonts w:ascii="MS Gothic" w:hAnsi="MS Gothic" w:eastAsia="MS Gothic" w:cs="MS Gothic"/>
        </w:rPr>
        <w:t>つは</w:t>
      </w:r>
      <w:r>
        <w:rPr>
          <w:rFonts w:ascii="Times New Roman" w:hAnsi="Times New Roman" w:eastAsia="Times New Roman" w:cs="Times New Roman"/>
        </w:rPr>
        <w:t>1844</w:t>
      </w:r>
      <w:r>
        <w:rPr>
          <w:rFonts w:ascii="Microsoft YaHei" w:hAnsi="Microsoft YaHei" w:eastAsia="Microsoft YaHei" w:cs="Microsoft YaHei"/>
        </w:rPr>
        <w:t>年</w:t>
      </w:r>
      <w:r>
        <w:rPr>
          <w:rFonts w:ascii="Times New Roman" w:hAnsi="Times New Roman" w:eastAsia="Times New Roman" w:cs="Times New Roman"/>
        </w:rPr>
        <w:t>10</w:t>
      </w:r>
      <w:r>
        <w:rPr>
          <w:rFonts w:ascii="Microsoft YaHei" w:hAnsi="Microsoft YaHei" w:eastAsia="Microsoft YaHei" w:cs="Microsoft YaHei"/>
        </w:rPr>
        <w:t>月</w:t>
      </w:r>
      <w:r>
        <w:rPr>
          <w:rFonts w:ascii="Times New Roman" w:hAnsi="Times New Roman" w:eastAsia="Times New Roman" w:cs="Times New Roman"/>
        </w:rPr>
        <w:t>22</w:t>
      </w:r>
      <w:r>
        <w:rPr>
          <w:rFonts w:ascii="Microsoft YaHei" w:hAnsi="Microsoft YaHei" w:eastAsia="Microsoft YaHei" w:cs="Microsoft YaHei"/>
        </w:rPr>
        <w:t>日</w:t>
      </w:r>
      <w:r>
        <w:rPr>
          <w:rFonts w:ascii="MS Gothic" w:hAnsi="MS Gothic" w:eastAsia="MS Gothic" w:cs="MS Gothic"/>
        </w:rPr>
        <w:t>にまで</w:t>
      </w:r>
      <w:r>
        <w:rPr>
          <w:rFonts w:ascii="Microsoft YaHei" w:hAnsi="Microsoft YaHei" w:eastAsia="Microsoft YaHei" w:cs="Microsoft YaHei"/>
        </w:rPr>
        <w:t>達</w:t>
      </w:r>
      <w:r>
        <w:rPr>
          <w:rFonts w:ascii="MS Gothic" w:hAnsi="MS Gothic" w:eastAsia="MS Gothic" w:cs="MS Gothic"/>
        </w:rPr>
        <w:t>する</w:t>
      </w:r>
      <w:r>
        <w:rPr>
          <w:rFonts w:ascii="Times New Roman" w:hAnsi="Times New Roman" w:eastAsia="Times New Roman" w:cs="Times New Roman"/>
        </w:rPr>
        <w:t>.</w:t>
      </w:r>
      <w:r>
        <w:rPr>
          <w:rFonts w:ascii="Microsoft YaHei" w:hAnsi="Microsoft YaHei" w:eastAsia="Microsoft YaHei" w:cs="Microsoft YaHei"/>
        </w:rPr>
        <w:t>千三百三十五日</w:t>
      </w:r>
      <w:r>
        <w:rPr>
          <w:rFonts w:ascii="MS Gothic" w:hAnsi="MS Gothic" w:eastAsia="MS Gothic" w:cs="MS Gothic"/>
        </w:rPr>
        <w:t>は</w:t>
      </w:r>
      <w:r>
        <w:rPr>
          <w:rFonts w:ascii="Microsoft YaHei" w:hAnsi="Microsoft YaHei" w:eastAsia="Microsoft YaHei" w:cs="Microsoft YaHei"/>
        </w:rPr>
        <w:t>、</w:t>
      </w: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のまさに</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日</w:t>
      </w:r>
      <w:r>
        <w:rPr>
          <w:rFonts w:ascii="MS Gothic" w:hAnsi="MS Gothic" w:eastAsia="MS Gothic" w:cs="MS Gothic"/>
        </w:rPr>
        <w:t>にまで</w:t>
      </w:r>
      <w:r>
        <w:rPr>
          <w:rFonts w:ascii="Microsoft YaHei" w:hAnsi="Microsoft YaHei" w:eastAsia="Microsoft YaHei" w:cs="Microsoft YaHei"/>
        </w:rPr>
        <w:t>達</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時、</w:t>
      </w:r>
      <w:r>
        <w:rPr>
          <w:rFonts w:ascii="MS Gothic" w:hAnsi="MS Gothic" w:eastAsia="MS Gothic" w:cs="MS Gothic"/>
        </w:rPr>
        <w:t>ミラー</w:t>
      </w:r>
      <w:r>
        <w:rPr>
          <w:rFonts w:ascii="Microsoft YaHei" w:hAnsi="Microsoft YaHei" w:eastAsia="Microsoft YaHei" w:cs="Microsoft YaHei"/>
        </w:rPr>
        <w:t>派</w:t>
      </w:r>
      <w:r>
        <w:rPr>
          <w:rFonts w:ascii="MS Gothic" w:hAnsi="MS Gothic" w:eastAsia="MS Gothic" w:cs="MS Gothic"/>
        </w:rPr>
        <w:t>の</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失望</w:t>
      </w:r>
      <w:r>
        <w:rPr>
          <w:rFonts w:ascii="MS Gothic" w:hAnsi="MS Gothic" w:eastAsia="MS Gothic" w:cs="MS Gothic"/>
        </w:rPr>
        <w:t>が</w:t>
      </w:r>
      <w:r>
        <w:rPr>
          <w:rFonts w:ascii="Microsoft YaHei" w:hAnsi="Microsoft YaHei" w:eastAsia="Microsoft YaHei" w:cs="Microsoft YaHei"/>
        </w:rPr>
        <w:t>到来</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またハバクク</w:t>
      </w:r>
      <w:r>
        <w:rPr>
          <w:rFonts w:ascii="Microsoft YaHei" w:hAnsi="Microsoft YaHei" w:eastAsia="Microsoft YaHei" w:cs="Microsoft YaHei"/>
        </w:rPr>
        <w:t>書第二章</w:t>
      </w:r>
      <w:r>
        <w:rPr>
          <w:rFonts w:ascii="MS Gothic" w:hAnsi="MS Gothic" w:eastAsia="MS Gothic" w:cs="MS Gothic"/>
        </w:rPr>
        <w:t>とマタイ</w:t>
      </w:r>
      <w:r>
        <w:rPr>
          <w:rFonts w:ascii="Microsoft YaHei" w:hAnsi="Microsoft YaHei" w:eastAsia="Microsoft YaHei" w:cs="Microsoft YaHei"/>
        </w:rPr>
        <w:t>二十五章</w:t>
      </w:r>
      <w:r>
        <w:rPr>
          <w:rFonts w:ascii="MS Gothic" w:hAnsi="MS Gothic" w:eastAsia="MS Gothic" w:cs="MS Gothic"/>
        </w:rPr>
        <w:t>の</w:t>
      </w:r>
      <w:r>
        <w:rPr>
          <w:rFonts w:ascii="Microsoft YaHei" w:hAnsi="Microsoft YaHei" w:eastAsia="Microsoft YaHei" w:cs="Microsoft YaHei"/>
        </w:rPr>
        <w:t>十人</w:t>
      </w:r>
      <w:r>
        <w:rPr>
          <w:rFonts w:ascii="MS Gothic" w:hAnsi="MS Gothic" w:eastAsia="MS Gothic" w:cs="MS Gothic"/>
        </w:rPr>
        <w:t>のおとめのたとえの</w:t>
      </w:r>
      <w:r>
        <w:rPr>
          <w:rFonts w:ascii="Microsoft YaHei" w:hAnsi="Microsoft YaHei" w:eastAsia="Microsoft YaHei" w:cs="Microsoft YaHei"/>
        </w:rPr>
        <w:t>双方</w:t>
      </w:r>
      <w:r>
        <w:rPr>
          <w:rFonts w:ascii="MS Gothic" w:hAnsi="MS Gothic" w:eastAsia="MS Gothic" w:cs="MS Gothic"/>
        </w:rPr>
        <w:t>における</w:t>
      </w:r>
      <w:r>
        <w:rPr>
          <w:rFonts w:ascii="Microsoft YaHei" w:hAnsi="Microsoft YaHei" w:eastAsia="Microsoft YaHei" w:cs="Microsoft YaHei"/>
        </w:rPr>
        <w:t>遅延</w:t>
      </w:r>
      <w:r>
        <w:rPr>
          <w:rFonts w:ascii="MS Gothic" w:hAnsi="MS Gothic" w:eastAsia="MS Gothic" w:cs="MS Gothic"/>
        </w:rPr>
        <w:t>の</w:t>
      </w:r>
      <w:r>
        <w:rPr>
          <w:rFonts w:ascii="Microsoft YaHei" w:hAnsi="Microsoft YaHei" w:eastAsia="Microsoft YaHei" w:cs="Microsoft YaHei"/>
        </w:rPr>
        <w:t>時</w:t>
      </w:r>
      <w:r>
        <w:rPr>
          <w:rFonts w:ascii="MS Gothic" w:hAnsi="MS Gothic" w:eastAsia="MS Gothic" w:cs="MS Gothic"/>
        </w:rPr>
        <w:t>が</w:t>
      </w:r>
      <w:r>
        <w:rPr>
          <w:rFonts w:ascii="Microsoft YaHei" w:hAnsi="Microsoft YaHei" w:eastAsia="Microsoft YaHei" w:cs="Microsoft YaHei"/>
        </w:rPr>
        <w:t>始</w:t>
      </w:r>
      <w:r>
        <w:rPr>
          <w:rFonts w:ascii="MS Gothic" w:hAnsi="MS Gothic" w:eastAsia="MS Gothic" w:cs="MS Gothic"/>
        </w:rPr>
        <w:t>まった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Les deux mille trois cents jours de Daniel, chapitre huit, verset quatorze, s’étendirent jusqu’au 22 octobre 1844, et les deux mille cinq cent vingt années des « sept temps » prononcés contre le royaume méridional de Juda y prirent également fin. Palmoni se présente lui-même comme le Merveilleux Compteur au verset treize de Daniel 8, et la « structure » et le « dessein » prophétiques qu’il exposa alors comprenaient au moins dix prophéties de temps interconnectées.</w:t>
      </w:r>
    </w:p>
    <w:p>
      <w:pPr>
        <w:pStyle w:val="ArticleBody"/>
        <w:jc w:val="left"/>
      </w:pPr>
      <w:r>
        <w:rPr>
          <w:rFonts w:ascii="Times New Roman" w:hAnsi="Times New Roman" w:eastAsia="Times New Roman" w:cs="Times New Roman"/>
        </w:rPr>
        <w:t>Vi vil begynne å se nærmere på disse sannhetene i den neste artikkelen.</w:t>
      </w:r>
    </w:p>
    <w:p>
      <w:pPr>
        <w:pStyle w:val="ArticleScripture"/>
        <w:jc w:val="left"/>
      </w:pPr>
      <w:r>
        <w:rPr>
          <w:rFonts w:ascii="Times New Roman" w:hAnsi="Times New Roman" w:eastAsia="Times New Roman" w:cs="Times New Roman"/>
        </w:rPr>
        <w:t>“خريستوس به جهان درسی عطا کرد که باید بر ذهن و جان نقش بندد. او گفت: «و این است حیات جاودانی که تو را، خدای واحد حقیقی، و عیسی مسیح را که فرستادهٔ توست، بشناسند.» اما شیطان بر اذهان انسان‌ها عمل می‌کند و می‌گوید: این یا آن عمل را انجام دهید، و چون خدایان خواهید شد. او با استدلالی فریبنده آدم و حوا را به تردید در کلام خدا کشانید، و به جای آن نظریه‌ای نشاند که به تعدی و نافرمانی انجامید. و سفسطهٔ او امروز نیز همان می‌کند که در عدن کرد. هنگامی که خریستوس به جهان ما آمد، ماهیگیرانی فروتن را به عنوان شالودهٔ کلیسای خود برگزید. او می‌کوشید برای این شاگردان ماهیت پادشاهی و مأموریت خویش را توضیح دهد. اما فهم محدود آنان بر او قیدی می‌نهاد. ایشان سخنان کاتبان و فریسیان را پذیرفته بودند، و ازاین‌رو بسیاری از آنچه باور داشتند نادرست بود. و با آنکه خریستوس چیزهای بسیار داشت که به ایشان بگوید، آنان قادر نبودند بخش بزرگی از آنچه او مشتاق بود با ایشان در میان گذارد، بشنوند.”</w:t>
      </w:r>
    </w:p>
    <w:p>
      <w:pPr>
        <w:pStyle w:val="ArticleScripture"/>
        <w:jc w:val="left"/>
      </w:pPr>
      <w:r>
        <w:rPr>
          <w:rFonts w:ascii="Times New Roman" w:hAnsi="Times New Roman" w:eastAsia="Times New Roman" w:cs="Times New Roman"/>
        </w:rPr>
        <w:t>«Քրիստոսը այս ժամանակի կրոնամոլներին գտնում է այնքան լի սխալ զգացմունքներով, որ նրանց մտքերում ճշմարտության համար տեղ չկա։ Տրված կրթության միջոցով ուսուցիչները խառնում են անհավատ հեղինակների մտքերը։ Այսպիսով նրանք որոմ են սերմանել երիտասարդության մտքերում։ Նրանք արտահայտում են այնպիսի մտքեր, որոնք չպետք է ներկայացվեն ո՛չ երիտասարդներին, ո՛չ ծերերին, երբեք չմտածելով, թե ինչպիսի սերմ են ցանում, կամ ինչպիսի բերք պիտի հնձեն դրա հետևանքով»։ Review and Herald, July 3,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Katabu cha Danieli - Namba Hamsini</dc:title>
  <dc:subject>Dévoiler les mystères prophétiques de Daniel 8 : la révélation de Palmoni</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