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Bugtina Danieli - Kontrom metin Yifon da Gechum-ak-ana-mong-kinum Manri Mesa Sagin-doik-Etgal-Krum-Paun-Imnang-Singli-Pubrum ak-kettra?</w:t>
      </w:r>
    </w:p>
    <w:p>
      <w:pPr>
        <w:pStyle w:val="ArticleSubtitle"/>
        <w:jc w:val="left"/>
      </w:pPr>
      <w:r>
        <w:rPr>
          <w:rFonts w:ascii="Arial" w:hAnsi="Arial" w:eastAsia="Arial" w:cs="Arial"/>
        </w:rPr>
        <w:t>Palmoni : révélation du Maître du temps et du langage dans Daniel et l’Apocalypse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“Quel saint qui parlait” dans Daniel, chapitre huit, versets treize et quatorze, est le Christ en tant que Palmoni. Dans le livre de l’Apocalypse, le Christ est identifié comme l’Alpha et l’Oméga, ce qui, parmi d’autres merveilleuses vérités, désigne le Christ comme le Merveilleux Linguiste; et, ensemble, les livres de Daniel et de l’Apocalypse représentent le Christ comme le Maître du temps et du langage. Il est au-delà de la capacité humaine de comprendre la portée et la profondeur de ce que signifie le fait que le Christ, en tant que Palmoni (le Nombreur des secrets), introduise cet attribut de son caractère dans les deux versets qui établissent le pilier central de l’adventisme; mais les secrets que le Nombreur des secrets choisit de révéler relèvent de notre responsabilité de les reconnaître et de les défendre.</w:t>
      </w:r>
    </w:p>
    <w:p>
      <w:pPr>
        <w:pStyle w:val="ArticleScripture"/>
        <w:jc w:val="left"/>
      </w:pPr>
      <w:r>
        <w:rPr>
          <w:rFonts w:ascii="Times New Roman" w:hAnsi="Times New Roman" w:eastAsia="Times New Roman" w:cs="Times New Roman"/>
        </w:rPr>
        <w:t>Les choses cachées appartiennent à l’Éternel, notre Dieu; mais les choses révélées sont à nous et à nos enfants pour toujours, afin que nous mettions en pratique toutes les paroles de cette loi. Deutéronome 29:29.</w:t>
      </w:r>
    </w:p>
    <w:p>
      <w:pPr>
        <w:pStyle w:val="ArticleBody"/>
        <w:jc w:val="left"/>
      </w:pPr>
      <w:r>
        <w:rPr>
          <w:rFonts w:ascii="Times New Roman" w:hAnsi="Times New Roman" w:eastAsia="Times New Roman" w:cs="Times New Roman"/>
        </w:rPr>
        <w:t>Un secret qui a été révélé, c’est que le Dénombrant des secrets (Palmoni) est ce « saint qui parlait » ; et, dans les deux versets où Il se révèle, le pilier central de l’adventisme est identifié. Dans ces deux versets, le Merveilleux Dénombrant désigne « l’augmentation de la connaissance » qu’Il a, en tant que Lion de la tribu de Juda, descellée en 1798. Dans ces deux versets, les joyaux du rêve de Miller, qui représentent « l’augmentation de la connaissance », furent, sous la direction de la main de Palmoni, publiés sur les deux tables d’Habacuc.</w:t>
      </w:r>
    </w:p>
    <w:p>
      <w:pPr>
        <w:pStyle w:val="ArticleScripture"/>
        <w:jc w:val="left"/>
      </w:pPr>
      <w:r>
        <w:rPr>
          <w:rFonts w:ascii="Times New Roman" w:hAnsi="Times New Roman" w:eastAsia="Times New Roman" w:cs="Times New Roman"/>
        </w:rPr>
        <w:t>Puis j’entendis un saint qui parlait; et un autre saint dit à celui qui parlait: Jusqu’à quand s’accomplira la vision concernant le sacrifice perpétuel et le péché dévastateur, livrant à la fois le sanctuaire et l’armée pour être foulés aux pieds? Et il me dit: Jusqu’à deux mille trois cents jours; puis le sanctuaire sera purifié. Daniel 8:13, 14.</w:t>
      </w:r>
    </w:p>
    <w:p>
      <w:pPr>
        <w:pStyle w:val="ArticleBody"/>
        <w:jc w:val="left"/>
      </w:pPr>
      <w:r>
        <w:rPr>
          <w:rFonts w:ascii="Times New Roman" w:hAnsi="Times New Roman" w:eastAsia="Times New Roman" w:cs="Times New Roman"/>
        </w:rPr>
        <w:t>Baada ya Danieli kupokea maono ya kinabii kuhusu falme za unabii wa Biblia, kisha kusikia mazungumzo ya mbinguni katika aya ya kumi na tatu na ya kumi na nne, alitafuta kuelewa “maono” hayo.</w:t>
      </w:r>
    </w:p>
    <w:p>
      <w:pPr>
        <w:pStyle w:val="ArticleScripture"/>
        <w:jc w:val="left"/>
      </w:pPr>
      <w:r>
        <w:rPr>
          <w:rFonts w:ascii="Times New Roman" w:hAnsi="Times New Roman" w:eastAsia="Times New Roman" w:cs="Times New Roman"/>
        </w:rPr>
        <w:t>Et il arriva que, lorsque moi, Daniel, j’eus vu la vision et que j’en cherchais l’intelligence, voici, se tint devant moi quelqu’un ayant l’apparence d’un homme. Et j’entendis une voix d’homme entre les rives de l’Ulaï, laquelle cria et dit : Gabriel, fais comprendre à cet homme la vision. Daniel 8:15, 16.</w:t>
      </w:r>
    </w:p>
    <w:p>
      <w:pPr>
        <w:pStyle w:val="ArticleBody"/>
        <w:jc w:val="left"/>
      </w:pPr>
      <w:r>
        <w:rPr>
          <w:rFonts w:ascii="Times New Roman" w:hAnsi="Times New Roman" w:eastAsia="Times New Roman" w:cs="Times New Roman"/>
        </w:rPr>
        <w:t>“</w:t>
      </w:r>
      <w:r>
        <w:rPr>
          <w:rFonts w:ascii="Nirmala UI" w:hAnsi="Nirmala UI" w:eastAsia="Nirmala UI" w:cs="Nirmala UI"/>
        </w:rPr>
        <w:t>விசனத்தை</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புரிந்துகொள்ள</w:t>
      </w:r>
      <w:r>
        <w:rPr>
          <w:rFonts w:ascii="Times New Roman" w:hAnsi="Times New Roman" w:eastAsia="Times New Roman" w:cs="Times New Roman"/>
        </w:rPr>
        <w:t xml:space="preserve"> </w:t>
      </w:r>
      <w:r>
        <w:rPr>
          <w:rFonts w:ascii="Nirmala UI" w:hAnsi="Nirmala UI" w:eastAsia="Nirmala UI" w:cs="Nirmala UI"/>
        </w:rPr>
        <w:t>முயலுவது</w:t>
      </w:r>
      <w:r>
        <w:rPr>
          <w:rFonts w:ascii="Times New Roman" w:hAnsi="Times New Roman" w:eastAsia="Times New Roman" w:cs="Times New Roman"/>
        </w:rPr>
        <w:t xml:space="preserve"> “chazon”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தானியேலுக்குப்</w:t>
      </w:r>
      <w:r>
        <w:rPr>
          <w:rFonts w:ascii="Times New Roman" w:hAnsi="Times New Roman" w:eastAsia="Times New Roman" w:cs="Times New Roman"/>
        </w:rPr>
        <w:t xml:space="preserve"> </w:t>
      </w:r>
      <w:r>
        <w:rPr>
          <w:rFonts w:ascii="Nirmala UI" w:hAnsi="Nirmala UI" w:eastAsia="Nirmala UI" w:cs="Nirmala UI"/>
        </w:rPr>
        <w:t>புரியும்படி</w:t>
      </w:r>
      <w:r>
        <w:rPr>
          <w:rFonts w:ascii="Times New Roman" w:hAnsi="Times New Roman" w:eastAsia="Times New Roman" w:cs="Times New Roman"/>
        </w:rPr>
        <w:t xml:space="preserve"> </w:t>
      </w:r>
      <w:r>
        <w:rPr>
          <w:rFonts w:ascii="Nirmala UI" w:hAnsi="Nirmala UI" w:eastAsia="Nirmala UI" w:cs="Nirmala UI"/>
        </w:rPr>
        <w:t>செய்யும்படி</w:t>
      </w:r>
      <w:r>
        <w:rPr>
          <w:rFonts w:ascii="Times New Roman" w:hAnsi="Times New Roman" w:eastAsia="Times New Roman" w:cs="Times New Roman"/>
        </w:rPr>
        <w:t xml:space="preserve"> </w:t>
      </w:r>
      <w:r>
        <w:rPr>
          <w:rFonts w:ascii="Nirmala UI" w:hAnsi="Nirmala UI" w:eastAsia="Nirmala UI" w:cs="Nirmala UI"/>
        </w:rPr>
        <w:t>கபிரியேலுக்குக்</w:t>
      </w:r>
      <w:r>
        <w:rPr>
          <w:rFonts w:ascii="Times New Roman" w:hAnsi="Times New Roman" w:eastAsia="Times New Roman" w:cs="Times New Roman"/>
        </w:rPr>
        <w:t xml:space="preserve"> </w:t>
      </w:r>
      <w:r>
        <w:rPr>
          <w:rFonts w:ascii="Nirmala UI" w:hAnsi="Nirmala UI" w:eastAsia="Nirmala UI" w:cs="Nirmala UI"/>
        </w:rPr>
        <w:t>கட்டளையிடப்படுவது</w:t>
      </w:r>
      <w:r>
        <w:rPr>
          <w:rFonts w:ascii="Times New Roman" w:hAnsi="Times New Roman" w:eastAsia="Times New Roman" w:cs="Times New Roman"/>
        </w:rPr>
        <w:t xml:space="preserve"> “mareh”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உண்மைக்கும்</w:t>
      </w:r>
      <w:r>
        <w:rPr>
          <w:rFonts w:ascii="Times New Roman" w:hAnsi="Times New Roman" w:eastAsia="Times New Roman" w:cs="Times New Roman"/>
        </w:rPr>
        <w:t xml:space="preserve"> </w:t>
      </w:r>
      <w:r>
        <w:rPr>
          <w:rFonts w:ascii="Nirmala UI" w:hAnsi="Nirmala UI" w:eastAsia="Nirmala UI" w:cs="Nirmala UI"/>
        </w:rPr>
        <w:t>அதற்குரிய</w:t>
      </w:r>
      <w:r>
        <w:rPr>
          <w:rFonts w:ascii="Times New Roman" w:hAnsi="Times New Roman" w:eastAsia="Times New Roman" w:cs="Times New Roman"/>
        </w:rPr>
        <w:t xml:space="preserve"> </w:t>
      </w:r>
      <w:r>
        <w:rPr>
          <w:rFonts w:ascii="Nirmala UI" w:hAnsi="Nirmala UI" w:eastAsia="Nirmala UI" w:cs="Nirmala UI"/>
        </w:rPr>
        <w:t>பொருத்தமும்</w:t>
      </w:r>
      <w:r>
        <w:rPr>
          <w:rFonts w:ascii="Times New Roman" w:hAnsi="Times New Roman" w:eastAsia="Times New Roman" w:cs="Times New Roman"/>
        </w:rPr>
        <w:t xml:space="preserve"> </w:t>
      </w:r>
      <w:r>
        <w:rPr>
          <w:rFonts w:ascii="Nirmala UI" w:hAnsi="Nirmala UI" w:eastAsia="Nirmala UI" w:cs="Nirmala UI"/>
        </w:rPr>
        <w:t>தொடர்பும்</w:t>
      </w:r>
      <w:r>
        <w:rPr>
          <w:rFonts w:ascii="Times New Roman" w:hAnsi="Times New Roman" w:eastAsia="Times New Roman" w:cs="Times New Roman"/>
        </w:rPr>
        <w:t xml:space="preserve"> </w:t>
      </w:r>
      <w:r>
        <w:rPr>
          <w:rFonts w:ascii="Nirmala UI" w:hAnsi="Nirmala UI" w:eastAsia="Nirmala UI" w:cs="Nirmala UI"/>
        </w:rPr>
        <w:t>உண்டு</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உண்மை</w:t>
      </w:r>
      <w:r>
        <w:rPr>
          <w:rFonts w:ascii="Times New Roman" w:hAnsi="Times New Roman" w:eastAsia="Times New Roman" w:cs="Times New Roman"/>
        </w:rPr>
        <w:t xml:space="preserve"> </w:t>
      </w:r>
      <w:r>
        <w:rPr>
          <w:rFonts w:ascii="Nirmala UI" w:hAnsi="Nirmala UI" w:eastAsia="Nirmala UI" w:cs="Nirmala UI"/>
        </w:rPr>
        <w:t>கவனிக்கப்படாமல்</w:t>
      </w:r>
      <w:r>
        <w:rPr>
          <w:rFonts w:ascii="Times New Roman" w:hAnsi="Times New Roman" w:eastAsia="Times New Roman" w:cs="Times New Roman"/>
        </w:rPr>
        <w:t xml:space="preserve"> </w:t>
      </w:r>
      <w:r>
        <w:rPr>
          <w:rFonts w:ascii="Nirmala UI" w:hAnsi="Nirmala UI" w:eastAsia="Nirmala UI" w:cs="Nirmala UI"/>
        </w:rPr>
        <w:t>விட்டால்</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பகுதியின்</w:t>
      </w:r>
      <w:r>
        <w:rPr>
          <w:rFonts w:ascii="Times New Roman" w:hAnsi="Times New Roman" w:eastAsia="Times New Roman" w:cs="Times New Roman"/>
        </w:rPr>
        <w:t xml:space="preserve"> </w:t>
      </w:r>
      <w:r>
        <w:rPr>
          <w:rFonts w:ascii="Nirmala UI" w:hAnsi="Nirmala UI" w:eastAsia="Nirmala UI" w:cs="Nirmala UI"/>
        </w:rPr>
        <w:t>கட்டமைப்பும்</w:t>
      </w:r>
      <w:r>
        <w:rPr>
          <w:rFonts w:ascii="Times New Roman" w:hAnsi="Times New Roman" w:eastAsia="Times New Roman" w:cs="Times New Roman"/>
        </w:rPr>
        <w:t xml:space="preserve"> </w:t>
      </w:r>
      <w:r>
        <w:rPr>
          <w:rFonts w:ascii="Nirmala UI" w:hAnsi="Nirmala UI" w:eastAsia="Nirmala UI" w:cs="Nirmala UI"/>
        </w:rPr>
        <w:t>நோக்க</w:t>
      </w:r>
      <w:r>
        <w:rPr>
          <w:rFonts w:ascii="Times New Roman" w:hAnsi="Times New Roman" w:eastAsia="Times New Roman" w:cs="Times New Roman"/>
        </w:rPr>
        <w:t xml:space="preserve"> </w:t>
      </w:r>
      <w:r>
        <w:rPr>
          <w:rFonts w:ascii="Nirmala UI" w:hAnsi="Nirmala UI" w:eastAsia="Nirmala UI" w:cs="Nirmala UI"/>
        </w:rPr>
        <w:t>வடிவும்</w:t>
      </w:r>
      <w:r>
        <w:rPr>
          <w:rFonts w:ascii="Times New Roman" w:hAnsi="Times New Roman" w:eastAsia="Times New Roman" w:cs="Times New Roman"/>
        </w:rPr>
        <w:t xml:space="preserve"> </w:t>
      </w:r>
      <w:r>
        <w:rPr>
          <w:rFonts w:ascii="Nirmala UI" w:hAnsi="Nirmala UI" w:eastAsia="Nirmala UI" w:cs="Nirmala UI"/>
        </w:rPr>
        <w:t>அடிப்படையில்</w:t>
      </w:r>
      <w:r>
        <w:rPr>
          <w:rFonts w:ascii="Times New Roman" w:hAnsi="Times New Roman" w:eastAsia="Times New Roman" w:cs="Times New Roman"/>
        </w:rPr>
        <w:t xml:space="preserve"> </w:t>
      </w:r>
      <w:r>
        <w:rPr>
          <w:rFonts w:ascii="Nirmala UI" w:hAnsi="Nirmala UI" w:eastAsia="Nirmala UI" w:cs="Nirmala UI"/>
        </w:rPr>
        <w:t>சிதைந்துவிடும்</w:t>
      </w:r>
      <w:r>
        <w:rPr>
          <w:rFonts w:ascii="Times New Roman" w:hAnsi="Times New Roman" w:eastAsia="Times New Roman" w:cs="Times New Roman"/>
        </w:rPr>
        <w:t xml:space="preserve">. </w:t>
      </w:r>
      <w:r>
        <w:rPr>
          <w:rFonts w:ascii="Nirmala UI" w:hAnsi="Nirmala UI" w:eastAsia="Nirmala UI" w:cs="Nirmala UI"/>
        </w:rPr>
        <w:t>பதினைந்தாம்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“chazon” </w:t>
      </w:r>
      <w:r>
        <w:rPr>
          <w:rFonts w:ascii="Nirmala UI" w:hAnsi="Nirmala UI" w:eastAsia="Nirmala UI" w:cs="Nirmala UI"/>
        </w:rPr>
        <w:t>விசனத்தைப்</w:t>
      </w:r>
      <w:r>
        <w:rPr>
          <w:rFonts w:ascii="Times New Roman" w:hAnsi="Times New Roman" w:eastAsia="Times New Roman" w:cs="Times New Roman"/>
        </w:rPr>
        <w:t xml:space="preserve"> </w:t>
      </w:r>
      <w:r>
        <w:rPr>
          <w:rFonts w:ascii="Nirmala UI" w:hAnsi="Nirmala UI" w:eastAsia="Nirmala UI" w:cs="Nirmala UI"/>
        </w:rPr>
        <w:t>புரிந்துகொள்ள</w:t>
      </w:r>
      <w:r>
        <w:rPr>
          <w:rFonts w:ascii="Times New Roman" w:hAnsi="Times New Roman" w:eastAsia="Times New Roman" w:cs="Times New Roman"/>
        </w:rPr>
        <w:t xml:space="preserve"> </w:t>
      </w:r>
      <w:r>
        <w:rPr>
          <w:rFonts w:ascii="Nirmala UI" w:hAnsi="Nirmala UI" w:eastAsia="Nirmala UI" w:cs="Nirmala UI"/>
        </w:rPr>
        <w:t>முயலும்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“mareh” </w:t>
      </w:r>
      <w:r>
        <w:rPr>
          <w:rFonts w:ascii="Nirmala UI" w:hAnsi="Nirmala UI" w:eastAsia="Nirmala UI" w:cs="Nirmala UI"/>
        </w:rPr>
        <w:t>மறைந்திருக்கிறது</w:t>
      </w:r>
      <w:r>
        <w:rPr>
          <w:rFonts w:ascii="Times New Roman" w:hAnsi="Times New Roman" w:eastAsia="Times New Roman" w:cs="Times New Roman"/>
        </w:rPr>
        <w:t xml:space="preserve">; </w:t>
      </w:r>
      <w:r>
        <w:rPr>
          <w:rFonts w:ascii="Nirmala UI" w:hAnsi="Nirmala UI" w:eastAsia="Nirmala UI" w:cs="Nirmala UI"/>
        </w:rPr>
        <w:t>ஆயினும்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பிரதிநிதித்துவப்படுத்தப்பட்டுள்ளது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மனுஷனுடைய</w:t>
      </w:r>
      <w:r>
        <w:rPr>
          <w:rFonts w:ascii="Times New Roman" w:hAnsi="Times New Roman" w:eastAsia="Times New Roman" w:cs="Times New Roman"/>
        </w:rPr>
        <w:t xml:space="preserve"> </w:t>
      </w:r>
      <w:r>
        <w:rPr>
          <w:rFonts w:ascii="Nirmala UI" w:hAnsi="Nirmala UI" w:eastAsia="Nirmala UI" w:cs="Nirmala UI"/>
        </w:rPr>
        <w:t>தோற்றத்தோடு</w:t>
      </w:r>
      <w:r>
        <w:rPr>
          <w:rFonts w:ascii="Times New Roman" w:hAnsi="Times New Roman" w:eastAsia="Times New Roman" w:cs="Times New Roman"/>
        </w:rPr>
        <w:t>” (</w:t>
      </w:r>
      <w:r>
        <w:rPr>
          <w:rFonts w:ascii="Nirmala UI" w:hAnsi="Nirmala UI" w:eastAsia="Nirmala UI" w:cs="Nirmala UI"/>
        </w:rPr>
        <w:t>கபிரியேல்</w:t>
      </w:r>
      <w:r>
        <w:rPr>
          <w:rFonts w:ascii="Times New Roman" w:hAnsi="Times New Roman" w:eastAsia="Times New Roman" w:cs="Times New Roman"/>
        </w:rPr>
        <w:t xml:space="p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இடத்தில்</w:t>
      </w:r>
      <w:r>
        <w:rPr>
          <w:rFonts w:ascii="Times New Roman" w:hAnsi="Times New Roman" w:eastAsia="Times New Roman" w:cs="Times New Roman"/>
        </w:rPr>
        <w:t xml:space="preserve">, </w:t>
      </w:r>
      <w:r>
        <w:rPr>
          <w:rFonts w:ascii="Nirmala UI" w:hAnsi="Nirmala UI" w:eastAsia="Nirmala UI" w:cs="Nirmala UI"/>
        </w:rPr>
        <w:t>எபிரேயச்</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“mareh” “</w:t>
      </w:r>
      <w:r>
        <w:rPr>
          <w:rFonts w:ascii="Nirmala UI" w:hAnsi="Nirmala UI" w:eastAsia="Nirmala UI" w:cs="Nirmala UI"/>
        </w:rPr>
        <w:t>தோற்றம்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மொழிபெயர்க்கப்பட்டுள்ளது</w:t>
      </w:r>
      <w:r>
        <w:rPr>
          <w:rFonts w:ascii="Times New Roman" w:hAnsi="Times New Roman" w:eastAsia="Times New Roman" w:cs="Times New Roman"/>
        </w:rPr>
        <w:t xml:space="preserve">. </w:t>
      </w:r>
      <w:r>
        <w:rPr>
          <w:rFonts w:ascii="Nirmala UI" w:hAnsi="Nirmala UI" w:eastAsia="Nirmala UI" w:cs="Nirmala UI"/>
        </w:rPr>
        <w:t>பதினைந்தாம்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மொழிபெயர்க்கப்பட்ட</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சொற்களும்</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பிரதிநிதித்துவப்படுத்தப்பட்டுள்ளன</w:t>
      </w:r>
      <w:r>
        <w:rPr>
          <w:rFonts w:ascii="Times New Roman" w:hAnsi="Times New Roman" w:eastAsia="Times New Roman" w:cs="Times New Roman"/>
        </w:rPr>
        <w:t xml:space="preserve">. </w:t>
      </w:r>
      <w:r>
        <w:rPr>
          <w:rFonts w:ascii="Nirmala UI" w:hAnsi="Nirmala UI" w:eastAsia="Nirmala UI" w:cs="Nirmala UI"/>
        </w:rPr>
        <w:t>பதினைந்தாம்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“chazon”-</w:t>
      </w:r>
      <w:r>
        <w:rPr>
          <w:rFonts w:ascii="Nirmala UI" w:hAnsi="Nirmala UI" w:eastAsia="Nirmala UI" w:cs="Nirmala UI"/>
        </w:rPr>
        <w:t>ஐப்</w:t>
      </w:r>
      <w:r>
        <w:rPr>
          <w:rFonts w:ascii="Times New Roman" w:hAnsi="Times New Roman" w:eastAsia="Times New Roman" w:cs="Times New Roman"/>
        </w:rPr>
        <w:t xml:space="preserve"> </w:t>
      </w:r>
      <w:r>
        <w:rPr>
          <w:rFonts w:ascii="Nirmala UI" w:hAnsi="Nirmala UI" w:eastAsia="Nirmala UI" w:cs="Nirmala UI"/>
        </w:rPr>
        <w:t>புரிந்துகொள்ள</w:t>
      </w:r>
      <w:r>
        <w:rPr>
          <w:rFonts w:ascii="Times New Roman" w:hAnsi="Times New Roman" w:eastAsia="Times New Roman" w:cs="Times New Roman"/>
        </w:rPr>
        <w:t xml:space="preserve"> </w:t>
      </w:r>
      <w:r>
        <w:rPr>
          <w:rFonts w:ascii="Nirmala UI" w:hAnsi="Nirmala UI" w:eastAsia="Nirmala UI" w:cs="Nirmala UI"/>
        </w:rPr>
        <w:t>முயலுகிறான்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பதினாறாம்</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பால்மோனி</w:t>
      </w:r>
      <w:r>
        <w:rPr>
          <w:rFonts w:ascii="Times New Roman" w:hAnsi="Times New Roman" w:eastAsia="Times New Roman" w:cs="Times New Roman"/>
        </w:rPr>
        <w:t xml:space="preserve">, </w:t>
      </w:r>
      <w:r>
        <w:rPr>
          <w:rFonts w:ascii="Nirmala UI" w:hAnsi="Nirmala UI" w:eastAsia="Nirmala UI" w:cs="Nirmala UI"/>
        </w:rPr>
        <w:t>தானியேலுக்குப்</w:t>
      </w:r>
      <w:r>
        <w:rPr>
          <w:rFonts w:ascii="Times New Roman" w:hAnsi="Times New Roman" w:eastAsia="Times New Roman" w:cs="Times New Roman"/>
        </w:rPr>
        <w:t xml:space="preserve"> “mareh”-</w:t>
      </w:r>
      <w:r>
        <w:rPr>
          <w:rFonts w:ascii="Nirmala UI" w:hAnsi="Nirmala UI" w:eastAsia="Nirmala UI" w:cs="Nirmala UI"/>
        </w:rPr>
        <w:t>ஐப்</w:t>
      </w:r>
      <w:r>
        <w:rPr>
          <w:rFonts w:ascii="Times New Roman" w:hAnsi="Times New Roman" w:eastAsia="Times New Roman" w:cs="Times New Roman"/>
        </w:rPr>
        <w:t xml:space="preserve"> </w:t>
      </w:r>
      <w:r>
        <w:rPr>
          <w:rFonts w:ascii="Nirmala UI" w:hAnsi="Nirmala UI" w:eastAsia="Nirmala UI" w:cs="Nirmala UI"/>
        </w:rPr>
        <w:t>புரியும்படி</w:t>
      </w:r>
      <w:r>
        <w:rPr>
          <w:rFonts w:ascii="Times New Roman" w:hAnsi="Times New Roman" w:eastAsia="Times New Roman" w:cs="Times New Roman"/>
        </w:rPr>
        <w:t xml:space="preserve"> </w:t>
      </w:r>
      <w:r>
        <w:rPr>
          <w:rFonts w:ascii="Nirmala UI" w:hAnsi="Nirmala UI" w:eastAsia="Nirmala UI" w:cs="Nirmala UI"/>
        </w:rPr>
        <w:t>செய்யுமாறு</w:t>
      </w:r>
      <w:r>
        <w:rPr>
          <w:rFonts w:ascii="Times New Roman" w:hAnsi="Times New Roman" w:eastAsia="Times New Roman" w:cs="Times New Roman"/>
        </w:rPr>
        <w:t xml:space="preserve"> </w:t>
      </w:r>
      <w:r>
        <w:rPr>
          <w:rFonts w:ascii="Nirmala UI" w:hAnsi="Nirmala UI" w:eastAsia="Nirmala UI" w:cs="Nirmala UI"/>
        </w:rPr>
        <w:t>கபிரியேலுக்குக்</w:t>
      </w:r>
      <w:r>
        <w:rPr>
          <w:rFonts w:ascii="Times New Roman" w:hAnsi="Times New Roman" w:eastAsia="Times New Roman" w:cs="Times New Roman"/>
        </w:rPr>
        <w:t xml:space="preserve"> </w:t>
      </w:r>
      <w:r>
        <w:rPr>
          <w:rFonts w:ascii="Nirmala UI" w:hAnsi="Nirmala UI" w:eastAsia="Nirmala UI" w:cs="Nirmala UI"/>
        </w:rPr>
        <w:t>கட்டளையிடுகிறான்</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வசனங்களின்</w:t>
      </w:r>
      <w:r>
        <w:rPr>
          <w:rFonts w:ascii="Times New Roman" w:hAnsi="Times New Roman" w:eastAsia="Times New Roman" w:cs="Times New Roman"/>
        </w:rPr>
        <w:t xml:space="preserve"> </w:t>
      </w:r>
      <w:r>
        <w:rPr>
          <w:rFonts w:ascii="Nirmala UI" w:hAnsi="Nirmala UI" w:eastAsia="Nirmala UI" w:cs="Nirmala UI"/>
        </w:rPr>
        <w:t>அமைப்பு</w:t>
      </w:r>
      <w:r>
        <w:rPr>
          <w:rFonts w:ascii="Times New Roman" w:hAnsi="Times New Roman" w:eastAsia="Times New Roman" w:cs="Times New Roman"/>
        </w:rPr>
        <w:t xml:space="preserve"> </w:t>
      </w:r>
      <w:r>
        <w:rPr>
          <w:rFonts w:ascii="Nirmala UI" w:hAnsi="Nirmala UI" w:eastAsia="Nirmala UI" w:cs="Nirmala UI"/>
        </w:rPr>
        <w:t>நோக்கமுடையதாகும்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சொற்களுக்கிடையிலான</w:t>
      </w:r>
      <w:r>
        <w:rPr>
          <w:rFonts w:ascii="Times New Roman" w:hAnsi="Times New Roman" w:eastAsia="Times New Roman" w:cs="Times New Roman"/>
        </w:rPr>
        <w:t xml:space="preserve"> </w:t>
      </w:r>
      <w:r>
        <w:rPr>
          <w:rFonts w:ascii="Nirmala UI" w:hAnsi="Nirmala UI" w:eastAsia="Nirmala UI" w:cs="Nirmala UI"/>
        </w:rPr>
        <w:t>தொடர்பையும்</w:t>
      </w:r>
      <w:r>
        <w:rPr>
          <w:rFonts w:ascii="Times New Roman" w:hAnsi="Times New Roman" w:eastAsia="Times New Roman" w:cs="Times New Roman"/>
        </w:rPr>
        <w:t xml:space="preserve"> </w:t>
      </w:r>
      <w:r>
        <w:rPr>
          <w:rFonts w:ascii="Nirmala UI" w:hAnsi="Nirmala UI" w:eastAsia="Nirmala UI" w:cs="Nirmala UI"/>
        </w:rPr>
        <w:t>வேறுபாட்டையும்</w:t>
      </w:r>
      <w:r>
        <w:rPr>
          <w:rFonts w:ascii="Times New Roman" w:hAnsi="Times New Roman" w:eastAsia="Times New Roman" w:cs="Times New Roman"/>
        </w:rPr>
        <w:t xml:space="preserve"> </w:t>
      </w:r>
      <w:r>
        <w:rPr>
          <w:rFonts w:ascii="Nirmala UI" w:hAnsi="Nirmala UI" w:eastAsia="Nirmala UI" w:cs="Nirmala UI"/>
        </w:rPr>
        <w:t>வலியுறுத்துகிறது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Palmoni ndiye anayemwamuru Gabrieli amfanye Danieli aelewe “mareh,” kwa maana Yeye anayemwamuru Gabrieli ndiye Yule anayesimama juu ya maji, naye Gabrieli akaisikia sauti yake, “sauti ya mwanadamu katikati ya kingo za Ulai.” Ni mto Ulai unaopita katikati ya kingo hizo, naye Kristo ndiye anayesimama juu ya maji katika Maandiko. Pamoja na ukweli huo, upo pia ukweli kwamba Kristo, akiwa malaika mkuu, ndiye anayewaamuru malaika. Sauti iliyo katikati ya kingo, ni sauti ya “mtakatifu mmoja” katika aya ya kumi na tatu, nayo ni neno Lake linalomwamuru Gabrieli amfanye Danieli aelewe maono ya “mareh.” Katika sura ya kumi na mbili ya Danieli, Kristo kwa mara nyingine yuko katikati ya kingo za mto. Katika sura ya kumi na mbili amevaa kitani, naye anaapa kwa Yeye aishiye milele.</w:t>
      </w:r>
    </w:p>
    <w:p>
      <w:pPr>
        <w:pStyle w:val="ArticleScripture"/>
        <w:jc w:val="left"/>
      </w:pPr>
      <w:r>
        <w:rPr>
          <w:rFonts w:ascii="Times New Roman" w:hAnsi="Times New Roman" w:eastAsia="Times New Roman" w:cs="Times New Roman"/>
        </w:rPr>
        <w:t>Ma tú, ó Daniel, fecha estas palavras e sela o livro, até ao tempo do fim; muitos correrão de uma parte para outra, e o conhecimento se multiplicará. Então eu, Daniel, olhei, e eis que estavam em pé outros dois, um deste lado da margem do rio, e o outro daquele lado da margem do rio. E um deles disse ao homem vestido de linho, que estava sobre as águas do rio: Até quando será o fim destas maravilhas? E ouvi o homem vestido de linho, que estava sobre as águas do rio, quando levantou a sua mão direita e a sua mão esquerda ao céu, e jurou por aquele que vive eternamente que isso seria por um tempo, tempos e metade de um tempo; e, quando tiver acabado de destruir o poder do povo santo, todas estas coisas se cumprirão. Daniel 12:4–7.</w:t>
      </w:r>
    </w:p>
    <w:p>
      <w:pPr>
        <w:pStyle w:val="ArticleBody"/>
        <w:jc w:val="left"/>
      </w:pPr>
      <w:r>
        <w:rPr>
          <w:rFonts w:ascii="Times New Roman" w:hAnsi="Times New Roman" w:eastAsia="Times New Roman" w:cs="Times New Roman"/>
        </w:rPr>
        <w:t>e Manna whoo wuz “klowd in linnen, wich wuz upon e woders ov e riva,” “held up Hiz riet hand and Hiz left hand unto heven, and sware by Him that liveth forever,” and He iz e saim Manna, whoo in chapta ait commanded Gabriel. In Revelation chapta ten, Christ also held up Hiz hand and swore by Him whoo lives forever, but thair He iz standing upon bowth e woda and e erth.</w:t>
      </w:r>
    </w:p>
    <w:p>
      <w:pPr>
        <w:pStyle w:val="ArticleScripture"/>
        <w:jc w:val="left"/>
      </w:pPr>
      <w:r>
        <w:rPr>
          <w:rFonts w:ascii="Times New Roman" w:hAnsi="Times New Roman" w:eastAsia="Times New Roman" w:cs="Times New Roman"/>
        </w:rPr>
        <w:t>E l’angelo che vidi stare in piè sul mare e sulla terra alzò la sua mano al cielo, e giurò per colui che vive nei secoli dei secoli, il quale ha creato il cielo e le cose che sono in esso, e la terra e le cose che sono in essa, e il mare e le cose che sono in esso, che non vi sarebbe più tempo. Apocalisse 10:5, 6.</w:t>
      </w:r>
    </w:p>
    <w:p>
      <w:pPr>
        <w:pStyle w:val="ArticleBody"/>
        <w:jc w:val="left"/>
      </w:pPr>
      <w:r>
        <w:rPr>
          <w:rFonts w:ascii="Times New Roman" w:hAnsi="Times New Roman" w:eastAsia="Times New Roman" w:cs="Times New Roman"/>
        </w:rPr>
        <w:t>Malaika mwenye nguvu wa sura ya kumi ya Ufunuo ni Palmoni, ambaye alimwambia Gabrieli kutoka kati ya kingo za mto katika sura ya nane, na akaonyesha ni lini “mwisho wa” yale “maajabu” ungefika katika sura ya kumi na mbili. Katika Ufunuo sura ya kumi, Yeye ndiye aliyenguruma kama “simba,” kwa kuwa hapo anawakilishwa kama Simba wa kabila la Yuda.</w:t>
      </w:r>
    </w:p>
    <w:p>
      <w:pPr>
        <w:pStyle w:val="ArticleScripture"/>
        <w:jc w:val="left"/>
      </w:pP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ପ୍ରାଚୀନମାନଙ୍କ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ମୋତେ</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xml:space="preserve">, </w:t>
      </w:r>
      <w:r>
        <w:rPr>
          <w:rFonts w:ascii="Nirmala UI" w:hAnsi="Nirmala UI" w:eastAsia="Nirmala UI" w:cs="Nirmala UI"/>
        </w:rPr>
        <w:t>କାନ୍ଦିବା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ଗୋତ୍ରର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ଦାଉଦଙ୍କ</w:t>
      </w:r>
      <w:r>
        <w:rPr>
          <w:rFonts w:ascii="Times New Roman" w:hAnsi="Times New Roman" w:eastAsia="Times New Roman" w:cs="Times New Roman"/>
        </w:rPr>
        <w:t xml:space="preserve"> </w:t>
      </w:r>
      <w:r>
        <w:rPr>
          <w:rFonts w:ascii="Nirmala UI" w:hAnsi="Nirmala UI" w:eastAsia="Nirmala UI" w:cs="Nirmala UI"/>
        </w:rPr>
        <w:t>ମୂଳ</w:t>
      </w:r>
      <w:r>
        <w:rPr>
          <w:rFonts w:ascii="Times New Roman" w:hAnsi="Times New Roman" w:eastAsia="Times New Roman" w:cs="Times New Roman"/>
        </w:rPr>
        <w:t xml:space="preserve">, </w:t>
      </w:r>
      <w:r>
        <w:rPr>
          <w:rFonts w:ascii="Nirmala UI" w:hAnsi="Nirmala UI" w:eastAsia="Nirmala UI" w:cs="Nirmala UI"/>
        </w:rPr>
        <w:t>ପୁସ୍ତକଟିକୁ</w:t>
      </w:r>
      <w:r>
        <w:rPr>
          <w:rFonts w:ascii="Times New Roman" w:hAnsi="Times New Roman" w:eastAsia="Times New Roman" w:cs="Times New Roman"/>
        </w:rPr>
        <w:t xml:space="preserve"> </w:t>
      </w:r>
      <w:r>
        <w:rPr>
          <w:rFonts w:ascii="Nirmala UI" w:hAnsi="Nirmala UI" w:eastAsia="Nirmala UI" w:cs="Nirmala UI"/>
        </w:rPr>
        <w:t>ଖୋଲିବା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ମୋହରକୁ</w:t>
      </w:r>
      <w:r>
        <w:rPr>
          <w:rFonts w:ascii="Times New Roman" w:hAnsi="Times New Roman" w:eastAsia="Times New Roman" w:cs="Times New Roman"/>
        </w:rPr>
        <w:t xml:space="preserve"> </w:t>
      </w:r>
      <w:r>
        <w:rPr>
          <w:rFonts w:ascii="Nirmala UI" w:hAnsi="Nirmala UI" w:eastAsia="Nirmala UI" w:cs="Nirmala UI"/>
        </w:rPr>
        <w:t>ଖୋଲିଦେବା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ହୋଇଛନ୍ତି।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ସିଂହାସନର</w:t>
      </w:r>
      <w:r>
        <w:rPr>
          <w:rFonts w:ascii="Times New Roman" w:hAnsi="Times New Roman" w:eastAsia="Times New Roman" w:cs="Times New Roman"/>
        </w:rPr>
        <w:t xml:space="preserve"> </w:t>
      </w:r>
      <w:r>
        <w:rPr>
          <w:rFonts w:ascii="Nirmala UI" w:hAnsi="Nirmala UI" w:eastAsia="Nirmala UI" w:cs="Nirmala UI"/>
        </w:rPr>
        <w:t>ମଧ୍ୟଭାଗରେ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ଚାରି</w:t>
      </w:r>
      <w:r>
        <w:rPr>
          <w:rFonts w:ascii="Times New Roman" w:hAnsi="Times New Roman" w:eastAsia="Times New Roman" w:cs="Times New Roman"/>
        </w:rPr>
        <w:t xml:space="preserve"> </w:t>
      </w:r>
      <w:r>
        <w:rPr>
          <w:rFonts w:ascii="Nirmala UI" w:hAnsi="Nirmala UI" w:eastAsia="Nirmala UI" w:cs="Nirmala UI"/>
        </w:rPr>
        <w:t>ଜୀବନ୍ତ</w:t>
      </w:r>
      <w:r>
        <w:rPr>
          <w:rFonts w:ascii="Times New Roman" w:hAnsi="Times New Roman" w:eastAsia="Times New Roman" w:cs="Times New Roman"/>
        </w:rPr>
        <w:t xml:space="preserve"> </w:t>
      </w:r>
      <w:r>
        <w:rPr>
          <w:rFonts w:ascii="Nirmala UI" w:hAnsi="Nirmala UI" w:eastAsia="Nirmala UI" w:cs="Nirmala UI"/>
        </w:rPr>
        <w:t>ପ୍ରାଣୀଙ୍କ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ପ୍ରାଚୀନମାନଙ୍କ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ହତ</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ମେଷଶାବକ</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ଯାହାଙ୍କର</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ସିଙ୍ଗ</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ସାତଟି</w:t>
      </w:r>
      <w:r>
        <w:rPr>
          <w:rFonts w:ascii="Times New Roman" w:hAnsi="Times New Roman" w:eastAsia="Times New Roman" w:cs="Times New Roman"/>
        </w:rPr>
        <w:t xml:space="preserve"> </w:t>
      </w:r>
      <w:r>
        <w:rPr>
          <w:rFonts w:ascii="Nirmala UI" w:hAnsi="Nirmala UI" w:eastAsia="Nirmala UI" w:cs="Nirmala UI"/>
        </w:rPr>
        <w:t>ଚକ୍ଷୁ</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ଯେଗୁଡ଼ିକ</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ପୃଥିବୀକୁ</w:t>
      </w:r>
      <w:r>
        <w:rPr>
          <w:rFonts w:ascii="Times New Roman" w:hAnsi="Times New Roman" w:eastAsia="Times New Roman" w:cs="Times New Roman"/>
        </w:rPr>
        <w:t xml:space="preserve"> </w:t>
      </w:r>
      <w:r>
        <w:rPr>
          <w:rFonts w:ascii="Nirmala UI" w:hAnsi="Nirmala UI" w:eastAsia="Nirmala UI" w:cs="Nirmala UI"/>
        </w:rPr>
        <w:t>ପଠାଯାଇଥିବା</w:t>
      </w:r>
      <w:r>
        <w:rPr>
          <w:rFonts w:ascii="Times New Roman" w:hAnsi="Times New Roman" w:eastAsia="Times New Roman" w:cs="Times New Roman"/>
        </w:rPr>
        <w:t xml:space="preserve"> </w:t>
      </w:r>
      <w:r>
        <w:rPr>
          <w:rFonts w:ascii="Nirmala UI" w:hAnsi="Nirmala UI" w:eastAsia="Nirmala UI" w:cs="Nirmala UI"/>
        </w:rPr>
        <w:t>ଈଶ୍ୱରଙ୍କ</w:t>
      </w:r>
      <w:r>
        <w:rPr>
          <w:rFonts w:ascii="Times New Roman" w:hAnsi="Times New Roman" w:eastAsia="Times New Roman" w:cs="Times New Roman"/>
        </w:rPr>
        <w:t xml:space="preserve"> </w:t>
      </w:r>
      <w:r>
        <w:rPr>
          <w:rFonts w:ascii="Nirmala UI" w:hAnsi="Nirmala UI" w:eastAsia="Nirmala UI" w:cs="Nirmala UI"/>
        </w:rPr>
        <w:t>ସାତ</w:t>
      </w:r>
      <w:r>
        <w:rPr>
          <w:rFonts w:ascii="Times New Roman" w:hAnsi="Times New Roman" w:eastAsia="Times New Roman" w:cs="Times New Roman"/>
        </w:rPr>
        <w:t xml:space="preserve"> </w:t>
      </w:r>
      <w:r>
        <w:rPr>
          <w:rFonts w:ascii="Nirmala UI" w:hAnsi="Nirmala UI" w:eastAsia="Nirmala UI" w:cs="Nirmala UI"/>
        </w:rPr>
        <w:t>ଆତ୍ମା।</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ସିଂହାସନ</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ବସିଥିବା</w:t>
      </w:r>
      <w:r>
        <w:rPr>
          <w:rFonts w:ascii="Times New Roman" w:hAnsi="Times New Roman" w:eastAsia="Times New Roman" w:cs="Times New Roman"/>
        </w:rPr>
        <w:t xml:space="preserve"> </w:t>
      </w:r>
      <w:r>
        <w:rPr>
          <w:rFonts w:ascii="Nirmala UI" w:hAnsi="Nirmala UI" w:eastAsia="Nirmala UI" w:cs="Nirmala UI"/>
        </w:rPr>
        <w:t>ତାହାଙ୍କ</w:t>
      </w:r>
      <w:r>
        <w:rPr>
          <w:rFonts w:ascii="Times New Roman" w:hAnsi="Times New Roman" w:eastAsia="Times New Roman" w:cs="Times New Roman"/>
        </w:rPr>
        <w:t xml:space="preserve"> </w:t>
      </w:r>
      <w:r>
        <w:rPr>
          <w:rFonts w:ascii="Nirmala UI" w:hAnsi="Nirmala UI" w:eastAsia="Nirmala UI" w:cs="Nirmala UI"/>
        </w:rPr>
        <w:t>ଦକ୍ଷିଣ</w:t>
      </w:r>
      <w:r>
        <w:rPr>
          <w:rFonts w:ascii="Times New Roman" w:hAnsi="Times New Roman" w:eastAsia="Times New Roman" w:cs="Times New Roman"/>
        </w:rPr>
        <w:t xml:space="preserve"> </w:t>
      </w:r>
      <w:r>
        <w:rPr>
          <w:rFonts w:ascii="Nirmala UI" w:hAnsi="Nirmala UI" w:eastAsia="Nirmala UI" w:cs="Nirmala UI"/>
        </w:rPr>
        <w:t>ହସ୍ତରୁ</w:t>
      </w:r>
      <w:r>
        <w:rPr>
          <w:rFonts w:ascii="Times New Roman" w:hAnsi="Times New Roman" w:eastAsia="Times New Roman" w:cs="Times New Roman"/>
        </w:rPr>
        <w:t xml:space="preserve"> </w:t>
      </w:r>
      <w:r>
        <w:rPr>
          <w:rFonts w:ascii="Nirmala UI" w:hAnsi="Nirmala UI" w:eastAsia="Nirmala UI" w:cs="Nirmala UI"/>
        </w:rPr>
        <w:t>ପୁସ୍ତକଟିକୁ</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5:5–7</w:t>
      </w:r>
      <w:r>
        <w:rPr>
          <w:rFonts w:ascii="Nirmala UI" w:hAnsi="Nirmala UI" w:eastAsia="Nirmala UI" w:cs="Nirmala UI"/>
        </w:rPr>
        <w:t>।</w:t>
      </w:r>
    </w:p>
    <w:p>
      <w:pPr>
        <w:pStyle w:val="ArticleBody"/>
        <w:jc w:val="left"/>
      </w:pPr>
      <w:r>
        <w:rPr>
          <w:rFonts w:ascii="Nirmala UI" w:hAnsi="Nirmala UI" w:eastAsia="Nirmala UI" w:cs="Nirmala UI"/>
        </w:rPr>
        <w:t>ਜੂਡਾਹ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ਨਾਤੇ</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ਮੇਮਣਾ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ਖੋਲ੍ਹਣ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ਚਾਹੇ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ਪਾਣੀ</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ਤੁਰਦਾ</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ਹਰੇਕ</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ਰੂਪਕ</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ਜੂਡਾਹ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ਨਾਤੇ</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ਖੋਲ੍ਹਦਾ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ਦਸਵੇਂ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ਗੱਜਣਾਂ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ਕੀਤਾ।</w:t>
      </w:r>
    </w:p>
    <w:p>
      <w:pPr>
        <w:pStyle w:val="ArticleScripture"/>
        <w:jc w:val="left"/>
      </w:pPr>
      <w:r>
        <w:rPr>
          <w:rFonts w:ascii="Times New Roman" w:hAnsi="Times New Roman" w:eastAsia="Times New Roman" w:cs="Times New Roman"/>
        </w:rPr>
        <w:t>“Bwana malaika aliyemwagiza Yohana hakuwa mwingine ila Yesu Kristo. Kuweka mguu Wake wa kuume juu ya bahari, na wa kushoto juu ya nchi kavu, huonyesha sehemu anayotekeleza katika matukio ya kufunga ya pambano kuu na Shetani. Msimamo huu unaonyesha uwezo na mamlaka Yake ya juu kabisa juu ya dunia yote. Pambano hilo limezidi kuwa kali na la kusudi thabiti tangu kizazi hadi kizazi, nalo litaendelea hivyo hadi matukio ya mwisho kabisa, wakati utendaji wa ustadi wa mamlaka za giza utakapofikia kilele chake. Shetani, akiungana na watu waovu, ataupotosha ulimwengu wote na makanisa yasiyoupokea upendo wa kweli. Lakini yule malaika mwenye nguvu anadai usikivu. Analia kwa sauti kuu. Anapaswa kuonyesha uwezo na mamlaka ya sauti Yake kwa wale ambao wameungana na Shetani kuipinga kweli.”</w:t>
      </w:r>
    </w:p>
    <w:p>
      <w:pPr>
        <w:pStyle w:val="ArticleScripture"/>
        <w:jc w:val="left"/>
      </w:pPr>
      <w:r>
        <w:rPr>
          <w:rFonts w:ascii="Times New Roman" w:hAnsi="Times New Roman" w:eastAsia="Times New Roman" w:cs="Times New Roman"/>
        </w:rPr>
        <w:t>“</w:t>
      </w:r>
      <w:r>
        <w:rPr>
          <w:rFonts w:ascii="Ebrima" w:hAnsi="Ebrima" w:eastAsia="Ebrima" w:cs="Ebrima"/>
        </w:rPr>
        <w:t>ከእነዚህ</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ነጎድጓዶች</w:t>
      </w:r>
      <w:r>
        <w:rPr>
          <w:rFonts w:ascii="Times New Roman" w:hAnsi="Times New Roman" w:eastAsia="Times New Roman" w:cs="Times New Roman"/>
        </w:rPr>
        <w:t xml:space="preserve"> </w:t>
      </w:r>
      <w:r>
        <w:rPr>
          <w:rFonts w:ascii="Ebrima" w:hAnsi="Ebrima" w:eastAsia="Ebrima" w:cs="Ebrima"/>
        </w:rPr>
        <w:t>ድምፃቸውን</w:t>
      </w:r>
      <w:r>
        <w:rPr>
          <w:rFonts w:ascii="Times New Roman" w:hAnsi="Times New Roman" w:eastAsia="Times New Roman" w:cs="Times New Roman"/>
        </w:rPr>
        <w:t xml:space="preserve"> </w:t>
      </w:r>
      <w:r>
        <w:rPr>
          <w:rFonts w:ascii="Ebrima" w:hAnsi="Ebrima" w:eastAsia="Ebrima" w:cs="Ebrima"/>
        </w:rPr>
        <w:t>ካሰሙ</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ትንሹ</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ለዳንኤል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ተሰጠው</w:t>
      </w:r>
      <w:r>
        <w:rPr>
          <w:rFonts w:ascii="Times New Roman" w:hAnsi="Times New Roman" w:eastAsia="Times New Roman" w:cs="Times New Roman"/>
        </w:rPr>
        <w:t xml:space="preserve"> </w:t>
      </w:r>
      <w:r>
        <w:rPr>
          <w:rFonts w:ascii="Ebrima" w:hAnsi="Ebrima" w:eastAsia="Ebrima" w:cs="Ebrima"/>
        </w:rPr>
        <w:t>ለዮሐንስ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ትእዛዝ</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ነጎድጓዶች</w:t>
      </w:r>
      <w:r>
        <w:rPr>
          <w:rFonts w:ascii="Times New Roman" w:hAnsi="Times New Roman" w:eastAsia="Times New Roman" w:cs="Times New Roman"/>
        </w:rPr>
        <w:t xml:space="preserve"> </w:t>
      </w:r>
      <w:r>
        <w:rPr>
          <w:rFonts w:ascii="Ebrima" w:hAnsi="Ebrima" w:eastAsia="Ebrima" w:cs="Ebrima"/>
        </w:rPr>
        <w:t>የተናገሩትን</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አትም።</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በየተራቸው</w:t>
      </w:r>
      <w:r>
        <w:rPr>
          <w:rFonts w:ascii="Times New Roman" w:hAnsi="Times New Roman" w:eastAsia="Times New Roman" w:cs="Times New Roman"/>
        </w:rPr>
        <w:t xml:space="preserve"> </w:t>
      </w:r>
      <w:r>
        <w:rPr>
          <w:rFonts w:ascii="Ebrima" w:hAnsi="Ebrima" w:eastAsia="Ebrima" w:cs="Ebrima"/>
        </w:rPr>
        <w:t>ይገለጡ</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የሚጠባበቁ</w:t>
      </w:r>
      <w:r>
        <w:rPr>
          <w:rFonts w:ascii="Times New Roman" w:hAnsi="Times New Roman" w:eastAsia="Times New Roman" w:cs="Times New Roman"/>
        </w:rPr>
        <w:t xml:space="preserve"> </w:t>
      </w:r>
      <w:r>
        <w:rPr>
          <w:rFonts w:ascii="Ebrima" w:hAnsi="Ebrima" w:eastAsia="Ebrima" w:cs="Ebrima"/>
        </w:rPr>
        <w:t>ወደፊት</w:t>
      </w:r>
      <w:r>
        <w:rPr>
          <w:rFonts w:ascii="Times New Roman" w:hAnsi="Times New Roman" w:eastAsia="Times New Roman" w:cs="Times New Roman"/>
        </w:rPr>
        <w:t xml:space="preserve"> </w:t>
      </w:r>
      <w:r>
        <w:rPr>
          <w:rFonts w:ascii="Ebrima" w:hAnsi="Ebrima" w:eastAsia="Ebrima" w:cs="Ebrima"/>
        </w:rPr>
        <w:t>የሚሆኑ</w:t>
      </w:r>
      <w:r>
        <w:rPr>
          <w:rFonts w:ascii="Times New Roman" w:hAnsi="Times New Roman" w:eastAsia="Times New Roman" w:cs="Times New Roman"/>
        </w:rPr>
        <w:t xml:space="preserve"> </w:t>
      </w:r>
      <w:r>
        <w:rPr>
          <w:rFonts w:ascii="Ebrima" w:hAnsi="Ebrima" w:eastAsia="Ebrima" w:cs="Ebrima"/>
        </w:rPr>
        <w:t>ክስተቶችን</w:t>
      </w:r>
      <w:r>
        <w:rPr>
          <w:rFonts w:ascii="Times New Roman" w:hAnsi="Times New Roman" w:eastAsia="Times New Roman" w:cs="Times New Roman"/>
        </w:rPr>
        <w:t xml:space="preserve"> </w:t>
      </w:r>
      <w:r>
        <w:rPr>
          <w:rFonts w:ascii="Ebrima" w:hAnsi="Ebrima" w:eastAsia="Ebrima" w:cs="Ebrima"/>
        </w:rPr>
        <w:t>ይመለከታሉ።</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በዘመኑ</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በዕጣው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ይቆማል።</w:t>
      </w:r>
      <w:r>
        <w:rPr>
          <w:rFonts w:ascii="Times New Roman" w:hAnsi="Times New Roman" w:eastAsia="Times New Roman" w:cs="Times New Roman"/>
        </w:rPr>
        <w:t xml:space="preserve"> </w:t>
      </w:r>
      <w:r>
        <w:rPr>
          <w:rFonts w:ascii="Ebrima" w:hAnsi="Ebrima" w:eastAsia="Ebrima" w:cs="Ebrima"/>
        </w:rPr>
        <w:t>ዮሐንስም</w:t>
      </w:r>
      <w:r>
        <w:rPr>
          <w:rFonts w:ascii="Times New Roman" w:hAnsi="Times New Roman" w:eastAsia="Times New Roman" w:cs="Times New Roman"/>
        </w:rPr>
        <w:t xml:space="preserve"> </w:t>
      </w:r>
      <w:r>
        <w:rPr>
          <w:rFonts w:ascii="Ebrima" w:hAnsi="Ebrima" w:eastAsia="Ebrima" w:cs="Ebrima"/>
        </w:rPr>
        <w:t>ትንሹን</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ያልታተመ</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ያያል።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ትንቢቶች</w:t>
      </w:r>
      <w:r>
        <w:rPr>
          <w:rFonts w:ascii="Times New Roman" w:hAnsi="Times New Roman" w:eastAsia="Times New Roman" w:cs="Times New Roman"/>
        </w:rPr>
        <w:t xml:space="preserve"> </w:t>
      </w:r>
      <w:r>
        <w:rPr>
          <w:rFonts w:ascii="Ebrima" w:hAnsi="Ebrima" w:eastAsia="Ebrima" w:cs="Ebrima"/>
        </w:rPr>
        <w:t>ለዓለም</w:t>
      </w:r>
      <w:r>
        <w:rPr>
          <w:rFonts w:ascii="Times New Roman" w:hAnsi="Times New Roman" w:eastAsia="Times New Roman" w:cs="Times New Roman"/>
        </w:rPr>
        <w:t xml:space="preserve"> </w:t>
      </w:r>
      <w:r>
        <w:rPr>
          <w:rFonts w:ascii="Ebrima" w:hAnsi="Ebrima" w:eastAsia="Ebrima" w:cs="Ebrima"/>
        </w:rPr>
        <w:t>ሊሰጡ</w:t>
      </w:r>
      <w:r>
        <w:rPr>
          <w:rFonts w:ascii="Times New Roman" w:hAnsi="Times New Roman" w:eastAsia="Times New Roman" w:cs="Times New Roman"/>
        </w:rPr>
        <w:t xml:space="preserve"> </w:t>
      </w:r>
      <w:r>
        <w:rPr>
          <w:rFonts w:ascii="Ebrima" w:hAnsi="Ebrima" w:eastAsia="Ebrima" w:cs="Ebrima"/>
        </w:rPr>
        <w:t>በተዘጋጁት</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በሁለተኛው፣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የመላእክት</w:t>
      </w:r>
      <w:r>
        <w:rPr>
          <w:rFonts w:ascii="Times New Roman" w:hAnsi="Times New Roman" w:eastAsia="Times New Roman" w:cs="Times New Roman"/>
        </w:rPr>
        <w:t xml:space="preserve"> </w:t>
      </w:r>
      <w:r>
        <w:rPr>
          <w:rFonts w:ascii="Ebrima" w:hAnsi="Ebrima" w:eastAsia="Ebrima" w:cs="Ebrima"/>
        </w:rPr>
        <w:t>መልእክቶች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ተገቢ</w:t>
      </w:r>
      <w:r>
        <w:rPr>
          <w:rFonts w:ascii="Times New Roman" w:hAnsi="Times New Roman" w:eastAsia="Times New Roman" w:cs="Times New Roman"/>
        </w:rPr>
        <w:t xml:space="preserve"> </w:t>
      </w:r>
      <w:r>
        <w:rPr>
          <w:rFonts w:ascii="Ebrima" w:hAnsi="Ebrima" w:eastAsia="Ebrima" w:cs="Ebrima"/>
        </w:rPr>
        <w:t>ስፍራቸውን</w:t>
      </w:r>
      <w:r>
        <w:rPr>
          <w:rFonts w:ascii="Times New Roman" w:hAnsi="Times New Roman" w:eastAsia="Times New Roman" w:cs="Times New Roman"/>
        </w:rPr>
        <w:t xml:space="preserve"> </w:t>
      </w:r>
      <w:r>
        <w:rPr>
          <w:rFonts w:ascii="Ebrima" w:hAnsi="Ebrima" w:eastAsia="Ebrima" w:cs="Ebrima"/>
        </w:rPr>
        <w:t>ያገኛሉ።</w:t>
      </w:r>
      <w:r>
        <w:rPr>
          <w:rFonts w:ascii="Times New Roman" w:hAnsi="Times New Roman" w:eastAsia="Times New Roman" w:cs="Times New Roman"/>
        </w:rPr>
        <w:t xml:space="preserve"> </w:t>
      </w:r>
      <w:r>
        <w:rPr>
          <w:rFonts w:ascii="Ebrima" w:hAnsi="Ebrima" w:eastAsia="Ebrima" w:cs="Ebrima"/>
        </w:rPr>
        <w:t>የትንሹ</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መፈታት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«Os livros de Daniel e do Apocalipse são um só. Um é uma profecia, o outro uma revelação; um, um livro selado, o outro, um livro aberto. João ouviu os mistérios que os trovões proferiram, mas foi-lhe ordenado que não os escrevesse. »</w:t>
      </w:r>
    </w:p>
    <w:p>
      <w:pPr>
        <w:pStyle w:val="ArticleScripture"/>
        <w:jc w:val="left"/>
      </w:pPr>
      <w:r>
        <w:rPr>
          <w:rFonts w:ascii="Times New Roman" w:hAnsi="Times New Roman" w:eastAsia="Times New Roman" w:cs="Times New Roman"/>
        </w:rPr>
        <w:t>«Светот посебно даден на Јован, изразен во седумте громови, претставуваше прикажување на настаните што ќе се случеа под вестите на првиот и вториот ангел.» The Seventh-day Adventist Bible Commentary, volume 7, 971.</w:t>
      </w:r>
    </w:p>
    <w:p>
      <w:pPr>
        <w:pStyle w:val="ArticleBody"/>
        <w:jc w:val="left"/>
      </w:pPr>
      <w:r>
        <w:rPr>
          <w:rFonts w:ascii="Times New Roman" w:hAnsi="Times New Roman" w:eastAsia="Times New Roman" w:cs="Times New Roman"/>
        </w:rPr>
        <w:t>Le Christ, représenté comme Palmoni, l’Homme des chapitres huit et douze qui est sur les eaux, est aussi l’ange puissant ayant dans Sa main le petit livre. Il est le Lion de la tribu de Juda qui scelle et descelle Sa Parole, et Il est celui qui donne des ordres à Gabriel, car Il est Michel, l’archange.</w:t>
      </w:r>
    </w:p>
    <w:p>
      <w:pPr>
        <w:pStyle w:val="ArticleScripture"/>
        <w:jc w:val="left"/>
      </w:pPr>
      <w:r>
        <w:rPr>
          <w:rFonts w:ascii="Times New Roman" w:hAnsi="Times New Roman" w:eastAsia="Times New Roman" w:cs="Times New Roman"/>
        </w:rPr>
        <w:t>Mais l’archange Michel, lorsqu’il contestait avec le diable et disputait au sujet du corps de Moïse, n’osa pas porter contre lui une accusation injurieuse, mais dit : Que le Seigneur te réprime. Jude 1:9.</w:t>
      </w:r>
    </w:p>
    <w:p>
      <w:pPr>
        <w:pStyle w:val="ArticleBody"/>
        <w:jc w:val="left"/>
      </w:pPr>
      <w:r>
        <w:rPr>
          <w:rFonts w:ascii="Nirmala UI" w:hAnsi="Nirmala UI" w:eastAsia="Nirmala UI" w:cs="Nirmala UI"/>
        </w:rPr>
        <w:t>मिखाएल</w:t>
      </w:r>
      <w:r>
        <w:rPr>
          <w:rFonts w:ascii="Times New Roman" w:hAnsi="Times New Roman" w:eastAsia="Times New Roman" w:cs="Times New Roman"/>
        </w:rPr>
        <w:t xml:space="preserve"> </w:t>
      </w:r>
      <w:r>
        <w:rPr>
          <w:rFonts w:ascii="Nirmala UI" w:hAnsi="Nirmala UI" w:eastAsia="Nirmala UI" w:cs="Nirmala UI"/>
        </w:rPr>
        <w:t>ख्रीष्टाचे</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द्योतक</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केवळ</w:t>
      </w:r>
      <w:r>
        <w:rPr>
          <w:rFonts w:ascii="Times New Roman" w:hAnsi="Times New Roman" w:eastAsia="Times New Roman" w:cs="Times New Roman"/>
        </w:rPr>
        <w:t xml:space="preserve"> </w:t>
      </w:r>
      <w:r>
        <w:rPr>
          <w:rFonts w:ascii="Nirmala UI" w:hAnsi="Nirmala UI" w:eastAsia="Nirmala UI" w:cs="Nirmala UI"/>
        </w:rPr>
        <w:t>देवदूतांचा</w:t>
      </w:r>
      <w:r>
        <w:rPr>
          <w:rFonts w:ascii="Times New Roman" w:hAnsi="Times New Roman" w:eastAsia="Times New Roman" w:cs="Times New Roman"/>
        </w:rPr>
        <w:t xml:space="preserve"> </w:t>
      </w:r>
      <w:r>
        <w:rPr>
          <w:rFonts w:ascii="Nirmala UI" w:hAnsi="Nirmala UI" w:eastAsia="Nirmala UI" w:cs="Nirmala UI"/>
        </w:rPr>
        <w:t>सेनापतीच</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तोच</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करण्याचा</w:t>
      </w:r>
      <w:r>
        <w:rPr>
          <w:rFonts w:ascii="Times New Roman" w:hAnsi="Times New Roman" w:eastAsia="Times New Roman" w:cs="Times New Roman"/>
        </w:rPr>
        <w:t xml:space="preserve"> </w:t>
      </w:r>
      <w:r>
        <w:rPr>
          <w:rFonts w:ascii="Nirmala UI" w:hAnsi="Nirmala UI" w:eastAsia="Nirmala UI" w:cs="Nirmala UI"/>
        </w:rPr>
        <w:t>अधिकारही</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w:t>
      </w:r>
      <w:r>
        <w:rPr>
          <w:rFonts w:ascii="Nirmala UI" w:hAnsi="Nirmala UI" w:eastAsia="Nirmala UI" w:cs="Nirmala UI"/>
        </w:rPr>
        <w:t>मिखाएल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नावाचा</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w:t>
      </w:r>
      <w:r>
        <w:rPr>
          <w:rFonts w:ascii="Nirmala UI" w:hAnsi="Nirmala UI" w:eastAsia="Nirmala UI" w:cs="Nirmala UI"/>
        </w:rPr>
        <w:t>देवासारखा</w:t>
      </w:r>
      <w:r>
        <w:rPr>
          <w:rFonts w:ascii="Times New Roman" w:hAnsi="Times New Roman" w:eastAsia="Times New Roman" w:cs="Times New Roman"/>
        </w:rPr>
        <w:t xml:space="preserve"> </w:t>
      </w:r>
      <w:r>
        <w:rPr>
          <w:rFonts w:ascii="Nirmala UI" w:hAnsi="Nirmala UI" w:eastAsia="Nirmala UI" w:cs="Nirmala UI"/>
        </w:rPr>
        <w:t>कोण</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नबुखद्नेस्सरने</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भट्टीत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तिघा</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पुरुषांबरोबर</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पुत्रासारखा</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मिखाएलच</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प्रधानदूत</w:t>
      </w:r>
      <w:r>
        <w:rPr>
          <w:rFonts w:ascii="Times New Roman" w:hAnsi="Times New Roman" w:eastAsia="Times New Roman" w:cs="Times New Roman"/>
        </w:rPr>
        <w:t xml:space="preserve"> </w:t>
      </w:r>
      <w:r>
        <w:rPr>
          <w:rFonts w:ascii="Nirmala UI" w:hAnsi="Nirmala UI" w:eastAsia="Nirmala UI" w:cs="Nirmala UI"/>
        </w:rPr>
        <w:t>मिखाएल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लोकांचा</w:t>
      </w:r>
      <w:r>
        <w:rPr>
          <w:rFonts w:ascii="Times New Roman" w:hAnsi="Times New Roman" w:eastAsia="Times New Roman" w:cs="Times New Roman"/>
        </w:rPr>
        <w:t xml:space="preserve"> </w:t>
      </w:r>
      <w:r>
        <w:rPr>
          <w:rFonts w:ascii="Nirmala UI" w:hAnsi="Nirmala UI" w:eastAsia="Nirmala UI" w:cs="Nirmala UI"/>
        </w:rPr>
        <w:t>अधिपतीही</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ज्याच्या</w:t>
      </w:r>
      <w:r>
        <w:rPr>
          <w:rFonts w:ascii="Times New Roman" w:hAnsi="Times New Roman" w:eastAsia="Times New Roman" w:cs="Times New Roman"/>
        </w:rPr>
        <w:t xml:space="preserve"> </w:t>
      </w:r>
      <w:r>
        <w:rPr>
          <w:rFonts w:ascii="Nirmala UI" w:hAnsi="Nirmala UI" w:eastAsia="Nirmala UI" w:cs="Nirmala UI"/>
        </w:rPr>
        <w:t>विरोधात</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रोमाच्या</w:t>
      </w:r>
      <w:r>
        <w:rPr>
          <w:rFonts w:ascii="Times New Roman" w:hAnsi="Times New Roman" w:eastAsia="Times New Roman" w:cs="Times New Roman"/>
        </w:rPr>
        <w:t xml:space="preserve"> </w:t>
      </w:r>
      <w:r>
        <w:rPr>
          <w:rFonts w:ascii="Nirmala UI" w:hAnsi="Nirmala UI" w:eastAsia="Nirmala UI" w:cs="Nirmala UI"/>
        </w:rPr>
        <w:t>लहान</w:t>
      </w:r>
      <w:r>
        <w:rPr>
          <w:rFonts w:ascii="Times New Roman" w:hAnsi="Times New Roman" w:eastAsia="Times New Roman" w:cs="Times New Roman"/>
        </w:rPr>
        <w:t xml:space="preserve"> </w:t>
      </w:r>
      <w:r>
        <w:rPr>
          <w:rFonts w:ascii="Nirmala UI" w:hAnsi="Nirmala UI" w:eastAsia="Nirmala UI" w:cs="Nirmala UI"/>
        </w:rPr>
        <w:t>शिंगाने</w:t>
      </w:r>
      <w:r>
        <w:rPr>
          <w:rFonts w:ascii="Times New Roman" w:hAnsi="Times New Roman" w:eastAsia="Times New Roman" w:cs="Times New Roman"/>
        </w:rPr>
        <w:t xml:space="preserve"> </w:t>
      </w:r>
      <w:r>
        <w:rPr>
          <w:rFonts w:ascii="Nirmala UI" w:hAnsi="Nirmala UI" w:eastAsia="Nirmala UI" w:cs="Nirmala UI"/>
        </w:rPr>
        <w:t>स्वतःचा</w:t>
      </w:r>
      <w:r>
        <w:rPr>
          <w:rFonts w:ascii="Times New Roman" w:hAnsi="Times New Roman" w:eastAsia="Times New Roman" w:cs="Times New Roman"/>
        </w:rPr>
        <w:t xml:space="preserve"> </w:t>
      </w:r>
      <w:r>
        <w:rPr>
          <w:rFonts w:ascii="Nirmala UI" w:hAnsi="Nirmala UI" w:eastAsia="Nirmala UI" w:cs="Nirmala UI"/>
        </w:rPr>
        <w:t>मोठेपणा</w:t>
      </w:r>
      <w:r>
        <w:rPr>
          <w:rFonts w:ascii="Times New Roman" w:hAnsi="Times New Roman" w:eastAsia="Times New Roman" w:cs="Times New Roman"/>
        </w:rPr>
        <w:t xml:space="preserve"> </w:t>
      </w:r>
      <w:r>
        <w:rPr>
          <w:rFonts w:ascii="Nirmala UI" w:hAnsi="Nirmala UI" w:eastAsia="Nirmala UI" w:cs="Nirmala UI"/>
        </w:rPr>
        <w:t>क्रूसावर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अकरा</w:t>
      </w:r>
      <w:r>
        <w:rPr>
          <w:rFonts w:ascii="Times New Roman" w:hAnsi="Times New Roman" w:eastAsia="Times New Roman" w:cs="Times New Roman"/>
        </w:rPr>
        <w:t xml:space="preserve">, </w:t>
      </w:r>
      <w:r>
        <w:rPr>
          <w:rFonts w:ascii="Nirmala UI" w:hAnsi="Nirmala UI" w:eastAsia="Nirmala UI" w:cs="Nirmala UI"/>
        </w:rPr>
        <w:t>यांच्या</w:t>
      </w:r>
      <w:r>
        <w:rPr>
          <w:rFonts w:ascii="Times New Roman" w:hAnsi="Times New Roman" w:eastAsia="Times New Roman" w:cs="Times New Roman"/>
        </w:rPr>
        <w:t xml:space="preserve"> </w:t>
      </w:r>
      <w:r>
        <w:rPr>
          <w:rFonts w:ascii="Nirmala UI" w:hAnsi="Nirmala UI" w:eastAsia="Nirmala UI" w:cs="Nirmala UI"/>
        </w:rPr>
        <w:t>परिपूर्तीत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 ik zal u te kennen geven wat opgetekend is in het schrift der waarheid; en er is niemand die zich met mij sterk houdt in deze dingen, dan Michaël, uw vorst. Daniël 10:21.</w:t>
      </w:r>
    </w:p>
    <w:p>
      <w:pPr>
        <w:pStyle w:val="ArticleBody"/>
        <w:jc w:val="left"/>
      </w:pPr>
      <w:r>
        <w:rPr>
          <w:rFonts w:ascii="Times New Roman" w:hAnsi="Times New Roman" w:eastAsia="Times New Roman" w:cs="Times New Roman"/>
        </w:rPr>
        <w:t>Es Michael, der den Engeln gebietet, der die Toten auferweckt und der entscheidet, wann die Gnadenzeit endet.</w:t>
      </w:r>
    </w:p>
    <w:p>
      <w:pPr>
        <w:pStyle w:val="ArticleScripture"/>
        <w:jc w:val="left"/>
      </w:pPr>
      <w:r>
        <w:rPr>
          <w:rFonts w:ascii="Times New Roman" w:hAnsi="Times New Roman" w:eastAsia="Times New Roman" w:cs="Times New Roman"/>
        </w:rPr>
        <w:t>“‘At that time Mikaeli atasimama, mkuu yule mkuu awasimamiaye wana wa watu wako; kutakuwa na wakati wa taabu, mfano wake haujawahi kuwapo tangu kuwapo taifa hata wakati huo huo; na wakati huo watu wako wataokolewa, kila mmoja atakayeonekana ameandikwa katika kile kitabu.’ Wakati huu wa taabu utakapokuja, kila shauri litakuwa limekwisha kuamuliwa; hakuna tena muda wa rehema, hakuna tena rehema kwa wasiotubu. Muhuri wa Mungu aliye hai uko juu ya watu Wake. Masalio haya machache, wasio na uwezo wa kujitetea katika pambano la mauti dhidi ya mamlaka za dunia zilizopangwa na jeshi la yule joka, humfanya Mungu kuwa ulinzi wao. Amri imetolewa na mamlaka ya juu zaidi ya kidunia kwamba watamwabudu yule mnyama na kuipokea chapa yake, chini ya adhabu ya mateso na kifo. Mungu na awasaidie watu Wake sasa, kwa maana wakati huo watawezaje katika pambano la kutisha namna hiyo bila msaada Wake!” Testimonies, volume 5, 212.</w:t>
      </w:r>
    </w:p>
    <w:p>
      <w:pPr>
        <w:pStyle w:val="ArticleBody"/>
        <w:jc w:val="left"/>
      </w:pPr>
      <w:r>
        <w:rPr>
          <w:rFonts w:ascii="Times New Roman" w:hAnsi="Times New Roman" w:eastAsia="Times New Roman" w:cs="Times New Roman"/>
        </w:rPr>
        <w:t>Ҳоким сирри ниҳоие, ки Шери қабилаи Яҳудо мекушояд, Ваҳйи Исои Масеҳ аст, ва он дар бар мегирад, ки Ӯ бар тарҳ ва сохтори ҳар як унсури Каломи нубувватии Худ комилан ҳоким аст. Он Марде, ки либоси катон дар бар дорад ва бар болои обҳо меистад, ки дасти Худро боло мебардорад ва ба Он ки то абад зинда аст, қасам мехӯрад, ва чун Шер нидо мекунад, ки аз ин сабаб ҳафт раъд овозҳои худро баён мекунанд, ҳамон Касест, ки китоби Дониёлро мӯҳр мекунад ва ҳафт раъди Ваҳйро низ мӯҳр мекунад. Ҳамон Ӯст, ки китоберо, ки бо ҳафт мӯҳр мӯҳр зада шудааст, мекушояд, ки қудрати эҳё карданро дорад, ва ҳамон Мири бузургест, ки бармехезад ва анҷоми муҳлати имтиҳонро эълон мекунад. Вақте ки Палмоний ба Ҷабраил амр фармуд, ки рӯъёи «mareh»-ро ба Дониёл фаҳмонад, маҳз ҳамонро дар назар дошт.</w:t>
      </w:r>
    </w:p>
    <w:p>
      <w:pPr>
        <w:pStyle w:val="ArticleBody"/>
        <w:jc w:val="left"/>
      </w:pPr>
      <w:r>
        <w:rPr>
          <w:rFonts w:ascii="Times New Roman" w:hAnsi="Times New Roman" w:eastAsia="Times New Roman" w:cs="Times New Roman"/>
        </w:rPr>
        <w:t>Il n’ordonna pas à Gabriel de faire comprendre à Daniel la vision du « chazon ». La vision du « chazon » est la vision des royaumes de la prophétie biblique dans Daniel, chapitre huit, versets un à douze, et c’est aussi la « vision » à laquelle il est fait référence au verset treize, dans une question de durée : « Jusqu’à quand durera la vision ? » La vision du « chazon » concerne les puissances désolatrices du continuel (le paganisme) et de la transgression (le papisme), qui foulent aux pieds le sanctuaire et l’armée.</w:t>
      </w:r>
    </w:p>
    <w:p>
      <w:pPr>
        <w:pStyle w:val="ArticleScripture"/>
        <w:jc w:val="left"/>
      </w:pPr>
      <w:r>
        <w:rPr>
          <w:rFonts w:ascii="Times New Roman" w:hAnsi="Times New Roman" w:eastAsia="Times New Roman" w:cs="Times New Roman"/>
        </w:rPr>
        <w:t>به‌گاه آن‌گاه شنیدم که قدیسی سخن می‌گفت، و قدیسِ دیگری به آن قدیسی که سخن می‌گفت، گفت: «این رؤیا دربارهٔ قربانیِ دائمی و عصیانِ ویرانگر تا به کِی خواهد بود، که هم مقدِس و هم لشکر به پایمال شدن سپرده شوند؟» دانیال ۸:۱۳</w:t>
      </w:r>
    </w:p>
    <w:p>
      <w:pPr>
        <w:pStyle w:val="ArticleBody"/>
        <w:jc w:val="left"/>
      </w:pPr>
      <w:r>
        <w:rPr>
          <w:rFonts w:ascii="Times New Roman" w:hAnsi="Times New Roman" w:eastAsia="Times New Roman" w:cs="Times New Roman"/>
        </w:rPr>
        <w:t>Christ, als Palmoni (die wunderbare Zählergestalt), wird gefragt: „Wie lange“ soll die Vision des „chazon“ währen? Und er antwortet: „Bis zu zweitausenddreihundert Tagen; dann wird das Heiligtum gereinigt werden.“ Daniel begehrt darauf, die Vision des „chazon“ zu verstehen, die „das tägliche Opfer und den Frevel der Verwüstung“ betrifft, „so daß sowohl das Heiligtum als auch das Heer zur Zertretung preisgegeben werden“. Doch Gabriel erhält den Befehl, Daniel die Vision des „mareh“ verständlich zu machen. Jede Tatsache hat ihre Bedeutung im Worte Gottes. Die Vision des „mareh“ ist die Vision der Abende und Morgen, die in Vers sechsundzwanzig bezeichnet wird.</w:t>
      </w:r>
    </w:p>
    <w:p>
      <w:pPr>
        <w:pStyle w:val="ArticleScripture"/>
        <w:jc w:val="left"/>
      </w:pPr>
      <w:r>
        <w:rPr>
          <w:rFonts w:ascii="Times New Roman" w:hAnsi="Times New Roman" w:eastAsia="Times New Roman" w:cs="Times New Roman"/>
        </w:rPr>
        <w:t>Uye umbono wakusihlwa nowokusa owatshelwayo uyiqiniso; ngalokho vala umbono; ngokuba uyakuba ngezinsuku eziningi. Danieli 8:26.</w:t>
      </w:r>
    </w:p>
    <w:p>
      <w:pPr>
        <w:pStyle w:val="ArticleBody"/>
        <w:jc w:val="left"/>
      </w:pPr>
      <w:r>
        <w:rPr>
          <w:rFonts w:ascii="Times New Roman" w:hAnsi="Times New Roman" w:eastAsia="Times New Roman" w:cs="Times New Roman"/>
        </w:rPr>
        <w:t>Die woord “visioen” word twee keer in die vers genoem. Die eerste verwysing is die “mareh”-visioen en die tweede die “chazon”-visioen. Die “mareh”-visioen is die visioen van “die aande en môres.” Die Hebreeuse uitdrukking “aande en môres” kom dikwels in die Bybel voor, en dit word altyd vertaal as “aande en môres,” soos dit in vers ses-en-twintig is. Die enigste plek in die Bybel waar dit anders as “aande en môres” vertaal word, is in vers veertien, waar dit bloot as “dae” vertaal word. Die werklike Hebreeus van vers veertien sou lui: “Tot twee duisend drie honderd aande en môres.”</w:t>
      </w:r>
    </w:p>
    <w:p>
      <w:pPr>
        <w:pStyle w:val="ArticleBody"/>
        <w:jc w:val="left"/>
      </w:pPr>
      <w:r>
        <w:rPr>
          <w:rFonts w:ascii="Times New Roman" w:hAnsi="Times New Roman" w:eastAsia="Times New Roman" w:cs="Times New Roman"/>
        </w:rPr>
        <w:t>Le verset qui constitue le pilier central de l’adventisme est le seul verset dans la Parole de Dieu où « soir et matin » est exprimé simplement par « jours ». Chaque fait a sa portée, et s’il ne devait rien ressortir d’autre, il est manifeste que Palmoni mettait délibérément l’accent sur ce verset. Il l’a fait en dirigeant l’esprit de ceux qui ont traduit la Bible du roi Jacques afin qu’ils rédigent l’expression différemment de la manière dont elle est toujours formulée dans Sa Parole. Le point qui doit être tiré de ce fait, c’est que, lorsque Gabriel reçoit l’ordre de faire comprendre à Daniel la vision du « mareh », il lui est ordonné de faire comprendre à Daniel la vision de l’apparition de 1844, et non la vision du « chazon » concernant le foulage aux pieds du sanctuaire et de l’armée.</w:t>
      </w:r>
    </w:p>
    <w:p>
      <w:pPr>
        <w:pStyle w:val="ArticleBody"/>
        <w:jc w:val="left"/>
      </w:pPr>
      <w:r>
        <w:rPr>
          <w:rFonts w:ascii="Nirmala UI" w:hAnsi="Nirmala UI" w:eastAsia="Nirmala UI" w:cs="Nirmala UI"/>
        </w:rPr>
        <w:t>स्वच्छस्थानाच्या</w:t>
      </w:r>
      <w:r>
        <w:rPr>
          <w:rFonts w:ascii="Times New Roman" w:hAnsi="Times New Roman" w:eastAsia="Times New Roman" w:cs="Times New Roman"/>
        </w:rPr>
        <w:t xml:space="preserve"> </w:t>
      </w:r>
      <w:r>
        <w:rPr>
          <w:rFonts w:ascii="Nirmala UI" w:hAnsi="Nirmala UI" w:eastAsia="Nirmala UI" w:cs="Nirmala UI"/>
        </w:rPr>
        <w:t>शुद्धीकरणास</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ऑक्टोबर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घडलेल्या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प्रकटण्याविषयी</w:t>
      </w:r>
      <w:r>
        <w:rPr>
          <w:rFonts w:ascii="Times New Roman" w:hAnsi="Times New Roman" w:eastAsia="Times New Roman" w:cs="Times New Roman"/>
        </w:rPr>
        <w:t xml:space="preserve"> “</w:t>
      </w:r>
      <w:r>
        <w:rPr>
          <w:rFonts w:ascii="Nirmala UI" w:hAnsi="Nirmala UI" w:eastAsia="Nirmala UI" w:cs="Nirmala UI"/>
        </w:rPr>
        <w:t>संध्याकाळी</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सकाळी</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ऑक्टोबर</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झालेल्या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प्रकटण्याचे</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स्वच्छस्थानाच्या</w:t>
      </w:r>
      <w:r>
        <w:rPr>
          <w:rFonts w:ascii="Times New Roman" w:hAnsi="Times New Roman" w:eastAsia="Times New Roman" w:cs="Times New Roman"/>
        </w:rPr>
        <w:t xml:space="preserve"> </w:t>
      </w:r>
      <w:r>
        <w:rPr>
          <w:rFonts w:ascii="Nirmala UI" w:hAnsi="Nirmala UI" w:eastAsia="Nirmala UI" w:cs="Nirmala UI"/>
        </w:rPr>
        <w:t>तुडवून</w:t>
      </w:r>
      <w:r>
        <w:rPr>
          <w:rFonts w:ascii="Times New Roman" w:hAnsi="Times New Roman" w:eastAsia="Times New Roman" w:cs="Times New Roman"/>
        </w:rPr>
        <w:t xml:space="preserve"> </w:t>
      </w:r>
      <w:r>
        <w:rPr>
          <w:rFonts w:ascii="Nirmala UI" w:hAnsi="Nirmala UI" w:eastAsia="Nirmala UI" w:cs="Nirmala UI"/>
        </w:rPr>
        <w:t>टाकण्याविषयी</w:t>
      </w:r>
      <w:r>
        <w:rPr>
          <w:rFonts w:ascii="Times New Roman" w:hAnsi="Times New Roman" w:eastAsia="Times New Roman" w:cs="Times New Roman"/>
        </w:rPr>
        <w:t xml:space="preserve"> </w:t>
      </w:r>
      <w:r>
        <w:rPr>
          <w:rFonts w:ascii="Nirmala UI" w:hAnsi="Nirmala UI" w:eastAsia="Nirmala UI" w:cs="Nirmala UI"/>
        </w:rPr>
        <w:t>नसून</w:t>
      </w:r>
      <w:r>
        <w:rPr>
          <w:rFonts w:ascii="Times New Roman" w:hAnsi="Times New Roman" w:eastAsia="Times New Roman" w:cs="Times New Roman"/>
        </w:rPr>
        <w:t xml:space="preserve">, </w:t>
      </w:r>
      <w:r>
        <w:rPr>
          <w:rFonts w:ascii="Nirmala UI" w:hAnsi="Nirmala UI" w:eastAsia="Nirmala UI" w:cs="Nirmala UI"/>
        </w:rPr>
        <w:t>स्वच्छस्थानाच्या</w:t>
      </w:r>
      <w:r>
        <w:rPr>
          <w:rFonts w:ascii="Times New Roman" w:hAnsi="Times New Roman" w:eastAsia="Times New Roman" w:cs="Times New Roman"/>
        </w:rPr>
        <w:t xml:space="preserve"> </w:t>
      </w:r>
      <w:r>
        <w:rPr>
          <w:rFonts w:ascii="Nirmala UI" w:hAnsi="Nirmala UI" w:eastAsia="Nirmala UI" w:cs="Nirmala UI"/>
        </w:rPr>
        <w:t>शुद्धीकरणाविषयी</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तारखेला</w:t>
      </w:r>
      <w:r>
        <w:rPr>
          <w:rFonts w:ascii="Times New Roman" w:hAnsi="Times New Roman" w:eastAsia="Times New Roman" w:cs="Times New Roman"/>
        </w:rPr>
        <w:t xml:space="preserve"> </w:t>
      </w:r>
      <w:r>
        <w:rPr>
          <w:rFonts w:ascii="Nirmala UI" w:hAnsi="Nirmala UI" w:eastAsia="Nirmala UI" w:cs="Nirmala UI"/>
        </w:rPr>
        <w:t>एखादे</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प्रकटणे</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စင်ကြယ်စေခြင်းအတွက်</w:t>
      </w:r>
      <w:r>
        <w:rPr>
          <w:rFonts w:ascii="Times New Roman" w:hAnsi="Times New Roman" w:eastAsia="Times New Roman" w:cs="Times New Roman"/>
        </w:rPr>
        <w:t xml:space="preserve"> </w:t>
      </w:r>
      <w:r>
        <w:rPr>
          <w:rFonts w:ascii="Myanmar Text" w:hAnsi="Myanmar Text" w:eastAsia="Myanmar Text" w:cs="Myanmar Text"/>
        </w:rPr>
        <w:t>အလွန်သန့်ရှင်းရာဌာနသို့</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ယဇ်ပုရောဟိတ်မင်းအဖြစ်</w:t>
      </w:r>
      <w:r>
        <w:rPr>
          <w:rFonts w:ascii="Times New Roman" w:hAnsi="Times New Roman" w:eastAsia="Times New Roman" w:cs="Times New Roman"/>
        </w:rPr>
        <w:t xml:space="preserve"> </w:t>
      </w:r>
      <w:r>
        <w:rPr>
          <w:rFonts w:ascii="Myanmar Text" w:hAnsi="Myanmar Text" w:eastAsia="Myanmar Text" w:cs="Myanmar Text"/>
        </w:rPr>
        <w:t>ကြွလာတော်မူခြင်းကို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8:14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ဖော်ပြထားသကဲ့သို့လည်းကောင်း၊</w:t>
      </w:r>
      <w:r>
        <w:rPr>
          <w:rFonts w:ascii="Times New Roman" w:hAnsi="Times New Roman" w:eastAsia="Times New Roman" w:cs="Times New Roman"/>
        </w:rPr>
        <w:t xml:space="preserve"> </w:t>
      </w:r>
      <w:r>
        <w:rPr>
          <w:rFonts w:ascii="Myanmar Text" w:hAnsi="Myanmar Text" w:eastAsia="Myanmar Text" w:cs="Myanmar Text"/>
        </w:rPr>
        <w:t>လူသား၏သားတော်သည်</w:t>
      </w:r>
      <w:r>
        <w:rPr>
          <w:rFonts w:ascii="Times New Roman" w:hAnsi="Times New Roman" w:eastAsia="Times New Roman" w:cs="Times New Roman"/>
        </w:rPr>
        <w:t xml:space="preserve"> </w:t>
      </w:r>
      <w:r>
        <w:rPr>
          <w:rFonts w:ascii="Myanmar Text" w:hAnsi="Myanmar Text" w:eastAsia="Myanmar Text" w:cs="Myanmar Text"/>
        </w:rPr>
        <w:t>ရှေးကာလကြီးသူထံသို့</w:t>
      </w:r>
      <w:r>
        <w:rPr>
          <w:rFonts w:ascii="Times New Roman" w:hAnsi="Times New Roman" w:eastAsia="Times New Roman" w:cs="Times New Roman"/>
        </w:rPr>
        <w:t xml:space="preserve"> </w:t>
      </w:r>
      <w:r>
        <w:rPr>
          <w:rFonts w:ascii="Myanmar Text" w:hAnsi="Myanmar Text" w:eastAsia="Myanmar Text" w:cs="Myanmar Text"/>
        </w:rPr>
        <w:t>ကြွလာတော်မူခြင်းကို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7:13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တင်ပြထားသကဲ့သို့လည်းကောင်း၊</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ဗိမာန်တော်သို့</w:t>
      </w:r>
      <w:r>
        <w:rPr>
          <w:rFonts w:ascii="Times New Roman" w:hAnsi="Times New Roman" w:eastAsia="Times New Roman" w:cs="Times New Roman"/>
        </w:rPr>
        <w:t xml:space="preserve"> </w:t>
      </w:r>
      <w:r>
        <w:rPr>
          <w:rFonts w:ascii="Myanmar Text" w:hAnsi="Myanmar Text" w:eastAsia="Myanmar Text" w:cs="Myanmar Text"/>
        </w:rPr>
        <w:t>ကြွလာတော်မူခြင်းကို</w:t>
      </w:r>
      <w:r>
        <w:rPr>
          <w:rFonts w:ascii="Times New Roman" w:hAnsi="Times New Roman" w:eastAsia="Times New Roman" w:cs="Times New Roman"/>
        </w:rPr>
        <w:t xml:space="preserve"> </w:t>
      </w:r>
      <w:r>
        <w:rPr>
          <w:rFonts w:ascii="Myanmar Text" w:hAnsi="Myanmar Text" w:eastAsia="Myanmar Text" w:cs="Myanmar Text"/>
        </w:rPr>
        <w:t>မာလခိက</w:t>
      </w:r>
      <w:r>
        <w:rPr>
          <w:rFonts w:ascii="Times New Roman" w:hAnsi="Times New Roman" w:eastAsia="Times New Roman" w:cs="Times New Roman"/>
        </w:rPr>
        <w:t xml:space="preserve"> </w:t>
      </w:r>
      <w:r>
        <w:rPr>
          <w:rFonts w:ascii="Myanmar Text" w:hAnsi="Myanmar Text" w:eastAsia="Myanmar Text" w:cs="Myanmar Text"/>
        </w:rPr>
        <w:t>ကြိုတင်ဟောကြားထားသကဲ့သို့လည်းကောင်း၊</w:t>
      </w:r>
      <w:r>
        <w:rPr>
          <w:rFonts w:ascii="Times New Roman" w:hAnsi="Times New Roman" w:eastAsia="Times New Roman" w:cs="Times New Roman"/>
        </w:rPr>
        <w:t xml:space="preserve"> </w:t>
      </w:r>
      <w:r>
        <w:rPr>
          <w:rFonts w:ascii="Myanmar Text" w:hAnsi="Myanmar Text" w:eastAsia="Myanmar Text" w:cs="Myanmar Text"/>
        </w:rPr>
        <w:t>ထိုအရာတို့အားလုံးသည်</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ဖြစ်ရပ်တစ်ခုကို</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သရုပ်ဖော်ချက်များဖြစ်ကြသည်။</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25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အပျိုကညာဆယ်ဦး၏</w:t>
      </w:r>
      <w:r>
        <w:rPr>
          <w:rFonts w:ascii="Times New Roman" w:hAnsi="Times New Roman" w:eastAsia="Times New Roman" w:cs="Times New Roman"/>
        </w:rPr>
        <w:t xml:space="preserve"> </w:t>
      </w:r>
      <w:r>
        <w:rPr>
          <w:rFonts w:ascii="Myanmar Text" w:hAnsi="Myanmar Text" w:eastAsia="Myanmar Text" w:cs="Myanmar Text"/>
        </w:rPr>
        <w:t>ဥပမာ၌</w:t>
      </w:r>
      <w:r>
        <w:rPr>
          <w:rFonts w:ascii="Times New Roman" w:hAnsi="Times New Roman" w:eastAsia="Times New Roman" w:cs="Times New Roman"/>
        </w:rPr>
        <w:t xml:space="preserve"> </w:t>
      </w:r>
      <w:r>
        <w:rPr>
          <w:rFonts w:ascii="Myanmar Text" w:hAnsi="Myanmar Text" w:eastAsia="Myanmar Text" w:cs="Myanmar Text"/>
        </w:rPr>
        <w:t>ခရစ်တော်ဖော်ပြတော်မူသော</w:t>
      </w:r>
      <w:r>
        <w:rPr>
          <w:rFonts w:ascii="Times New Roman" w:hAnsi="Times New Roman" w:eastAsia="Times New Roman" w:cs="Times New Roman"/>
        </w:rPr>
        <w:t xml:space="preserve"> </w:t>
      </w:r>
      <w:r>
        <w:rPr>
          <w:rFonts w:ascii="Myanmar Text" w:hAnsi="Myanmar Text" w:eastAsia="Myanmar Text" w:cs="Myanmar Text"/>
        </w:rPr>
        <w:t>မင်္ဂလာဆောင်သို့</w:t>
      </w:r>
      <w:r>
        <w:rPr>
          <w:rFonts w:ascii="Times New Roman" w:hAnsi="Times New Roman" w:eastAsia="Times New Roman" w:cs="Times New Roman"/>
        </w:rPr>
        <w:t xml:space="preserve"> </w:t>
      </w:r>
      <w:r>
        <w:rPr>
          <w:rFonts w:ascii="Myanmar Text" w:hAnsi="Myanmar Text" w:eastAsia="Myanmar Text" w:cs="Myanmar Text"/>
        </w:rPr>
        <w:t>သတို့သား၏</w:t>
      </w:r>
      <w:r>
        <w:rPr>
          <w:rFonts w:ascii="Times New Roman" w:hAnsi="Times New Roman" w:eastAsia="Times New Roman" w:cs="Times New Roman"/>
        </w:rPr>
        <w:t xml:space="preserve"> </w:t>
      </w:r>
      <w:r>
        <w:rPr>
          <w:rFonts w:ascii="Myanmar Text" w:hAnsi="Myanmar Text" w:eastAsia="Myanmar Text" w:cs="Myanmar Text"/>
        </w:rPr>
        <w:t>ကြွလာခြင်းဖြင့်လည်း</w:t>
      </w:r>
      <w:r>
        <w:rPr>
          <w:rFonts w:ascii="Times New Roman" w:hAnsi="Times New Roman" w:eastAsia="Times New Roman" w:cs="Times New Roman"/>
        </w:rPr>
        <w:t xml:space="preserve"> </w:t>
      </w:r>
      <w:r>
        <w:rPr>
          <w:rFonts w:ascii="Myanmar Text" w:hAnsi="Myanmar Text" w:eastAsia="Myanmar Text" w:cs="Myanmar Text"/>
        </w:rPr>
        <w:t>ထိုဖြစ်ရပ်ကို</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The Great Controversy, 426.</w:t>
      </w:r>
    </w:p>
    <w:p>
      <w:pPr>
        <w:pStyle w:val="ArticleBody"/>
        <w:jc w:val="left"/>
      </w:pPr>
      <w:r>
        <w:rPr>
          <w:rFonts w:ascii="Times New Roman" w:hAnsi="Times New Roman" w:eastAsia="Times New Roman" w:cs="Times New Roman"/>
        </w:rPr>
        <w:t>Gabriel reçut l’ordre de faire comprendre à Daniel l’apparition prophétique du Christ dans son temple, le 22 octobre 1844. C’est pourquoi Gabriel donna à Daniel un second témoin de la date du 22 octobre 1844, car Gabriel conduisit tout auteur biblique qui consigna quelque forme du principe biblique selon lequel la vérité est établie sur le témoignage de deux. Si Gabriel devait faire comprendre à Daniel le 22 octobre 1844, il lui fallait un second témoin pour établir « la vision de l’apparition ».</w:t>
      </w:r>
    </w:p>
    <w:p>
      <w:pPr>
        <w:pStyle w:val="ArticleBody"/>
        <w:jc w:val="left"/>
      </w:pPr>
      <w:r>
        <w:rPr>
          <w:rFonts w:ascii="Times New Roman" w:hAnsi="Times New Roman" w:eastAsia="Times New Roman" w:cs="Times New Roman"/>
        </w:rPr>
        <w:t>Gaabri’eel hojii isaa kan jalqabu, jalqaba hawwii Daani’eel mul’ata “chazon” hubachuuf qabu irratti xiyyeeffachuudhaan; kanaas akkana jechuun ibsa: mul’anni “chazon” jedhamu mul’ata yeroo “dhumaatti,” bara 1798tti xumuramu dha.</w:t>
      </w:r>
    </w:p>
    <w:p>
      <w:pPr>
        <w:pStyle w:val="ArticleScripture"/>
        <w:jc w:val="left"/>
      </w:pPr>
      <w:r>
        <w:rPr>
          <w:rFonts w:ascii="Times New Roman" w:hAnsi="Times New Roman" w:eastAsia="Times New Roman" w:cs="Times New Roman"/>
        </w:rPr>
        <w:t>Na nikasikia sauti ya mtu katikati ya kingo za mto Ulai, iliyoliita na kusema, Gabrieli, mfasirie mtu huyu maono haya. Basi akakaribia hapo niliposimama; naye alipokaribia, nikaogopa, nikaanguka kifudifudi; lakini akaniambia, Fahamu, Ee mwana wa mtu; kwa maana maono haya ni ya wakati wa mwisho. Danieli 8:16, 17.</w:t>
      </w:r>
    </w:p>
    <w:p>
      <w:pPr>
        <w:pStyle w:val="ArticleBody"/>
        <w:jc w:val="left"/>
      </w:pPr>
      <w:r>
        <w:rPr>
          <w:rFonts w:ascii="Times New Roman" w:hAnsi="Times New Roman" w:eastAsia="Times New Roman" w:cs="Times New Roman"/>
        </w:rPr>
        <w:t>Wona “masomphenya” a m’ndime yapitayo, ndiye kuti “pa nthawi ya mapeto,” ndi masomphenya a “chazon,” ndipo “nthawi ya mapeto” m’buku la Danieli ndi 1798. Amenewa ndi “masomphenya” amene Danieli anali atafunafuna kuwamvetsa, koma sanali “masomphenya” amene Gabrieli anauzidwa kuti am’mvetsetse Danieli. Pakuti pa nkhani imeneyo Gabrieli adzapereka umboni wachiwiri.</w:t>
      </w:r>
    </w:p>
    <w:p>
      <w:pPr>
        <w:pStyle w:val="ArticleScripture"/>
        <w:jc w:val="left"/>
      </w:pP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ਨੇੜੇ</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ਡਿੱਗ</w:t>
      </w:r>
      <w:r>
        <w:rPr>
          <w:rFonts w:ascii="Times New Roman" w:hAnsi="Times New Roman" w:eastAsia="Times New Roman" w:cs="Times New Roman"/>
        </w:rPr>
        <w:t xml:space="preserve"> </w:t>
      </w:r>
      <w:r>
        <w:rPr>
          <w:rFonts w:ascii="Nirmala UI" w:hAnsi="Nirmala UI" w:eastAsia="Nirmala UI" w:cs="Nirmala UI"/>
        </w:rPr>
        <w:t>ਪਿਆ</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ਗਹਿਰੀ</w:t>
      </w:r>
      <w:r>
        <w:rPr>
          <w:rFonts w:ascii="Times New Roman" w:hAnsi="Times New Roman" w:eastAsia="Times New Roman" w:cs="Times New Roman"/>
        </w:rPr>
        <w:t xml:space="preserve"> </w:t>
      </w:r>
      <w:r>
        <w:rPr>
          <w:rFonts w:ascii="Nirmala UI" w:hAnsi="Nirmala UI" w:eastAsia="Nirmala UI" w:cs="Nirmala UI"/>
        </w:rPr>
        <w:t>ਨੀਂਦ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ਛੂਹਿਆ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ਨਿਯੁਕਤ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8:17–19.</w:t>
      </w:r>
    </w:p>
    <w:p>
      <w:pPr>
        <w:pStyle w:val="ArticleBody"/>
        <w:jc w:val="left"/>
      </w:pPr>
      <w:r>
        <w:rPr>
          <w:rFonts w:ascii="Times New Roman" w:hAnsi="Times New Roman" w:eastAsia="Times New Roman" w:cs="Times New Roman"/>
        </w:rPr>
        <w:t>Gabriel anaanza kutekeleza jukumu lake kwa kumwambia Danieli, “tazama,” yaani kumjulisha Danieli afikirie ukweli unaofuata. Ukweli unaofuata ni kwamba “ghadhabu ya mwisho,” ya zile “nyakati saba” mbili za Mambo ya Walawi ishirini na sita, inaisha mwaka 1844. “Ghadhabu ya mwisho” inatambuliwa moja kwa moja kuwa ni unabii wa wakati, kwa maana ina “wakati uliowekwa” ambao “itaisha” ndani yake. “Ghadhabu” hiyo lazima iwakilishe kipindi cha wakati, kwa kuwa ina “wakati uliowekwa” kwa ajili ya mwisho wake. Kama “ghadhabu” hiyo ingekuwa tu nukta moja ya wakati, isingekuwa na mwisho; ingekuwa tu ile nukta yenyewe ambayo ilitukia ndani yake.</w:t>
      </w:r>
    </w:p>
    <w:p>
      <w:pPr>
        <w:pStyle w:val="ArticleBody"/>
        <w:jc w:val="left"/>
      </w:pPr>
      <w:r>
        <w:rPr>
          <w:rFonts w:ascii="Times New Roman" w:hAnsi="Times New Roman" w:eastAsia="Times New Roman" w:cs="Times New Roman"/>
        </w:rPr>
        <w:t>“</w:t>
      </w:r>
      <w:r>
        <w:rPr>
          <w:rFonts w:ascii="Nirmala UI" w:hAnsi="Nirmala UI" w:eastAsia="Nirmala UI" w:cs="Nirmala UI"/>
        </w:rPr>
        <w:t>कुंठा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कुंठा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कुंठा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पोपशाही</w:t>
      </w:r>
      <w:r>
        <w:rPr>
          <w:rFonts w:ascii="Times New Roman" w:hAnsi="Times New Roman" w:eastAsia="Times New Roman" w:cs="Times New Roman"/>
        </w:rPr>
        <w:t xml:space="preserve"> “</w:t>
      </w:r>
      <w:r>
        <w:rPr>
          <w:rFonts w:ascii="Nirmala UI" w:hAnsi="Nirmala UI" w:eastAsia="Nirmala UI" w:cs="Nirmala UI"/>
        </w:rPr>
        <w:t>कुंठा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Et quelques-uns de ceux qui ont de l’intelligence tomberont, afin qu’ils soient éprouvés, purifiés et rendus blancs, jusqu’au temps de la fin ; car ce temps est encore réservé pour l’époque fixée. Et le roi fera selon sa volonté ; il s’élèvera, il se magnifiera au-dessus de tout dieu, et proférera des choses prodigieuses contre le Dieu des dieux ; et il prospérera jusqu’à ce que l’indignation soit accomplie, car ce qui est déterminé s’accomplira. Daniel 11:35, 36.</w:t>
      </w:r>
    </w:p>
    <w:p>
      <w:pPr>
        <w:pStyle w:val="ArticleBody"/>
        <w:jc w:val="left"/>
      </w:pPr>
      <w:r>
        <w:rPr>
          <w:rFonts w:ascii="Times New Roman" w:hAnsi="Times New Roman" w:eastAsia="Times New Roman" w:cs="Times New Roman"/>
        </w:rPr>
        <w:t>Dans ces deux versets, le roi qui agit selon sa volonté et qui s’élève lui-même est le sujet. Le verset trente-six est celui que Paul paraphrase lorsqu’il identifie « l’homme de péché » qui siège dans le temple de Dieu, se présentant lui-même comme étant Dieu. La persécution du Moyen Âge obscur, de l’an 538 jusqu’en 1798, est identifiée au verset trente-cinq, et elle se poursuit jusqu’au « temps de la fin », qui fut 1798, lequel était le « temps marqué ». Le verset trente-six indique ensuite que la papauté « prospérera » « jusqu’à ce que l’indignation soit accomplie ». Le verset montre que la papauté prospéra jusqu’en 1798, moment où la première « indignation » avait été « accomplie ». La Parole prophétique de Dieu avait « déterminé » que la papauté se poursuivrait durant mille deux cent soixante ans, jusqu’en 1798, qui était le « temps de la fin ».</w:t>
      </w:r>
    </w:p>
    <w:p>
      <w:pPr>
        <w:pStyle w:val="ArticleBody"/>
        <w:jc w:val="left"/>
      </w:pPr>
      <w:r>
        <w:rPr>
          <w:rFonts w:ascii="Leelawadee UI" w:hAnsi="Leelawadee UI" w:eastAsia="Leelawadee UI" w:cs="Leelawadee UI"/>
        </w:rPr>
        <w:t>ឧក្រិដ្ឋកំហឹងទីមួយបានបញ្ចប់នៅឆ្នាំ</w:t>
      </w:r>
      <w:r>
        <w:rPr>
          <w:rFonts w:ascii="Times New Roman" w:hAnsi="Times New Roman" w:eastAsia="Times New Roman" w:cs="Times New Roman"/>
        </w:rPr>
        <w:t xml:space="preserve"> 1798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ឧក្រិដ្ឋកំហឹងចុងក្រោយ</w:t>
      </w:r>
      <w:r>
        <w:rPr>
          <w:rFonts w:ascii="Times New Roman" w:hAnsi="Times New Roman" w:eastAsia="Times New Roman" w:cs="Times New Roman"/>
        </w:rPr>
        <w:t xml:space="preserve">» </w:t>
      </w:r>
      <w:r>
        <w:rPr>
          <w:rFonts w:ascii="Leelawadee UI" w:hAnsi="Leelawadee UI" w:eastAsia="Leelawadee UI" w:cs="Leelawadee UI"/>
        </w:rPr>
        <w:t>បានបញ្ចប់នៅឆ្នាំ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ឧក្រិដ្ឋកំហឹងទាំងពីរត្រូវបានបង្ហាញថាជារយៈពេលនៃពេលវេលា</w:t>
      </w:r>
      <w:r>
        <w:rPr>
          <w:rFonts w:ascii="Times New Roman" w:hAnsi="Times New Roman" w:eastAsia="Times New Roman" w:cs="Times New Roman"/>
        </w:rPr>
        <w:t xml:space="preserve"> </w:t>
      </w:r>
      <w:r>
        <w:rPr>
          <w:rFonts w:ascii="Leelawadee UI" w:hAnsi="Leelawadee UI" w:eastAsia="Leelawadee UI" w:cs="Leelawadee UI"/>
        </w:rPr>
        <w:t>ដែលមានចុងបញ្ចប់ជាក់លាក់</w:t>
      </w:r>
      <w:r>
        <w:rPr>
          <w:rFonts w:ascii="Times New Roman" w:hAnsi="Times New Roman" w:eastAsia="Times New Roman" w:cs="Times New Roman"/>
        </w:rPr>
        <w:t xml:space="preserve"> </w:t>
      </w:r>
      <w:r>
        <w:rPr>
          <w:rFonts w:ascii="Leelawadee UI" w:hAnsi="Leelawadee UI" w:eastAsia="Leelawadee UI" w:cs="Leelawadee UI"/>
        </w:rPr>
        <w:t>ដូច្នេះបានកំណត់អត្តសញ្ញាណវាទាំងពីរថាជាព្រះបន្ទូលទំនាយអំពីពេលវេលា។</w:t>
      </w:r>
      <w:r>
        <w:rPr>
          <w:rFonts w:ascii="Times New Roman" w:hAnsi="Times New Roman" w:eastAsia="Times New Roman" w:cs="Times New Roman"/>
        </w:rPr>
        <w:t xml:space="preserve"> </w:t>
      </w:r>
      <w:r>
        <w:rPr>
          <w:rFonts w:ascii="Leelawadee UI" w:hAnsi="Leelawadee UI" w:eastAsia="Leelawadee UI" w:cs="Leelawadee UI"/>
        </w:rPr>
        <w:t>កាប្រីយ៉ែលត្រូវបាន</w:t>
      </w:r>
      <w:r>
        <w:rPr>
          <w:rFonts w:ascii="Times New Roman" w:hAnsi="Times New Roman" w:eastAsia="Times New Roman" w:cs="Times New Roman"/>
        </w:rPr>
        <w:t xml:space="preserve"> Palmoni </w:t>
      </w:r>
      <w:r>
        <w:rPr>
          <w:rFonts w:ascii="Leelawadee UI" w:hAnsi="Leelawadee UI" w:eastAsia="Leelawadee UI" w:cs="Leelawadee UI"/>
        </w:rPr>
        <w:t>បញ្ជាឲ្យធ្វើឲ្យដានីយ៉ែលយល់អំពីនិមិត្តដែលបានលេចមក</w:t>
      </w:r>
      <w:r>
        <w:rPr>
          <w:rFonts w:ascii="Times New Roman" w:hAnsi="Times New Roman" w:eastAsia="Times New Roman" w:cs="Times New Roman"/>
        </w:rPr>
        <w:t xml:space="preserve"> («mareh»)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ល្ងាច</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ព្រឹក</w:t>
      </w:r>
      <w:r>
        <w:rPr>
          <w:rFonts w:ascii="Times New Roman" w:hAnsi="Times New Roman" w:eastAsia="Times New Roman" w:cs="Times New Roman"/>
        </w:rPr>
        <w:t>» (</w:t>
      </w:r>
      <w:r>
        <w:rPr>
          <w:rFonts w:ascii="Leelawadee UI" w:hAnsi="Leelawadee UI" w:eastAsia="Leelawadee UI" w:cs="Leelawadee UI"/>
        </w:rPr>
        <w:t>ថ្ងៃ</w:t>
      </w:r>
      <w:r>
        <w:rPr>
          <w:rFonts w:ascii="Times New Roman" w:hAnsi="Times New Roman" w:eastAsia="Times New Roman" w:cs="Times New Roman"/>
        </w:rPr>
        <w:t xml:space="preserve">) </w:t>
      </w:r>
      <w:r>
        <w:rPr>
          <w:rFonts w:ascii="Leelawadee UI" w:hAnsi="Leelawadee UI" w:eastAsia="Leelawadee UI" w:cs="Leelawadee UI"/>
        </w:rPr>
        <w:t>ដែលបានកំណត់អត្តសញ្ញាណថ្ងៃទី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ហើយគាត់ក៏បានធ្វើដូច្នោះ</w:t>
      </w:r>
      <w:r>
        <w:rPr>
          <w:rFonts w:ascii="Times New Roman" w:hAnsi="Times New Roman" w:eastAsia="Times New Roman" w:cs="Times New Roman"/>
        </w:rPr>
        <w:t xml:space="preserve"> </w:t>
      </w:r>
      <w:r>
        <w:rPr>
          <w:rFonts w:ascii="Leelawadee UI" w:hAnsi="Leelawadee UI" w:eastAsia="Leelawadee UI" w:cs="Leelawadee UI"/>
        </w:rPr>
        <w:t>ដោយផ្តល់សាក្សីទីពីរមួយដល់កាលបរិច្ឆេទនោះ។</w:t>
      </w:r>
    </w:p>
    <w:p>
      <w:pPr>
        <w:pStyle w:val="ArticleBody"/>
        <w:jc w:val="left"/>
      </w:pPr>
      <w:r>
        <w:rPr>
          <w:rFonts w:ascii="Times New Roman" w:hAnsi="Times New Roman" w:eastAsia="Times New Roman" w:cs="Times New Roman"/>
        </w:rPr>
        <w:t>Le « chazon » de vision du verset treize, que Daniel désirait comprendre, était la vision du piétinement qui prenait fin au « temps de la fin » en 1798. La vision du « mareh » du verset quatorze se termina par l’apparition du Christ dans le Lieu Très Saint le 22 octobre 1844, en accomplissement de la prophétie de temps des deux mille trois cents ans, ainsi que de la prophétie de temps des deux mille cinq cent vingt ans. Ces deux prophéties de temps sont représentées sur les tables sacrées d’Habacuc, que sœur White identifie comme ayant été dirigées par la main du Seigneur, et qui ne doivent pas être modifiées.</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«Tenemos muchas lecciones que aprender, y muchísimas, muchísimas que desaprender. Sólo Dios y el cielo son infalibles. Quienes piensan que nunca tendrán que abandonar una opinión acariciada, ni tendrán jamás ocasión de cambiar un parecer, quedarán decepcionados. Mientras nos aferremos a nuestras propias ideas y opiniones con tenaz persistencia, no podremos tener la unidad por la cual Cristo oró». Review and Herald, 26 de julio de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Bugtina Danieli - Kontrom metin Yifon da Gechum-ak-ana-mong-kinum Manri Mesa Sagin-doik-Etgal-Krum-Paun-Imnang-Singli-Pubrum ak-kettra?</dc:title>
  <dc:subject>Palmoni : révélation du Maître du temps et du langage dans Daniel et l’Apocalypse</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