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cinquante-cinq</w:t>
      </w:r>
    </w:p>
    <w:p>
      <w:pPr>
        <w:pStyle w:val="ArticleSubtitle"/>
        <w:jc w:val="left"/>
      </w:pPr>
      <w:r>
        <w:rPr>
          <w:rFonts w:ascii="Arial" w:hAnsi="Arial" w:eastAsia="Arial" w:cs="Arial"/>
        </w:rPr>
        <w:t>Wenda Pazia ya Kinabii: Ufunuo wa Gabrieli kwa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Jibril ya zo wurin Daniyel bayan ya fahimci shekaru saba’in na bauta daga annabcin Irmiya, da kuma rantsuwa da la’anar Musa.</w:t>
      </w:r>
    </w:p>
    <w:p>
      <w:pPr>
        <w:pStyle w:val="ArticleScripture"/>
        <w:jc w:val="left"/>
      </w:pPr>
      <w:r>
        <w:rPr>
          <w:rFonts w:ascii="Times New Roman" w:hAnsi="Times New Roman" w:eastAsia="Times New Roman" w:cs="Times New Roman"/>
        </w:rPr>
        <w:t>Dalam tahun pertama pemerintahannya, aku, Daniel, memahami dari kitab-kitab jumlah tahun yang tentangnya firman TUHAN datang kepada nabi Yeremia, bahwa Ia akan menggenapkan tujuh puluh tahun atas kebinasaan Yerusalem.... Ya, seluruh Israel telah melanggar Taurat-Mu, bahkan dengan menyimpang sehingga mereka tidak menaati suara-Mu; sebab itu kutuk telah dicurahkan ke atas kami, dan sumpah yang tertulis dalam Taurat Musa, hamba Allah itu, karena kami telah berdosa terhadap Dia. Dan Ia telah meneguhkan firman-Nya yang telah diucapkan-Nya terhadap kami dan terhadap para hakim kami yang memerintah kami, dengan mendatangkan ke atas kami malapetaka yang besar; sebab di bawah seluruh langit tidak pernah dilakukan apa yang telah dilakukan atas Yerusalem. Seperti ada tertulis dalam Taurat Musa, segala malapetaka ini telah menimpa kami; namun kami tidak memohon belas kasihan TUHAN, Allah kami, supaya kami berbalik dari kesalahan-kesalahan kami dan memahami kebenaran-Mu. Sebab itu TUHAN berjaga-jaga atas malapetaka itu dan mendatangkannya ke atas kami; karena TUHAN, Allah kami, adalah adil dalam segala perbuatan-Nya yang dilakukan-Nya; sebab kami tidak menaati suara-Nya. Daniel 9:2, 11–14.</w:t>
      </w:r>
    </w:p>
    <w:p>
      <w:pPr>
        <w:pStyle w:val="ArticleBody"/>
        <w:jc w:val="left"/>
      </w:pPr>
      <w:r>
        <w:rPr>
          <w:rFonts w:ascii="Times New Roman" w:hAnsi="Times New Roman" w:eastAsia="Times New Roman" w:cs="Times New Roman"/>
        </w:rPr>
        <w:t>الكلمة التي استخدمها دانيال، والمترجمة بـ «القَسَم»، هي الكلمة نفسها التي استخدمها موسى، والمترجمة بـ «سبع مرات»، في اللاويين 26. وتُعلِمنا الأخت وايت أن دانيال، في الأصحاح التاسع، كان يلتمس فهم العلاقة بين فترة إرميا البالغة سبعين سنة، وفترة الألفين والثلاثمئة سنة. وكان قد أُمِر جبرائيل في الأصحاح الثامن أن يجعل دانيال يفهم رؤيا الألفين والثلاثمئة يوم، ويُتمّ جبرائيل عمله حين يعود في الأصحاح التاسع ويُعلِم دانيال أن يفصل ذهنيًا بين الرؤيتين اللتين كانتا موضوع الأصحاحات السابع والثامن والتاسع أيضًا. وهاتان الرؤيتان هما موضوع «ازدياد المعرفة» الذي فُكَّ ختمُه في سنة 1798.</w:t>
      </w:r>
    </w:p>
    <w:p>
      <w:pPr>
        <w:pStyle w:val="ArticleBody"/>
        <w:jc w:val="left"/>
      </w:pPr>
      <w:r>
        <w:rPr>
          <w:rFonts w:ascii="Times New Roman" w:hAnsi="Times New Roman" w:eastAsia="Times New Roman" w:cs="Times New Roman"/>
        </w:rPr>
        <w:t>Yeremiah afa sonnia aduɔson no ne Mose “nnome” no nyinaa yɛ “mmere nson” no ho nsɛnkyerɛnne, sɛnea Mose “ntam” no gyina hɔ ma no; nanso Gabriel rebɛda afe mpem abien ne ahasa no mu kyekyɛ no adi. Wobetumi akyekyɛ no pɛpɛɛpɛ nkutoo bere a wɔakyekyɛ anisoadehu no (“chazon”) a ɛfa tiatia so no, ne anisoadehu no (“mareh”) a ɛfa ahoyɛ no ho no pɛpɛɛpɛ. Gabriel fii ase de kyerɛe sɛ wɔde sɔhwɛbere a ɛyɛ mfe ahanan ne aduɔkron maa Yudafo no. Saa bere no na ɛyɛ pɛ sɛ atuatew a ɛyɛ mfe ahanan ne aduɔkron a na ɛde nnommumfa bere a ɛyɛ mfe aduɔson no aba no.</w:t>
      </w:r>
    </w:p>
    <w:p>
      <w:pPr>
        <w:pStyle w:val="ArticleBody"/>
        <w:jc w:val="left"/>
      </w:pPr>
      <w:r>
        <w:rPr>
          <w:rFonts w:ascii="Times New Roman" w:hAnsi="Times New Roman" w:eastAsia="Times New Roman" w:cs="Times New Roman"/>
        </w:rPr>
        <w:t>لفظ «مُقَرَّر» في الآية الرابعة والعشرين يشير إلى المدّة الممتدّة من صدور الأمر الثالث سنة 457 ق.م إلى رجم استفانوس سنة 34 م، أمّا لفظ «مُقَرَّر» في الآيتين السادسة والعشرين والسابعة والعشرين فإنّه يحدِّد القوى المُخرِّبة المتمثّلة في الوثنية والبابوية.</w:t>
      </w:r>
    </w:p>
    <w:p>
      <w:pPr>
        <w:pStyle w:val="ArticleScripture"/>
        <w:jc w:val="left"/>
      </w:pPr>
      <w:r>
        <w:rPr>
          <w:rFonts w:ascii="Times New Roman" w:hAnsi="Times New Roman" w:eastAsia="Times New Roman" w:cs="Times New Roman"/>
        </w:rPr>
        <w:t>Apre swasant-de semenn dewa e sisant-de semenn, Mesi-a va être retranché, me pa pou li-menm; ek pep prins ki pou vini a va detrir lavil-la ek sanktyer-la; ek so fin pou vini kouma enn deliz, ek ziska fin lager, bann devastasion finn deside. Ek li pou ferm lalians ar boukou dimounn pou enn semenn; ek o milye semenn-la li pou fer sakrifis ek lofrann sispann, ek akoz proliferasion bann abominasion li pou rann li dezole, ziska konsomasion-la, ek seki finn deside pou vide lor sa ki dezole. Daniel 9:26, 27.</w:t>
      </w:r>
    </w:p>
    <w:p>
      <w:pPr>
        <w:pStyle w:val="ArticleBody"/>
        <w:jc w:val="left"/>
      </w:pPr>
      <w:r>
        <w:rPr>
          <w:rFonts w:ascii="Times New Roman" w:hAnsi="Times New Roman" w:eastAsia="Times New Roman" w:cs="Times New Roman"/>
        </w:rPr>
        <w:t>Gabriel informe Daniel qu’« après » que le « Messie » aurait été « retranché », « le peuple d’un chef qui viendra détruira la ville et le sanctuaire ». La Rome païenne détruisit la « ville et le sanctuaire » lors du siège qui dura exactement trois ans et demi, de l’an 66 à l’an 70 apr. J.-C. Gabriel indique que « la fin de la guerre » serait « comme par une inondation », et que la guerre consisterait en des « dévastations ». La guerre menée contre Jérusalem et le sanctuaire fut le foulage aux pieds accompli par le paganisme et la papauté. La puissance païenne qui devait détruire Jérusalem au commencement fut Babylone, mais la puissance païenne qui devait la détruire après la crucifixion du Messie fut la Rome païenne. Mais la guerre contre le sanctuaire et l’armée fut menée par deux puissances dévastatrices, et la seconde de ces deux puissances dévastatrices dans les Écritures est la papauté.</w:t>
      </w:r>
    </w:p>
    <w:p>
      <w:pPr>
        <w:pStyle w:val="ArticleBody"/>
        <w:jc w:val="left"/>
      </w:pPr>
      <w:r>
        <w:rPr>
          <w:rFonts w:ascii="Times New Roman" w:hAnsi="Times New Roman" w:eastAsia="Times New Roman" w:cs="Times New Roman"/>
        </w:rPr>
        <w:t>Upapa ni ule uwezo unaowakilishwa kama “bakora inayofurika”; ndio uwezo katika aya ya arobaini ya Danieli kumi na moja, “unaofurika na kupita.” Kukanyagwa chini kwa Yerusalemu kulikokuwa kumeanza na Babeli, na kuendelea kwa taifa la chuma lililonena maneno ya giza kama lilivyowakilishwa na Musa katika Kumbukumbu la Torati, kulifuatiwa na upapa. Hata mwisho wa kukanyagwa chini huko, “maharibifu” “yalikuwa yameamriwa.” Katika aya ya ishirini na saba, Kristo anathibitisha agano pamoja na wengi kwa juma moja. Katikati ya juma hilo, mfumo wa dhabihu wa duniani ungekoma, kwa kuwa Kristo alianza huduma yake ya ukuhani mkuu katika patakatifu pa mbinguni. Kwa sababu ya kutotii kwa Wayahudi katika wakati wa rehema uliokuwa umekatiliwa kwa ajili yao, patakatifu na mji vingefanywa tena ukiwa.</w:t>
      </w:r>
    </w:p>
    <w:p>
      <w:pPr>
        <w:pStyle w:val="ArticleBody"/>
        <w:jc w:val="left"/>
      </w:pPr>
      <w:r>
        <w:rPr>
          <w:rFonts w:ascii="Times New Roman" w:hAnsi="Times New Roman" w:eastAsia="Times New Roman" w:cs="Times New Roman"/>
        </w:rPr>
        <w:t>Il versetto dice: «a motivo del dilagare delle abominazioni egli la renderà desolata, e ciò fino alla consumazione; e ciò che è stato decretato sarà riversato sul desolatore». Quando i Giudei ebbero infine colmato fino all’orlo la misura del loro tempo di prova, la città e il santuario dovevano rimanere desolati fino alla fine della guerra. Alla «consumazione» del calpestamento nel 1798, era stato «decretato» che il papato avrebbe ricevuto una ferita mortale. Allora la città e il santuario dovevano essere restaurati e ricostruiti, come fu prefigurato quando i Giudei uscirono dalla Babilonia letterale sotto i tre decreti.</w:t>
      </w:r>
    </w:p>
    <w:p>
      <w:pPr>
        <w:pStyle w:val="ArticleBody"/>
        <w:jc w:val="left"/>
      </w:pPr>
      <w:r>
        <w:rPr>
          <w:rFonts w:ascii="Times New Roman" w:hAnsi="Times New Roman" w:eastAsia="Times New Roman" w:cs="Times New Roman"/>
        </w:rPr>
        <w:t>Jusqu’à la consommation de cette guerre, Jérusalem devait être foulée aux pieds par la puissance papale. Les périodes prophétiques qui constituent les périodes distinctes à l’intérieur des deux mille trois cents ans ne peuvent être comprises correctement que lorsque la relation de la vision du foulage aux pieds des soixante-dix ans est comprise en lien avec la vision du rétablissement du sanctuaire et de l’armée. Rejeter la vision de la dispersion de la malédiction de Moïse, c’est rejeter la vision du rassemblement. La vision des soixante-dix ans est la vision de la dispersion. La vision des deux mille trois cents ans est la vision du rassemblement. La vision des soixante-dix ans est la vision « chazon » de la dispersion, et la vision des deux mille trois cents ans est la vision « mareh » du rassemblement.</w:t>
      </w:r>
    </w:p>
    <w:p>
      <w:pPr>
        <w:pStyle w:val="ArticleScripture"/>
        <w:jc w:val="left"/>
      </w:pPr>
      <w:r>
        <w:rPr>
          <w:rFonts w:ascii="Times New Roman" w:hAnsi="Times New Roman" w:eastAsia="Times New Roman" w:cs="Times New Roman"/>
        </w:rPr>
        <w:t>Nítorí náà, ohun tí Ọlọ́run ti so pọ̀, kí ènìyàn má ṣe ya a kúrò. Marku 10:9.</w:t>
      </w:r>
    </w:p>
    <w:p>
      <w:pPr>
        <w:pStyle w:val="ArticleBody"/>
        <w:jc w:val="left"/>
      </w:pPr>
      <w:r>
        <w:rPr>
          <w:rFonts w:ascii="Times New Roman" w:hAnsi="Times New Roman" w:eastAsia="Times New Roman" w:cs="Times New Roman"/>
        </w:rPr>
        <w:t>Niloumbi mibale mya bimònà mimesami elongo na lolenge ya esakweli, mpe koboya moko ezali koboya yango nyonso mibale. Solo oyo ezali komonisa ete, atako Bato ya Advente balobaka ete bazali kosimba esakweli ya mibu nkóto mibale na nkama misato, baboyi likonzi ya katikati ya Adventisme, kaka lokola na bosolo nyonso baboyaki “mbala nsambo” na mobu 1863. Bayuda te bazalaki komilobela ete bazali kobatela mobeko ya Nzambe? Baebele ya kala te bazalaki komilobela ete bazali kozela Masiya? Komilobela ezali na ntina te soki ezali kotombola Liloba ya Nzambe te.</w:t>
      </w:r>
    </w:p>
    <w:p>
      <w:pPr>
        <w:pStyle w:val="ArticleBody"/>
        <w:jc w:val="left"/>
      </w:pPr>
      <w:r>
        <w:rPr>
          <w:rFonts w:ascii="Times New Roman" w:hAnsi="Times New Roman" w:eastAsia="Times New Roman" w:cs="Times New Roman"/>
        </w:rPr>
        <w:t>Les millérites en vinrent finalement à identifier le 22 octobre 1844 comme le terme de la période des deux mille trois cents jours, mais leur compréhension était limitée. Ce ne fut qu’après la grande déception que la lumière fut faite au sujet du sanctuaire céleste et de l’apparition du Christ dans le lieu très saint à cette date. Ce ne fut qu’après cette date qu’ils discernèrent le message du troisième ange et la loi de Dieu.</w:t>
      </w:r>
    </w:p>
    <w:p>
      <w:pPr>
        <w:pStyle w:val="ArticleBody"/>
        <w:jc w:val="left"/>
      </w:pPr>
      <w:r>
        <w:rPr>
          <w:rFonts w:ascii="Times New Roman" w:hAnsi="Times New Roman" w:eastAsia="Times New Roman" w:cs="Times New Roman"/>
        </w:rPr>
        <w:t>Le Seigneur avait l’intention d’accroître la lumière prophétique liée aux deux mille trois cents ans, et, en 1856, il ouvrit la porte à une lumière supplémentaire; au cours des sept années suivantes, l’adventisme referma cette porte. Ce ne fut qu’après le 11 septembre 2001 que le Seigneur ramena les étudiants de la prophétie aux articles de Hiram Edson, et que la lumière des « sept temps » recommença à croître.</w:t>
      </w:r>
    </w:p>
    <w:p>
      <w:pPr>
        <w:pStyle w:val="ArticleBody"/>
        <w:jc w:val="left"/>
      </w:pPr>
      <w:r>
        <w:rPr>
          <w:rFonts w:ascii="Times New Roman" w:hAnsi="Times New Roman" w:eastAsia="Times New Roman" w:cs="Times New Roman"/>
        </w:rPr>
        <w:t>En refusant de reconnaître le rapport entre la prophétie des deux mille trois cents ans et la prophétie des deux mille cinq cent vingt ans, l’adventisme en est venu à comprendre le 22 octobre 1844 d’une manière tronquée et incomplète.</w:t>
      </w:r>
    </w:p>
    <w:p>
      <w:pPr>
        <w:pStyle w:val="ArticleBody"/>
        <w:jc w:val="left"/>
      </w:pPr>
      <w:r>
        <w:rPr>
          <w:rFonts w:ascii="Times New Roman" w:hAnsi="Times New Roman" w:eastAsia="Times New Roman" w:cs="Times New Roman"/>
        </w:rPr>
        <w:t>I te wā i whakamau pū ai a S. S. Snow i te rā o te ripekatanga, ka whakatauria ko te 22 o Oketopa, 1844.</w:t>
      </w:r>
    </w:p>
    <w:p>
      <w:pPr>
        <w:pStyle w:val="ArticleScripture"/>
        <w:jc w:val="left"/>
      </w:pPr>
      <w:r>
        <w:rPr>
          <w:rFonts w:ascii="Times New Roman" w:hAnsi="Times New Roman" w:eastAsia="Times New Roman" w:cs="Times New Roman"/>
        </w:rPr>
        <w:t>Tuisceadh, dá bhrí sin, agus tuig, go mbeidh ó dhul amach an ordaithe chun Iarúsailéim a athchóiriú agus a atógáil go dtí an Meisias, an Prionsa, seacht seachtaine agus trí fichid agus dhá sheachtain: déanfar an tsráid a atógáil, agus an balla mar an gcéanna, fiú in aimsirí buartha. Agus tar éis trí fichid agus dhá sheachtain gearrfar an Meisias as, ach ní ar a shon féin: agus scriosfaidh muintir an phrionsa atá le teacht an chathair agus an tearmann; agus beidh a deireadh le tuile, agus go deireadh an chogaidh tá léirscriosanna ceaptha. Agus daingneoidh sé an cúnant le mórán ar feadh seachtaine amháin: agus i lár na seachtaine cuirfidh sé faoi deara scor den íobairt agus den ofráil, agus de dheasca leathadh na n-uafás déanfaidh sé ina fhásach í, go dtí an chríochdheireadh féin; agus doirtfear an ní sin atá socraithe ar an ní atá déanta ina fhásach. Daniel 9:25–27.</w:t>
      </w:r>
    </w:p>
    <w:p>
      <w:pPr>
        <w:pStyle w:val="ArticleBody"/>
        <w:jc w:val="left"/>
      </w:pPr>
      <w:r>
        <w:rPr>
          <w:rFonts w:ascii="Nirmala UI" w:hAnsi="Nirmala UI" w:eastAsia="Nirmala UI" w:cs="Nirmala UI"/>
        </w:rPr>
        <w:t>ಮಿಲ್ಲರೈಟ್</w:t>
      </w:r>
      <w:r>
        <w:rPr>
          <w:rFonts w:ascii="Times New Roman" w:hAnsi="Times New Roman" w:eastAsia="Times New Roman" w:cs="Times New Roman"/>
        </w:rPr>
        <w:t>‌</w:t>
      </w:r>
      <w:r>
        <w:rPr>
          <w:rFonts w:ascii="Nirmala UI" w:hAnsi="Nirmala UI" w:eastAsia="Nirmala UI" w:cs="Nirmala UI"/>
        </w:rPr>
        <w:t>ಗಳು</w:t>
      </w:r>
      <w:r>
        <w:rPr>
          <w:rFonts w:ascii="Times New Roman" w:hAnsi="Times New Roman" w:eastAsia="Times New Roman" w:cs="Times New Roman"/>
        </w:rPr>
        <w:t xml:space="preserve"> </w:t>
      </w:r>
      <w:r>
        <w:rPr>
          <w:rFonts w:ascii="Nirmala UI" w:hAnsi="Nirmala UI" w:eastAsia="Nirmala UI" w:cs="Nirmala UI"/>
        </w:rPr>
        <w:t>ಶಿಲುಬೆಗೆ</w:t>
      </w:r>
      <w:r>
        <w:rPr>
          <w:rFonts w:ascii="Times New Roman" w:hAnsi="Times New Roman" w:eastAsia="Times New Roman" w:cs="Times New Roman"/>
        </w:rPr>
        <w:t xml:space="preserve"> </w:t>
      </w:r>
      <w:r>
        <w:rPr>
          <w:rFonts w:ascii="Nirmala UI" w:hAnsi="Nirmala UI" w:eastAsia="Nirmala UI" w:cs="Nirmala UI"/>
        </w:rPr>
        <w:t>ಹಾಕಲ್ಪಟ್ಟ</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ಸರಿಯಾದ</w:t>
      </w:r>
      <w:r>
        <w:rPr>
          <w:rFonts w:ascii="Times New Roman" w:hAnsi="Times New Roman" w:eastAsia="Times New Roman" w:cs="Times New Roman"/>
        </w:rPr>
        <w:t xml:space="preserve"> </w:t>
      </w:r>
      <w:r>
        <w:rPr>
          <w:rFonts w:ascii="Nirmala UI" w:hAnsi="Nirmala UI" w:eastAsia="Nirmala UI" w:cs="Nirmala UI"/>
        </w:rPr>
        <w:t>ದಿನಾಂಕವನ್ನು</w:t>
      </w:r>
      <w:r>
        <w:rPr>
          <w:rFonts w:ascii="Times New Roman" w:hAnsi="Times New Roman" w:eastAsia="Times New Roman" w:cs="Times New Roman"/>
        </w:rPr>
        <w:t xml:space="preserve"> </w:t>
      </w:r>
      <w:r>
        <w:rPr>
          <w:rFonts w:ascii="Nirmala UI" w:hAnsi="Nirmala UI" w:eastAsia="Nirmala UI" w:cs="Nirmala UI"/>
        </w:rPr>
        <w:t>ಗುರುತಿಸಿದರು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ಇಪ್ಪತ್ತ್ಮೂರು</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ಅಂತ್ಯವೂ</w:t>
      </w:r>
      <w:r>
        <w:rPr>
          <w:rFonts w:ascii="Times New Roman" w:hAnsi="Times New Roman" w:eastAsia="Times New Roman" w:cs="Times New Roman"/>
        </w:rPr>
        <w:t xml:space="preserve"> </w:t>
      </w:r>
      <w:r>
        <w:rPr>
          <w:rFonts w:ascii="Nirmala UI" w:hAnsi="Nirmala UI" w:eastAsia="Nirmala UI" w:cs="Nirmala UI"/>
        </w:rPr>
        <w:t>ನಿರ್ಧರಿಸಲ್ಪಟ್ಟಿತು</w:t>
      </w:r>
      <w:r>
        <w:rPr>
          <w:rFonts w:ascii="Times New Roman" w:hAnsi="Times New Roman" w:eastAsia="Times New Roman" w:cs="Times New Roman"/>
        </w:rPr>
        <w:t xml:space="preserve">. </w:t>
      </w:r>
      <w:r>
        <w:rPr>
          <w:rFonts w:ascii="Nirmala UI" w:hAnsi="Nirmala UI" w:eastAsia="Nirmala UI" w:cs="Nirmala UI"/>
        </w:rPr>
        <w:t>ಯೆಹೂದ್ಯರು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ಪರೀಕ್ಷಾಕಾಲದ</w:t>
      </w:r>
      <w:r>
        <w:rPr>
          <w:rFonts w:ascii="Times New Roman" w:hAnsi="Times New Roman" w:eastAsia="Times New Roman" w:cs="Times New Roman"/>
        </w:rPr>
        <w:t xml:space="preserve"> </w:t>
      </w:r>
      <w:r>
        <w:rPr>
          <w:rFonts w:ascii="Nirmala UI" w:hAnsi="Nirmala UI" w:eastAsia="Nirmala UI" w:cs="Nirmala UI"/>
        </w:rPr>
        <w:t>ಪಾತ್ರೆಯನ್ನು</w:t>
      </w:r>
      <w:r>
        <w:rPr>
          <w:rFonts w:ascii="Times New Roman" w:hAnsi="Times New Roman" w:eastAsia="Times New Roman" w:cs="Times New Roman"/>
        </w:rPr>
        <w:t xml:space="preserve"> </w:t>
      </w:r>
      <w:r>
        <w:rPr>
          <w:rFonts w:ascii="Nirmala UI" w:hAnsi="Nirmala UI" w:eastAsia="Nirmala UI" w:cs="Nirmala UI"/>
        </w:rPr>
        <w:t>ತುದಿವರೆಗೂ</w:t>
      </w:r>
      <w:r>
        <w:rPr>
          <w:rFonts w:ascii="Times New Roman" w:hAnsi="Times New Roman" w:eastAsia="Times New Roman" w:cs="Times New Roman"/>
        </w:rPr>
        <w:t xml:space="preserve"> </w:t>
      </w:r>
      <w:r>
        <w:rPr>
          <w:rFonts w:ascii="Nirmala UI" w:hAnsi="Nirmala UI" w:eastAsia="Nirmala UI" w:cs="Nirmala UI"/>
        </w:rPr>
        <w:t>ತುಂಬಿಸಿಕೊಂಡ</w:t>
      </w:r>
      <w:r>
        <w:rPr>
          <w:rFonts w:ascii="Times New Roman" w:hAnsi="Times New Roman" w:eastAsia="Times New Roman" w:cs="Times New Roman"/>
        </w:rPr>
        <w:t xml:space="preserve"> </w:t>
      </w:r>
      <w:r>
        <w:rPr>
          <w:rFonts w:ascii="Nirmala UI" w:hAnsi="Nirmala UI" w:eastAsia="Nirmala UI" w:cs="Nirmala UI"/>
        </w:rPr>
        <w:t>ಕಾರಣ</w:t>
      </w:r>
      <w:r>
        <w:rPr>
          <w:rFonts w:ascii="Times New Roman" w:hAnsi="Times New Roman" w:eastAsia="Times New Roman" w:cs="Times New Roman"/>
        </w:rPr>
        <w:t>, “</w:t>
      </w:r>
      <w:r>
        <w:rPr>
          <w:rFonts w:ascii="Nirmala UI" w:hAnsi="Nirmala UI" w:eastAsia="Nirmala UI" w:cs="Nirmala UI"/>
        </w:rPr>
        <w:t>ಅಸಹ್ಯಕರವಾದವುಗಳ</w:t>
      </w:r>
      <w:r>
        <w:rPr>
          <w:rFonts w:ascii="Times New Roman" w:hAnsi="Times New Roman" w:eastAsia="Times New Roman" w:cs="Times New Roman"/>
        </w:rPr>
        <w:t xml:space="preserve"> </w:t>
      </w:r>
      <w:r>
        <w:rPr>
          <w:rFonts w:ascii="Nirmala UI" w:hAnsi="Nirmala UI" w:eastAsia="Nirmala UI" w:cs="Nirmala UI"/>
        </w:rPr>
        <w:t>ವ್ಯಾಪ್ತಿಯಿಂದ</w:t>
      </w:r>
      <w:r>
        <w:rPr>
          <w:rFonts w:ascii="Times New Roman" w:hAnsi="Times New Roman" w:eastAsia="Times New Roman" w:cs="Times New Roman"/>
        </w:rPr>
        <w:t xml:space="preserve">” </w:t>
      </w:r>
      <w:r>
        <w:rPr>
          <w:rFonts w:ascii="Nirmala UI" w:hAnsi="Nirmala UI" w:eastAsia="Nirmala UI" w:cs="Nirmala UI"/>
        </w:rPr>
        <w:t>ಪ್ರತಿನಿಧಿಸಲ್ಪಟ್ಟಂತೆ</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ಒಡಂಬಡಿಕೆಯನ್ನು</w:t>
      </w:r>
      <w:r>
        <w:rPr>
          <w:rFonts w:ascii="Times New Roman" w:hAnsi="Times New Roman" w:eastAsia="Times New Roman" w:cs="Times New Roman"/>
        </w:rPr>
        <w:t xml:space="preserve">” </w:t>
      </w:r>
      <w:r>
        <w:rPr>
          <w:rFonts w:ascii="Nirmala UI" w:hAnsi="Nirmala UI" w:eastAsia="Nirmala UI" w:cs="Nirmala UI"/>
        </w:rPr>
        <w:t>ದೃಢಪಡಿಸಿದ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ವಾರದ</w:t>
      </w:r>
      <w:r>
        <w:rPr>
          <w:rFonts w:ascii="Times New Roman" w:hAnsi="Times New Roman" w:eastAsia="Times New Roman" w:cs="Times New Roman"/>
        </w:rPr>
        <w:t xml:space="preserve"> </w:t>
      </w:r>
      <w:r>
        <w:rPr>
          <w:rFonts w:ascii="Nirmala UI" w:hAnsi="Nirmala UI" w:eastAsia="Nirmala UI" w:cs="Nirmala UI"/>
        </w:rPr>
        <w:t>ಮಧ್ಯದಲ್ಲಿ</w:t>
      </w:r>
      <w:r>
        <w:rPr>
          <w:rFonts w:ascii="Times New Roman" w:hAnsi="Times New Roman" w:eastAsia="Times New Roman" w:cs="Times New Roman"/>
        </w:rPr>
        <w:t xml:space="preserve">” </w:t>
      </w:r>
      <w:r>
        <w:rPr>
          <w:rFonts w:ascii="Nirmala UI" w:hAnsi="Nirmala UI" w:eastAsia="Nirmala UI" w:cs="Nirmala UI"/>
        </w:rPr>
        <w:t>ಸಂಭವಿಸಿದ</w:t>
      </w:r>
      <w:r>
        <w:rPr>
          <w:rFonts w:ascii="Times New Roman" w:hAnsi="Times New Roman" w:eastAsia="Times New Roman" w:cs="Times New Roman"/>
        </w:rPr>
        <w:t xml:space="preserve"> “</w:t>
      </w:r>
      <w:r>
        <w:rPr>
          <w:rFonts w:ascii="Nirmala UI" w:hAnsi="Nirmala UI" w:eastAsia="Nirmala UI" w:cs="Nirmala UI"/>
        </w:rPr>
        <w:t>ಮೆಸ್ಸಿಯನ</w:t>
      </w:r>
      <w:r>
        <w:rPr>
          <w:rFonts w:ascii="Times New Roman" w:hAnsi="Times New Roman" w:eastAsia="Times New Roman" w:cs="Times New Roman"/>
        </w:rPr>
        <w:t xml:space="preserve"> </w:t>
      </w:r>
      <w:r>
        <w:rPr>
          <w:rFonts w:ascii="Nirmala UI" w:hAnsi="Nirmala UI" w:eastAsia="Nirmala UI" w:cs="Nirmala UI"/>
        </w:rPr>
        <w:t>ಕಡಿತವಾಗುವಿಕೆ</w:t>
      </w:r>
      <w:r>
        <w:rPr>
          <w:rFonts w:ascii="Times New Roman" w:hAnsi="Times New Roman" w:eastAsia="Times New Roman" w:cs="Times New Roman"/>
        </w:rPr>
        <w:t xml:space="preserve">” </w:t>
      </w:r>
      <w:r>
        <w:rPr>
          <w:rFonts w:ascii="Nirmala UI" w:hAnsi="Nirmala UI" w:eastAsia="Nirmala UI" w:cs="Nirmala UI"/>
        </w:rPr>
        <w:t>ಯನ್ನೂ</w:t>
      </w:r>
      <w:r>
        <w:rPr>
          <w:rFonts w:ascii="Times New Roman" w:hAnsi="Times New Roman" w:eastAsia="Times New Roman" w:cs="Times New Roman"/>
        </w:rPr>
        <w:t xml:space="preserve"> </w:t>
      </w:r>
      <w:r>
        <w:rPr>
          <w:rFonts w:ascii="Nirmala UI" w:hAnsi="Nirmala UI" w:eastAsia="Nirmala UI" w:cs="Nirmala UI"/>
        </w:rPr>
        <w:t>ಗುರುತಿಸಲಾಯಿತು</w:t>
      </w:r>
      <w:r>
        <w:rPr>
          <w:rFonts w:ascii="Times New Roman" w:hAnsi="Times New Roman" w:eastAsia="Times New Roman" w:cs="Times New Roman"/>
        </w:rPr>
        <w:t xml:space="preserve">. </w:t>
      </w:r>
      <w:r>
        <w:rPr>
          <w:rFonts w:ascii="Nirmala UI" w:hAnsi="Nirmala UI" w:eastAsia="Nirmala UI" w:cs="Nirmala UI"/>
        </w:rPr>
        <w:t>ಮಧ್ಯರಾತ್ರಿಯ</w:t>
      </w:r>
      <w:r>
        <w:rPr>
          <w:rFonts w:ascii="Times New Roman" w:hAnsi="Times New Roman" w:eastAsia="Times New Roman" w:cs="Times New Roman"/>
        </w:rPr>
        <w:t xml:space="preserve"> </w:t>
      </w:r>
      <w:r>
        <w:rPr>
          <w:rFonts w:ascii="Nirmala UI" w:hAnsi="Nirmala UI" w:eastAsia="Nirmala UI" w:cs="Nirmala UI"/>
        </w:rPr>
        <w:t>ಕೂಗಿನ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ಗುರುತಿಸುವಲ್ಲಿ</w:t>
      </w:r>
      <w:r>
        <w:rPr>
          <w:rFonts w:ascii="Times New Roman" w:hAnsi="Times New Roman" w:eastAsia="Times New Roman" w:cs="Times New Roman"/>
        </w:rPr>
        <w:t xml:space="preserve"> </w:t>
      </w:r>
      <w:r>
        <w:rPr>
          <w:rFonts w:ascii="Nirmala UI" w:hAnsi="Nirmala UI" w:eastAsia="Nirmala UI" w:cs="Nirmala UI"/>
        </w:rPr>
        <w:t>ಶಿಲುಬೆಯೇ</w:t>
      </w:r>
      <w:r>
        <w:rPr>
          <w:rFonts w:ascii="Times New Roman" w:hAnsi="Times New Roman" w:eastAsia="Times New Roman" w:cs="Times New Roman"/>
        </w:rPr>
        <w:t xml:space="preserve"> </w:t>
      </w:r>
      <w:r>
        <w:rPr>
          <w:rFonts w:ascii="Nirmala UI" w:hAnsi="Nirmala UI" w:eastAsia="Nirmala UI" w:cs="Nirmala UI"/>
        </w:rPr>
        <w:t>ಅವಶ್ಯಕವಾದ</w:t>
      </w:r>
      <w:r>
        <w:rPr>
          <w:rFonts w:ascii="Times New Roman" w:hAnsi="Times New Roman" w:eastAsia="Times New Roman" w:cs="Times New Roman"/>
        </w:rPr>
        <w:t xml:space="preserve"> </w:t>
      </w:r>
      <w:r>
        <w:rPr>
          <w:rFonts w:ascii="Nirmala UI" w:hAnsi="Nirmala UI" w:eastAsia="Nirmala UI" w:cs="Nirmala UI"/>
        </w:rPr>
        <w:t>ಐತಿಹಾಸಿಕ</w:t>
      </w:r>
      <w:r>
        <w:rPr>
          <w:rFonts w:ascii="Times New Roman" w:hAnsi="Times New Roman" w:eastAsia="Times New Roman" w:cs="Times New Roman"/>
        </w:rPr>
        <w:t xml:space="preserve"> </w:t>
      </w:r>
      <w:r>
        <w:rPr>
          <w:rFonts w:ascii="Nirmala UI" w:hAnsi="Nirmala UI" w:eastAsia="Nirmala UI" w:cs="Nirmala UI"/>
        </w:rPr>
        <w:t>ದಾರಿಸೂಚಕವಾಗಿ</w:t>
      </w:r>
      <w:r>
        <w:rPr>
          <w:rFonts w:ascii="Times New Roman" w:hAnsi="Times New Roman" w:eastAsia="Times New Roman" w:cs="Times New Roman"/>
        </w:rPr>
        <w:t xml:space="preserve"> </w:t>
      </w:r>
      <w:r>
        <w:rPr>
          <w:rFonts w:ascii="Nirmala UI" w:hAnsi="Nirmala UI" w:eastAsia="Nirmala UI" w:cs="Nirmala UI"/>
        </w:rPr>
        <w:t>ಪರಿಣಮಿಸಿತು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N’agbanyeghi ìhè dị n’ime amaokwu ndị ahụ nke mụrụ ngosipụta dị ike nke ike Chineke, ndị Millerite eruteghị nghọta nke amaokwu ndị ahụ nke e ji ọchịchọ Daniel ịghọta mmekọrịta dị n’etiti ọhụ abụọ ahụ nọchite anya ya. E kewara izu ahụ nke Kraịst kwadoro ọgbụgba ndụ n’ime oge abụọ, nke Nwannaanyị White mechara kọwaa dị ka nke na-anọchi anya ozi nkeonwe Kraịst nke afọ atọ na ọkara, soro ya ozi ya dịka e si n’aka ndị na-eso ụzọ ya nọchite anya ya. Ha hụrụ na akara ụzọ nke obe n’akụkọ ihe mere eme ghọrọ arịlịka iji chọpụta ụbọchị Ọktoba 22, 1844, ma ha ahụghị na ọ nọchikwara etiti oge abụọ yiri ibe ha nke afọ atọ na ọkara, ya mere ọ nọchikwara “oge asaa,” nke Chineke site n’aka Moses kpọrọ “esemokwu nke ọgbụgba ndụ ya.”</w:t>
      </w:r>
    </w:p>
    <w:p>
      <w:pPr>
        <w:pStyle w:val="ArticleScripture"/>
        <w:jc w:val="left"/>
      </w:pPr>
      <w:r>
        <w:rPr>
          <w:rFonts w:ascii="Times New Roman" w:hAnsi="Times New Roman" w:eastAsia="Times New Roman" w:cs="Times New Roman"/>
        </w:rPr>
        <w:t>Alors moi aussi, je marcherai à votre encontre, et je vous châtierai encore sept fois pour vos péchés. Et je ferai venir sur vous l’épée, qui vengera la querelle de mon alliance; et lorsque vous serez rassemblés dans vos villes, j’enverrai au milieu de vous la peste; et vous serez livrés entre les mains de l’ennemi. Lévitique 26:24, 25.</w:t>
      </w:r>
    </w:p>
    <w:p>
      <w:pPr>
        <w:pStyle w:val="ArticleBody"/>
        <w:jc w:val="left"/>
      </w:pPr>
      <w:r>
        <w:rPr>
          <w:rFonts w:ascii="MS Gothic" w:hAnsi="MS Gothic" w:eastAsia="MS Gothic" w:cs="MS Gothic"/>
        </w:rPr>
        <w:t>それはキリストが</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者</w:t>
      </w:r>
      <w:r>
        <w:rPr>
          <w:rFonts w:ascii="MS Gothic" w:hAnsi="MS Gothic" w:eastAsia="MS Gothic" w:cs="MS Gothic"/>
        </w:rPr>
        <w:t>と</w:t>
      </w:r>
      <w:r>
        <w:rPr>
          <w:rFonts w:ascii="Microsoft YaHei" w:hAnsi="Microsoft YaHei" w:eastAsia="Microsoft YaHei" w:cs="Microsoft YaHei"/>
        </w:rPr>
        <w:t>契約</w:t>
      </w:r>
      <w:r>
        <w:rPr>
          <w:rFonts w:ascii="MS Gothic" w:hAnsi="MS Gothic" w:eastAsia="MS Gothic" w:cs="MS Gothic"/>
        </w:rPr>
        <w:t>を</w:t>
      </w:r>
      <w:r>
        <w:rPr>
          <w:rFonts w:ascii="Microsoft YaHei" w:hAnsi="Microsoft YaHei" w:eastAsia="Microsoft YaHei" w:cs="Microsoft YaHei"/>
        </w:rPr>
        <w:t>堅</w:t>
      </w:r>
      <w:r>
        <w:rPr>
          <w:rFonts w:ascii="MS Gothic" w:hAnsi="MS Gothic" w:eastAsia="MS Gothic" w:cs="MS Gothic"/>
        </w:rPr>
        <w:t>く</w:t>
      </w:r>
      <w:r>
        <w:rPr>
          <w:rFonts w:ascii="Microsoft YaHei" w:hAnsi="Microsoft YaHei" w:eastAsia="Microsoft YaHei" w:cs="Microsoft YaHei"/>
        </w:rPr>
        <w:t>定</w:t>
      </w:r>
      <w:r>
        <w:rPr>
          <w:rFonts w:ascii="MS Gothic" w:hAnsi="MS Gothic" w:eastAsia="MS Gothic" w:cs="MS Gothic"/>
        </w:rPr>
        <w:t>めておられたとき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契約</w:t>
      </w:r>
      <w:r>
        <w:rPr>
          <w:rFonts w:ascii="MS Gothic" w:hAnsi="MS Gothic" w:eastAsia="MS Gothic" w:cs="MS Gothic"/>
        </w:rPr>
        <w:t>こそ</w:t>
      </w:r>
      <w:r>
        <w:rPr>
          <w:rFonts w:ascii="Microsoft YaHei" w:hAnsi="Microsoft YaHei" w:eastAsia="Microsoft YaHei" w:cs="Microsoft YaHei"/>
        </w:rPr>
        <w:t>、不従順</w:t>
      </w:r>
      <w:r>
        <w:rPr>
          <w:rFonts w:ascii="MS Gothic" w:hAnsi="MS Gothic" w:eastAsia="MS Gothic" w:cs="MS Gothic"/>
        </w:rPr>
        <w:t>なユダヤ</w:t>
      </w:r>
      <w:r>
        <w:rPr>
          <w:rFonts w:ascii="Microsoft YaHei" w:hAnsi="Microsoft YaHei" w:eastAsia="Microsoft YaHei" w:cs="Microsoft YaHei"/>
        </w:rPr>
        <w:t>人</w:t>
      </w:r>
      <w:r>
        <w:rPr>
          <w:rFonts w:ascii="MS Gothic" w:hAnsi="MS Gothic" w:eastAsia="MS Gothic" w:cs="MS Gothic"/>
        </w:rPr>
        <w:t>たちに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彼</w:t>
      </w:r>
      <w:r>
        <w:rPr>
          <w:rFonts w:ascii="MS Gothic" w:hAnsi="MS Gothic" w:eastAsia="MS Gothic" w:cs="MS Gothic"/>
        </w:rPr>
        <w:t>が</w:t>
      </w:r>
      <w:r>
        <w:rPr>
          <w:rFonts w:ascii="Microsoft YaHei" w:hAnsi="Microsoft YaHei" w:eastAsia="Microsoft YaHei" w:cs="Microsoft YaHei"/>
        </w:rPr>
        <w:t>争</w:t>
      </w:r>
      <w:r>
        <w:rPr>
          <w:rFonts w:ascii="MS Gothic" w:hAnsi="MS Gothic" w:eastAsia="MS Gothic" w:cs="MS Gothic"/>
        </w:rPr>
        <w:t>いを</w:t>
      </w:r>
      <w:r>
        <w:rPr>
          <w:rFonts w:ascii="Microsoft YaHei" w:hAnsi="Microsoft YaHei" w:eastAsia="Microsoft YaHei" w:cs="Microsoft YaHei"/>
        </w:rPr>
        <w:t>抱</w:t>
      </w:r>
      <w:r>
        <w:rPr>
          <w:rFonts w:ascii="MS Gothic" w:hAnsi="MS Gothic" w:eastAsia="MS Gothic" w:cs="MS Gothic"/>
        </w:rPr>
        <w:t>いておられた</w:t>
      </w:r>
      <w:r>
        <w:rPr>
          <w:rFonts w:ascii="Microsoft YaHei" w:hAnsi="Microsoft YaHei" w:eastAsia="Microsoft YaHei" w:cs="Microsoft YaHei"/>
        </w:rPr>
        <w:t>契約</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契約</w:t>
      </w:r>
      <w:r>
        <w:rPr>
          <w:rFonts w:ascii="MS Gothic" w:hAnsi="MS Gothic" w:eastAsia="MS Gothic" w:cs="MS Gothic"/>
        </w:rPr>
        <w:t>についての</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争</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は</w:t>
      </w:r>
      <w:r>
        <w:rPr>
          <w:rFonts w:ascii="Microsoft YaHei" w:hAnsi="Microsoft YaHei" w:eastAsia="Microsoft YaHei" w:cs="Microsoft YaHei"/>
        </w:rPr>
        <w:t>、紀元前</w:t>
      </w:r>
      <w:r>
        <w:rPr>
          <w:rFonts w:ascii="Times New Roman" w:hAnsi="Times New Roman" w:eastAsia="Times New Roman" w:cs="Times New Roman"/>
        </w:rPr>
        <w:t>723</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アッシリア</w:t>
      </w:r>
      <w:r>
        <w:rPr>
          <w:rFonts w:ascii="Microsoft YaHei" w:hAnsi="Microsoft YaHei" w:eastAsia="Microsoft YaHei" w:cs="Microsoft YaHei"/>
        </w:rPr>
        <w:t>人</w:t>
      </w:r>
      <w:r>
        <w:rPr>
          <w:rFonts w:ascii="MS Gothic" w:hAnsi="MS Gothic" w:eastAsia="MS Gothic" w:cs="MS Gothic"/>
        </w:rPr>
        <w:t>が</w:t>
      </w:r>
      <w:r>
        <w:rPr>
          <w:rFonts w:ascii="Microsoft YaHei" w:hAnsi="Microsoft YaHei" w:eastAsia="Microsoft YaHei" w:cs="Microsoft YaHei"/>
        </w:rPr>
        <w:t>北王国</w:t>
      </w:r>
      <w:r>
        <w:rPr>
          <w:rFonts w:ascii="MS Gothic" w:hAnsi="MS Gothic" w:eastAsia="MS Gothic" w:cs="MS Gothic"/>
        </w:rPr>
        <w:t>を</w:t>
      </w:r>
      <w:r>
        <w:rPr>
          <w:rFonts w:ascii="Microsoft YaHei" w:hAnsi="Microsoft YaHei" w:eastAsia="Microsoft YaHei" w:cs="Microsoft YaHei"/>
        </w:rPr>
        <w:t>捕囚</w:t>
      </w:r>
      <w:r>
        <w:rPr>
          <w:rFonts w:ascii="MS Gothic" w:hAnsi="MS Gothic" w:eastAsia="MS Gothic" w:cs="MS Gothic"/>
        </w:rPr>
        <w:t>に</w:t>
      </w:r>
      <w:r>
        <w:rPr>
          <w:rFonts w:ascii="Microsoft YaHei" w:hAnsi="Microsoft YaHei" w:eastAsia="Microsoft YaHei" w:cs="Microsoft YaHei"/>
        </w:rPr>
        <w:t>移</w:t>
      </w:r>
      <w:r>
        <w:rPr>
          <w:rFonts w:ascii="MS Gothic" w:hAnsi="MS Gothic" w:eastAsia="MS Gothic" w:cs="MS Gothic"/>
        </w:rPr>
        <w:t>したときに</w:t>
      </w:r>
      <w:r>
        <w:rPr>
          <w:rFonts w:ascii="Microsoft YaHei" w:hAnsi="Microsoft YaHei" w:eastAsia="Microsoft YaHei" w:cs="Microsoft YaHei"/>
        </w:rPr>
        <w:t>始</w:t>
      </w:r>
      <w:r>
        <w:rPr>
          <w:rFonts w:ascii="MS Gothic" w:hAnsi="MS Gothic" w:eastAsia="MS Gothic" w:cs="MS Gothic"/>
        </w:rPr>
        <w:t>まり</w:t>
      </w:r>
      <w:r>
        <w:rPr>
          <w:rFonts w:ascii="Microsoft YaHei" w:hAnsi="Microsoft YaHei" w:eastAsia="Microsoft YaHei" w:cs="Microsoft YaHei"/>
        </w:rPr>
        <w:t>、</w:t>
      </w:r>
      <w:r>
        <w:rPr>
          <w:rFonts w:ascii="MS Gothic" w:hAnsi="MS Gothic" w:eastAsia="MS Gothic" w:cs="MS Gothic"/>
        </w:rPr>
        <w:t>それから</w:t>
      </w:r>
      <w:r>
        <w:rPr>
          <w:rFonts w:ascii="Microsoft YaHei" w:hAnsi="Microsoft YaHei" w:eastAsia="Microsoft YaHei" w:cs="Microsoft YaHei"/>
        </w:rPr>
        <w:t>千二百六十</w:t>
      </w:r>
      <w:r>
        <w:rPr>
          <w:rFonts w:ascii="MS Gothic" w:hAnsi="MS Gothic" w:eastAsia="MS Gothic" w:cs="MS Gothic"/>
        </w:rPr>
        <w:t>の</w:t>
      </w:r>
      <w:r>
        <w:rPr>
          <w:rFonts w:ascii="Microsoft YaHei" w:hAnsi="Microsoft YaHei" w:eastAsia="Microsoft YaHei" w:cs="Microsoft YaHei"/>
        </w:rPr>
        <w:t>預言的日数</w:t>
      </w:r>
      <w:r>
        <w:rPr>
          <w:rFonts w:ascii="MS Gothic" w:hAnsi="MS Gothic" w:eastAsia="MS Gothic" w:cs="MS Gothic"/>
        </w:rPr>
        <w:t>の</w:t>
      </w:r>
      <w:r>
        <w:rPr>
          <w:rFonts w:ascii="Microsoft YaHei" w:hAnsi="Microsoft YaHei" w:eastAsia="Microsoft YaHei" w:cs="Microsoft YaHei"/>
        </w:rPr>
        <w:t>間、異教主義</w:t>
      </w:r>
      <w:r>
        <w:rPr>
          <w:rFonts w:ascii="MS Gothic" w:hAnsi="MS Gothic" w:eastAsia="MS Gothic" w:cs="MS Gothic"/>
        </w:rPr>
        <w:t>が</w:t>
      </w:r>
      <w:r>
        <w:rPr>
          <w:rFonts w:ascii="Microsoft YaHei" w:hAnsi="Microsoft YaHei" w:eastAsia="Microsoft YaHei" w:cs="Microsoft YaHei"/>
        </w:rPr>
        <w:t>文字</w:t>
      </w:r>
      <w:r>
        <w:rPr>
          <w:rFonts w:ascii="MS Gothic" w:hAnsi="MS Gothic" w:eastAsia="MS Gothic" w:cs="MS Gothic"/>
        </w:rPr>
        <w:t>どおりのイスラエルを</w:t>
      </w:r>
      <w:r>
        <w:rPr>
          <w:rFonts w:ascii="Microsoft YaHei" w:hAnsi="Microsoft YaHei" w:eastAsia="Microsoft YaHei" w:cs="Microsoft YaHei"/>
        </w:rPr>
        <w:t>踏</w:t>
      </w:r>
      <w:r>
        <w:rPr>
          <w:rFonts w:ascii="MS Gothic" w:hAnsi="MS Gothic" w:eastAsia="MS Gothic" w:cs="MS Gothic"/>
        </w:rPr>
        <w:t>みにじった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踏</w:t>
      </w:r>
      <w:r>
        <w:rPr>
          <w:rFonts w:ascii="MS Gothic" w:hAnsi="MS Gothic" w:eastAsia="MS Gothic" w:cs="MS Gothic"/>
        </w:rPr>
        <w:t>みにじりに</w:t>
      </w:r>
      <w:r>
        <w:rPr>
          <w:rFonts w:ascii="Microsoft YaHei" w:hAnsi="Microsoft YaHei" w:eastAsia="Microsoft YaHei" w:cs="Microsoft YaHei"/>
        </w:rPr>
        <w:t>続</w:t>
      </w:r>
      <w:r>
        <w:rPr>
          <w:rFonts w:ascii="MS Gothic" w:hAnsi="MS Gothic" w:eastAsia="MS Gothic" w:cs="MS Gothic"/>
        </w:rPr>
        <w:t>いて</w:t>
      </w:r>
      <w:r>
        <w:rPr>
          <w:rFonts w:ascii="Microsoft YaHei" w:hAnsi="Microsoft YaHei" w:eastAsia="Microsoft YaHei" w:cs="Microsoft YaHei"/>
        </w:rPr>
        <w:t>、</w:t>
      </w:r>
      <w:r>
        <w:rPr>
          <w:rFonts w:ascii="MS Gothic" w:hAnsi="MS Gothic" w:eastAsia="MS Gothic" w:cs="MS Gothic"/>
        </w:rPr>
        <w:t>さらに</w:t>
      </w:r>
      <w:r>
        <w:rPr>
          <w:rFonts w:ascii="Microsoft YaHei" w:hAnsi="Microsoft YaHei" w:eastAsia="Microsoft YaHei" w:cs="Microsoft YaHei"/>
        </w:rPr>
        <w:t>別</w:t>
      </w:r>
      <w:r>
        <w:rPr>
          <w:rFonts w:ascii="MS Gothic" w:hAnsi="MS Gothic" w:eastAsia="MS Gothic" w:cs="MS Gothic"/>
        </w:rPr>
        <w:t>の</w:t>
      </w:r>
      <w:r>
        <w:rPr>
          <w:rFonts w:ascii="Microsoft YaHei" w:hAnsi="Microsoft YaHei" w:eastAsia="Microsoft YaHei" w:cs="Microsoft YaHei"/>
        </w:rPr>
        <w:t>千二百六十</w:t>
      </w:r>
      <w:r>
        <w:rPr>
          <w:rFonts w:ascii="MS Gothic" w:hAnsi="MS Gothic" w:eastAsia="MS Gothic" w:cs="MS Gothic"/>
        </w:rPr>
        <w:t>の</w:t>
      </w:r>
      <w:r>
        <w:rPr>
          <w:rFonts w:ascii="Microsoft YaHei" w:hAnsi="Microsoft YaHei" w:eastAsia="Microsoft YaHei" w:cs="Microsoft YaHei"/>
        </w:rPr>
        <w:t>預言的日数</w:t>
      </w:r>
      <w:r>
        <w:rPr>
          <w:rFonts w:ascii="MS Gothic" w:hAnsi="MS Gothic" w:eastAsia="MS Gothic" w:cs="MS Gothic"/>
        </w:rPr>
        <w:t>の</w:t>
      </w:r>
      <w:r>
        <w:rPr>
          <w:rFonts w:ascii="Microsoft YaHei" w:hAnsi="Microsoft YaHei" w:eastAsia="Microsoft YaHei" w:cs="Microsoft YaHei"/>
        </w:rPr>
        <w:t>間、教皇制</w:t>
      </w:r>
      <w:r>
        <w:rPr>
          <w:rFonts w:ascii="MS Gothic" w:hAnsi="MS Gothic" w:eastAsia="MS Gothic" w:cs="MS Gothic"/>
        </w:rPr>
        <w:t>が</w:t>
      </w:r>
      <w:r>
        <w:rPr>
          <w:rFonts w:ascii="Microsoft YaHei" w:hAnsi="Microsoft YaHei" w:eastAsia="Microsoft YaHei" w:cs="Microsoft YaHei"/>
        </w:rPr>
        <w:t>霊的</w:t>
      </w:r>
      <w:r>
        <w:rPr>
          <w:rFonts w:ascii="MS Gothic" w:hAnsi="MS Gothic" w:eastAsia="MS Gothic" w:cs="MS Gothic"/>
        </w:rPr>
        <w:t>イスラエルを</w:t>
      </w:r>
      <w:r>
        <w:rPr>
          <w:rFonts w:ascii="Microsoft YaHei" w:hAnsi="Microsoft YaHei" w:eastAsia="Microsoft YaHei" w:cs="Microsoft YaHei"/>
        </w:rPr>
        <w:t>踏</w:t>
      </w:r>
      <w:r>
        <w:rPr>
          <w:rFonts w:ascii="MS Gothic" w:hAnsi="MS Gothic" w:eastAsia="MS Gothic" w:cs="MS Gothic"/>
        </w:rPr>
        <w:t>みにじった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Profetiskie týden, v němž Kristus potvrdil smlouvu, jako naplnění vidění o dvou tisících třech stech letech, zároveň představoval i vidění o dvou tisících pěti stech dvaceti letech. Millerité rozpoznali dostatečně mnoho z proroctví o dvou tisících třech stech letech, aby správně hlásali poselství půlnočního volání, avšak rozhodli se odmítnout část světla, které mělo být zprostředkováno Gabrielovým výkladem v deváté kapitole.</w:t>
      </w:r>
    </w:p>
    <w:p>
      <w:pPr>
        <w:pStyle w:val="ArticleBody"/>
        <w:jc w:val="left"/>
      </w:pPr>
      <w:r>
        <w:rPr>
          <w:rFonts w:ascii="Times New Roman" w:hAnsi="Times New Roman" w:eastAsia="Times New Roman" w:cs="Times New Roman"/>
        </w:rPr>
        <w:t>Gabriel avait instruit Daniel à bien distinguer (à séparer mentalement) les deux visions, représentées comme « matière » et « vision »; et, en accomplissement de ce conseil, sœur White nous informe que telle était précisément la préoccupation de Daniel lorsqu’il cherchait à comprendre le rapport entre les soixante-dix semaines (symbole de « sept temps ») et les deux mille trois cents ans.</w:t>
      </w:r>
    </w:p>
    <w:p>
      <w:pPr>
        <w:pStyle w:val="ArticleBody"/>
        <w:jc w:val="left"/>
      </w:pPr>
      <w:r>
        <w:rPr>
          <w:rFonts w:ascii="Times New Roman" w:hAnsi="Times New Roman" w:eastAsia="Times New Roman" w:cs="Times New Roman"/>
        </w:rPr>
        <w:t>Ang pagtalikod ng Adventismo sa “pitong panahon” ay naglagay sa kanila sa kalagayang hindi nila maunawaan na ang unang yugto na apat na raan at siyamnapung taon, na pinutol mula sa dalawang libo at tatlong daang taon, ay kumakatawan sa paghihimagsik laban sa tipan na kinikilala ni Moises bilang “pakikipag-alit ng kaniyang tipan”.</w:t>
      </w:r>
    </w:p>
    <w:p>
      <w:pPr>
        <w:pStyle w:val="ArticleBody"/>
        <w:jc w:val="left"/>
      </w:pPr>
      <w:r>
        <w:rPr>
          <w:rFonts w:ascii="Times New Roman" w:hAnsi="Times New Roman" w:eastAsia="Times New Roman" w:cs="Times New Roman"/>
        </w:rPr>
        <w:t>Se les impidió también reconocer que la crucifixión a la mitad de la semana hacía más que simplemente señalar la fecha, pues identificaba el mismo centro de la contienda de Cristo con la desobediencia de Israel, mediante la sangre del pacto. Estaban ciegos al hecho de que la sangre derramada por muchos en la cruz, la cual confirmaba su pacto, estaba también confirmando el pacto expuesto en Levítico veinticinco y veintiséis.</w:t>
      </w:r>
    </w:p>
    <w:p>
      <w:pPr>
        <w:pStyle w:val="ArticleBody"/>
        <w:jc w:val="left"/>
      </w:pPr>
      <w:r>
        <w:rPr>
          <w:rFonts w:ascii="Times New Roman" w:hAnsi="Times New Roman" w:eastAsia="Times New Roman" w:cs="Times New Roman"/>
        </w:rPr>
        <w:t>Israël d’autrefois contracta une alliance qu’il définissait par cette proclamation : « Tout ce que l’Éternel a dit, nous le ferons », sans aucunement comprendre que l’alliance que le Christ offrait exigeait que sa loi fût écrite dans le cœur. Leur définition pharisaïque des termes de l’alliance les empêcha de comprendre et d’accepter la véritable alliance.</w:t>
      </w:r>
    </w:p>
    <w:p>
      <w:pPr>
        <w:pStyle w:val="ArticleBody"/>
        <w:jc w:val="left"/>
      </w:pPr>
      <w:r>
        <w:rPr>
          <w:rFonts w:ascii="Times New Roman" w:hAnsi="Times New Roman" w:eastAsia="Times New Roman" w:cs="Times New Roman"/>
        </w:rPr>
        <w:t>Israël moderne a défini le sang de la croix au milieu de la semaine en des termes qui produisent chez Israël moderne le même aveuglement que celui qui pesait sur l’Israël ancien lorsqu’ils rejetèrent le Messie et proclamèrent qu’ils n’avaient d’autre roi que César.</w:t>
      </w:r>
    </w:p>
    <w:p>
      <w:pPr>
        <w:pStyle w:val="ArticleBody"/>
        <w:jc w:val="left"/>
      </w:pPr>
      <w:r>
        <w:rPr>
          <w:rFonts w:ascii="Times New Roman" w:hAnsi="Times New Roman" w:eastAsia="Times New Roman" w:cs="Times New Roman"/>
        </w:rPr>
        <w:t>Israël moderne est aveugle au fait que l’histoire que Gabriel a exposée à Daniel comprend non seulement la confirmation de l’alliance, mais aussi la dispersion qui s’abat sur ceux qui rejettent cette alliance ; car les versets montrent que la Rome païenne (le prince qui devait venir) détruirait la ville et le sanctuaire, et que, jusqu’à la fin de la guerre (qui a foulé aux pieds le sanctuaire et l’armée), des « désolations », au pluriel, étaient décrétées.</w:t>
      </w:r>
    </w:p>
    <w:p>
      <w:pPr>
        <w:pStyle w:val="ArticleBody"/>
        <w:jc w:val="left"/>
      </w:pPr>
      <w:r>
        <w:rPr>
          <w:rFonts w:ascii="Times New Roman" w:hAnsi="Times New Roman" w:eastAsia="Times New Roman" w:cs="Times New Roman"/>
        </w:rPr>
        <w:t>ἐν τῇ ἱστορίᾳ καθ’ ἣν ὁ Χριστὸς ἐξέχεεν τὸ αἷμα αὐτοῦ πρὸς βεβαίωσιν τῆς διαθήκης μετὰ πολλῶν, αἱ δύο ἐρημοποιοὶ δυνάμεις, ἡ εἰδωλολατρικὴ καὶ ἡ παπικὴ Ῥώμη, προσδιορίζονται ἐμφανῶς. Τὸ αἷμα τὸ ἐκχυθὲν ἐπὶ τοῦ σταυροῦ εἶναι ἐκεῖνο ὃ ὁ Χριστὸς εἰσφέρει εἰς τὸ ἐπουράνιον ἁγιαστήριον, καὶ ἀποτελεῖ σύμβολον τοῦ ἔργου αὐτοῦ, ὡς παρίσταται ἐν τῷ ὁράματι τοῦ “mareh” τῶν δισχιλίων τριακοσίων ἐτῶν. Ἡ ἱστορία αὕτη συμπλέκεται μετὰ τῆς ἱστορίας τοῦ ὁράματος τοῦ “chazon” τῶν δισχιλίων πεντακοσίων καὶ εἴκοσι ἐτῶν, καθὼς τοῦτο παρίσταται διὰ τῶν δύο ἐρημοποιῶν δυνάμεων αἵτινες ἔμελλον καταπατεῖν τὸ ἁγιαστήριον καὶ τὴν στρατιάν.</w:t>
      </w:r>
    </w:p>
    <w:p>
      <w:pPr>
        <w:pStyle w:val="ArticleBody"/>
        <w:jc w:val="left"/>
      </w:pPr>
      <w:r>
        <w:rPr>
          <w:rFonts w:ascii="Nirmala UI" w:hAnsi="Nirmala UI" w:eastAsia="Nirmala UI" w:cs="Nirmala UI"/>
        </w:rPr>
        <w:t>सच्चाइयाँ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चमकती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धूल</w:t>
      </w:r>
      <w:r>
        <w:rPr>
          <w:rFonts w:ascii="Times New Roman" w:hAnsi="Times New Roman" w:eastAsia="Times New Roman" w:cs="Times New Roman"/>
        </w:rPr>
        <w:t>-</w:t>
      </w:r>
      <w:r>
        <w:rPr>
          <w:rFonts w:ascii="Nirmala UI" w:hAnsi="Nirmala UI" w:eastAsia="Nirmala UI" w:cs="Nirmala UI"/>
        </w:rPr>
        <w:t>झाड़ने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नए</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प्रकाशमान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पट्टिकाओं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1843 </w:t>
      </w:r>
      <w:r>
        <w:rPr>
          <w:rFonts w:ascii="Nirmala UI" w:hAnsi="Nirmala UI" w:eastAsia="Nirmala UI" w:cs="Nirmala UI"/>
        </w:rPr>
        <w:t>और</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पट्टिकाएँ</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An chuid is mó de na fírinneacha atá ar an dá chairt, léiríonn siad tairngreachtaí a comhlíonadh roimh 1844, amhail aithint bheithígh Dhaniéil a seacht agus a hocht. Tá íomhá Dhaniéil a dó léirithe iontu. Tá an argóint ann i dtaobh cé acu an Róimh nó Antiochus Epiphanes a dhaingníonn an fhís. Tá an chéad díomá ann, agus aimsir na moille in Habacúc agus i bparabal na ndeich maighdean. Tá teacht an tríú aingil ann, agus an sanctóir neamhaí mar an gcéanna. Tá “an laethúil” ann mar shiombail den phágánachas. Agus, ar ndóigh, tá trí Mháchail an Ioslaim ann. Nuair a thugtar le chéile iad, is léiriú iad na cairteacha ar an “méadú eolais” a tharlaíonn nuair a osclaíonn Leon threibh Iúdá fírinne thairngreachta a bhí séalaithe.</w:t>
      </w:r>
    </w:p>
    <w:p>
      <w:pPr>
        <w:pStyle w:val="ArticleBody"/>
        <w:jc w:val="left"/>
      </w:pPr>
      <w:r>
        <w:rPr>
          <w:rFonts w:ascii="Times New Roman" w:hAnsi="Times New Roman" w:eastAsia="Times New Roman" w:cs="Times New Roman"/>
        </w:rPr>
        <w:t>Yeroo ilaalcha keenya mul’ata laga Ulaii, akka mallattoo beekumsa raajii yeroo dhumaatti bara 1798 keessatti hiikameetti, isa dabalee jawwee saanduqa haaraa fi bal’aa ta’e keessatti abjuu William Miller keessatti argamu uume, xumuruuf dhihaannu, dhugaawwan Millerotaa kan seenaa isaanii keessatti guutuu hin taane irra deebinee ilaalla. Isaan keessaa tokko tokko yeroo seenaa Milleroonni keessa jiraachaa turan irraa kan ka’e haala hin guutamne keessatti hafan; kanneen biroon immoo ajajamuu diduu warra ifa isa adeemsa irra jiruu ergamaa sadaffaa wajjin wal qixxeessee hin deemin irraa kan ka’e haala hin guutamne keessatti hafan.</w:t>
      </w:r>
    </w:p>
    <w:p>
      <w:pPr>
        <w:pStyle w:val="ArticleBody"/>
        <w:jc w:val="left"/>
      </w:pPr>
      <w:r>
        <w:rPr>
          <w:rFonts w:ascii="Times New Roman" w:hAnsi="Times New Roman" w:eastAsia="Times New Roman" w:cs="Times New Roman"/>
        </w:rPr>
        <w:t>Nous poursuivrons ces choses dans le prochain article.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မည်သည့်သူတို့ကို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သတင်းစကားတစ်ရပ်နှင့်အတူ</w:t>
      </w:r>
      <w:r>
        <w:rPr>
          <w:rFonts w:ascii="Times New Roman" w:hAnsi="Times New Roman" w:eastAsia="Times New Roman" w:cs="Times New Roman"/>
        </w:rPr>
        <w:t xml:space="preserve"> </w:t>
      </w:r>
      <w:r>
        <w:rPr>
          <w:rFonts w:ascii="Myanmar Text" w:hAnsi="Myanmar Text" w:eastAsia="Myanmar Text" w:cs="Myanmar Text"/>
        </w:rPr>
        <w:t>စေလွှတ်တော်မူသနည်း၊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လူသာဖြစ်ကြ၏။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သူတို့သယ်ဆောင်လာသော</w:t>
      </w:r>
      <w:r>
        <w:rPr>
          <w:rFonts w:ascii="Times New Roman" w:hAnsi="Times New Roman" w:eastAsia="Times New Roman" w:cs="Times New Roman"/>
        </w:rPr>
        <w:t xml:space="preserve"> </w:t>
      </w:r>
      <w:r>
        <w:rPr>
          <w:rFonts w:ascii="Myanmar Text" w:hAnsi="Myanmar Text" w:eastAsia="Myanmar Text" w:cs="Myanmar Text"/>
        </w:rPr>
        <w:t>ထိုသတင်းစကား၏</w:t>
      </w:r>
      <w:r>
        <w:rPr>
          <w:rFonts w:ascii="Times New Roman" w:hAnsi="Times New Roman" w:eastAsia="Times New Roman" w:cs="Times New Roman"/>
        </w:rPr>
        <w:t xml:space="preserve"> </w:t>
      </w:r>
      <w:r>
        <w:rPr>
          <w:rFonts w:ascii="Myanmar Text" w:hAnsi="Myanmar Text" w:eastAsia="Myanmar Text" w:cs="Myanmar Text"/>
        </w:rPr>
        <w:t>သဘောသဘာဝသည်</w:t>
      </w:r>
      <w:r>
        <w:rPr>
          <w:rFonts w:ascii="Times New Roman" w:hAnsi="Times New Roman" w:eastAsia="Times New Roman" w:cs="Times New Roman"/>
        </w:rPr>
        <w:t xml:space="preserve"> </w:t>
      </w:r>
      <w:r>
        <w:rPr>
          <w:rFonts w:ascii="Myanmar Text" w:hAnsi="Myanmar Text" w:eastAsia="Myanmar Text" w:cs="Myanmar Text"/>
        </w:rPr>
        <w:t>အဘယ်သို့နည်း။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မည်သည့်အရာကို</w:t>
      </w:r>
      <w:r>
        <w:rPr>
          <w:rFonts w:ascii="Times New Roman" w:hAnsi="Times New Roman" w:eastAsia="Times New Roman" w:cs="Times New Roman"/>
        </w:rPr>
        <w:t xml:space="preserve"> </w:t>
      </w:r>
      <w:r>
        <w:rPr>
          <w:rFonts w:ascii="Myanmar Text" w:hAnsi="Myanmar Text" w:eastAsia="Myanmar Text" w:cs="Myanmar Text"/>
        </w:rPr>
        <w:t>ပို၍နှစ်သက်မည်ကို</w:t>
      </w:r>
      <w:r>
        <w:rPr>
          <w:rFonts w:ascii="Times New Roman" w:hAnsi="Times New Roman" w:eastAsia="Times New Roman" w:cs="Times New Roman"/>
        </w:rPr>
        <w:t xml:space="preserve"> </w:t>
      </w:r>
      <w:r>
        <w:rPr>
          <w:rFonts w:ascii="Myanmar Text" w:hAnsi="Myanmar Text" w:eastAsia="Myanmar Text" w:cs="Myanmar Text"/>
        </w:rPr>
        <w:t>သင်နှင့်</w:t>
      </w:r>
      <w:r>
        <w:rPr>
          <w:rFonts w:ascii="Times New Roman" w:hAnsi="Times New Roman" w:eastAsia="Times New Roman" w:cs="Times New Roman"/>
        </w:rPr>
        <w:t xml:space="preserve"> </w:t>
      </w:r>
      <w:r>
        <w:rPr>
          <w:rFonts w:ascii="Myanmar Text" w:hAnsi="Myanmar Text" w:eastAsia="Myanmar Text" w:cs="Myanmar Text"/>
        </w:rPr>
        <w:t>တိုင်ပင်တော်မမူခဲ့သောကြောင့်၊</w:t>
      </w:r>
      <w:r>
        <w:rPr>
          <w:rFonts w:ascii="Times New Roman" w:hAnsi="Times New Roman" w:eastAsia="Times New Roman" w:cs="Times New Roman"/>
        </w:rPr>
        <w:t xml:space="preserve"> </w:t>
      </w:r>
      <w:r>
        <w:rPr>
          <w:rFonts w:ascii="Myanmar Text" w:hAnsi="Myanmar Text" w:eastAsia="Myanmar Text" w:cs="Myanmar Text"/>
        </w:rPr>
        <w:t>သတိပေးချက်တို့မှ</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လှည့်ထွက်သွားရန်၊</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ယင်းတို့ကို</w:t>
      </w:r>
      <w:r>
        <w:rPr>
          <w:rFonts w:ascii="Times New Roman" w:hAnsi="Times New Roman" w:eastAsia="Times New Roman" w:cs="Times New Roman"/>
        </w:rPr>
        <w:t xml:space="preserve"> </w:t>
      </w:r>
      <w:r>
        <w:rPr>
          <w:rFonts w:ascii="Myanmar Text" w:hAnsi="Myanmar Text" w:eastAsia="Myanmar Text" w:cs="Myanmar Text"/>
        </w:rPr>
        <w:t>ပေါ့ပေါ့လေးမှတ်ရန်</w:t>
      </w:r>
      <w:r>
        <w:rPr>
          <w:rFonts w:ascii="Times New Roman" w:hAnsi="Times New Roman" w:eastAsia="Times New Roman" w:cs="Times New Roman"/>
        </w:rPr>
        <w:t xml:space="preserve"> </w:t>
      </w:r>
      <w:r>
        <w:rPr>
          <w:rFonts w:ascii="Myanmar Text" w:hAnsi="Myanmar Text" w:eastAsia="Myanmar Text" w:cs="Myanmar Text"/>
        </w:rPr>
        <w:t>သတ္တိပြုမည်လော။</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ပြောဆိုမည့်လူတို့ကို၊</w:t>
      </w:r>
      <w:r>
        <w:rPr>
          <w:rFonts w:ascii="Times New Roman" w:hAnsi="Times New Roman" w:eastAsia="Times New Roman" w:cs="Times New Roman"/>
        </w:rPr>
        <w:t xml:space="preserve"> </w:t>
      </w:r>
      <w:r>
        <w:rPr>
          <w:rFonts w:ascii="Myanmar Text" w:hAnsi="Myanmar Text" w:eastAsia="Myanmar Text" w:cs="Myanmar Text"/>
        </w:rPr>
        <w:t>ကျယ်လောင်စွာ</w:t>
      </w:r>
      <w:r>
        <w:rPr>
          <w:rFonts w:ascii="Times New Roman" w:hAnsi="Times New Roman" w:eastAsia="Times New Roman" w:cs="Times New Roman"/>
        </w:rPr>
        <w:t xml:space="preserve"> </w:t>
      </w:r>
      <w:r>
        <w:rPr>
          <w:rFonts w:ascii="Myanmar Text" w:hAnsi="Myanmar Text" w:eastAsia="Myanmar Text" w:cs="Myanmar Text"/>
        </w:rPr>
        <w:t>ကြွေးကြော်မည့်သူတို့ကို၊</w:t>
      </w:r>
      <w:r>
        <w:rPr>
          <w:rFonts w:ascii="Times New Roman" w:hAnsi="Times New Roman" w:eastAsia="Times New Roman" w:cs="Times New Roman"/>
        </w:rPr>
        <w:t xml:space="preserve"> </w:t>
      </w:r>
      <w:r>
        <w:rPr>
          <w:rFonts w:ascii="Myanmar Text" w:hAnsi="Myanmar Text" w:eastAsia="Myanmar Text" w:cs="Myanmar Text"/>
        </w:rPr>
        <w:t>မချန်မလှပ်ဘဲ</w:t>
      </w:r>
      <w:r>
        <w:rPr>
          <w:rFonts w:ascii="Times New Roman" w:hAnsi="Times New Roman" w:eastAsia="Times New Roman" w:cs="Times New Roman"/>
        </w:rPr>
        <w:t xml:space="preserve"> </w:t>
      </w:r>
      <w:r>
        <w:rPr>
          <w:rFonts w:ascii="Myanmar Text" w:hAnsi="Myanmar Text" w:eastAsia="Myanmar Text" w:cs="Myanmar Text"/>
        </w:rPr>
        <w:t>ပြောမည့်သူတို့ကို</w:t>
      </w:r>
      <w:r>
        <w:rPr>
          <w:rFonts w:ascii="Times New Roman" w:hAnsi="Times New Roman" w:eastAsia="Times New Roman" w:cs="Times New Roman"/>
        </w:rPr>
        <w:t xml:space="preserve"> </w:t>
      </w:r>
      <w:r>
        <w:rPr>
          <w:rFonts w:ascii="Myanmar Text" w:hAnsi="Myanmar Text" w:eastAsia="Myanmar Text" w:cs="Myanmar Text"/>
        </w:rPr>
        <w:t>ခေါ်တော်မူ၏။</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ဤအချိန်အတွက်</w:t>
      </w:r>
      <w:r>
        <w:rPr>
          <w:rFonts w:ascii="Times New Roman" w:hAnsi="Times New Roman" w:eastAsia="Times New Roman" w:cs="Times New Roman"/>
        </w:rPr>
        <w:t xml:space="preserve"> </w:t>
      </w:r>
      <w:r>
        <w:rPr>
          <w:rFonts w:ascii="Myanmar Text" w:hAnsi="Myanmar Text" w:eastAsia="Myanmar Text" w:cs="Myanmar Text"/>
        </w:rPr>
        <w:t>မိမိ၏လုပ်ငန်းကို</w:t>
      </w:r>
      <w:r>
        <w:rPr>
          <w:rFonts w:ascii="Times New Roman" w:hAnsi="Times New Roman" w:eastAsia="Times New Roman" w:cs="Times New Roman"/>
        </w:rPr>
        <w:t xml:space="preserve"> </w:t>
      </w:r>
      <w:r>
        <w:rPr>
          <w:rFonts w:ascii="Myanmar Text" w:hAnsi="Myanmar Text" w:eastAsia="Myanmar Text" w:cs="Myanmar Text"/>
        </w:rPr>
        <w:t>ဆောင်ရွက်စေရန်</w:t>
      </w:r>
      <w:r>
        <w:rPr>
          <w:rFonts w:ascii="Times New Roman" w:hAnsi="Times New Roman" w:eastAsia="Times New Roman" w:cs="Times New Roman"/>
        </w:rPr>
        <w:t xml:space="preserve"> </w:t>
      </w:r>
      <w:r>
        <w:rPr>
          <w:rFonts w:ascii="Myanmar Text" w:hAnsi="Myanmar Text" w:eastAsia="Myanmar Text" w:cs="Myanmar Text"/>
        </w:rPr>
        <w:t>မိမိ၏သံတမန်တို့ကို</w:t>
      </w:r>
      <w:r>
        <w:rPr>
          <w:rFonts w:ascii="Times New Roman" w:hAnsi="Times New Roman" w:eastAsia="Times New Roman" w:cs="Times New Roman"/>
        </w:rPr>
        <w:t xml:space="preserve"> </w:t>
      </w:r>
      <w:r>
        <w:rPr>
          <w:rFonts w:ascii="Myanmar Text" w:hAnsi="Myanmar Text" w:eastAsia="Myanmar Text" w:cs="Myanmar Text"/>
        </w:rPr>
        <w:t>ထူထောင်တော်မူပြီ။</w:t>
      </w:r>
      <w:r>
        <w:rPr>
          <w:rFonts w:ascii="Times New Roman" w:hAnsi="Times New Roman" w:eastAsia="Times New Roman" w:cs="Times New Roman"/>
        </w:rPr>
        <w:t xml:space="preserve"> </w:t>
      </w:r>
      <w:r>
        <w:rPr>
          <w:rFonts w:ascii="Myanmar Text" w:hAnsi="Myanmar Text" w:eastAsia="Myanmar Text" w:cs="Myanmar Text"/>
        </w:rPr>
        <w:t>အချို့တို့သည်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ဖြောင့်မတ်ခြင်းဆိုင်ရာ</w:t>
      </w:r>
      <w:r>
        <w:rPr>
          <w:rFonts w:ascii="Times New Roman" w:hAnsi="Times New Roman" w:eastAsia="Times New Roman" w:cs="Times New Roman"/>
        </w:rPr>
        <w:t xml:space="preserve"> </w:t>
      </w:r>
      <w:r>
        <w:rPr>
          <w:rFonts w:ascii="Myanmar Text" w:hAnsi="Myanmar Text" w:eastAsia="Myanmar Text" w:cs="Myanmar Text"/>
        </w:rPr>
        <w:t>သတင်းစကားမှ</w:t>
      </w:r>
      <w:r>
        <w:rPr>
          <w:rFonts w:ascii="Times New Roman" w:hAnsi="Times New Roman" w:eastAsia="Times New Roman" w:cs="Times New Roman"/>
        </w:rPr>
        <w:t xml:space="preserve"> </w:t>
      </w:r>
      <w:r>
        <w:rPr>
          <w:rFonts w:ascii="Myanmar Text" w:hAnsi="Myanmar Text" w:eastAsia="Myanmar Text" w:cs="Myanmar Text"/>
        </w:rPr>
        <w:t>လှည့်ထွက်ကာ၊</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အလိုရှိသလောက်</w:t>
      </w:r>
      <w:r>
        <w:rPr>
          <w:rFonts w:ascii="Times New Roman" w:hAnsi="Times New Roman" w:eastAsia="Times New Roman" w:cs="Times New Roman"/>
        </w:rPr>
        <w:t xml:space="preserve"> </w:t>
      </w:r>
      <w:r>
        <w:rPr>
          <w:rFonts w:ascii="Myanmar Text" w:hAnsi="Myanmar Text" w:eastAsia="Myanmar Text" w:cs="Myanmar Text"/>
        </w:rPr>
        <w:t>ကျေးဇူးသိမ်မွေ့မှုနှင့်</w:t>
      </w:r>
      <w:r>
        <w:rPr>
          <w:rFonts w:ascii="Times New Roman" w:hAnsi="Times New Roman" w:eastAsia="Times New Roman" w:cs="Times New Roman"/>
        </w:rPr>
        <w:t xml:space="preserve"> </w:t>
      </w:r>
      <w:r>
        <w:rPr>
          <w:rFonts w:ascii="Myanmar Text" w:hAnsi="Myanmar Text" w:eastAsia="Myanmar Text" w:cs="Myanmar Text"/>
        </w:rPr>
        <w:t>အပြေပြစ်မရှိသည့်</w:t>
      </w:r>
      <w:r>
        <w:rPr>
          <w:rFonts w:ascii="Times New Roman" w:hAnsi="Times New Roman" w:eastAsia="Times New Roman" w:cs="Times New Roman"/>
        </w:rPr>
        <w:t xml:space="preserve"> </w:t>
      </w:r>
      <w:r>
        <w:rPr>
          <w:rFonts w:ascii="Myanmar Text" w:hAnsi="Myanmar Text" w:eastAsia="Myanmar Text" w:cs="Myanmar Text"/>
        </w:rPr>
        <w:t>ပုံစံဖြင့်</w:t>
      </w:r>
      <w:r>
        <w:rPr>
          <w:rFonts w:ascii="Times New Roman" w:hAnsi="Times New Roman" w:eastAsia="Times New Roman" w:cs="Times New Roman"/>
        </w:rPr>
        <w:t xml:space="preserve"> </w:t>
      </w:r>
      <w:r>
        <w:rPr>
          <w:rFonts w:ascii="Myanmar Text" w:hAnsi="Myanmar Text" w:eastAsia="Myanmar Text" w:cs="Myanmar Text"/>
        </w:rPr>
        <w:t>အမှန်တရား၏</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မပြောကြသောကြောင့်၊</w:t>
      </w:r>
      <w:r>
        <w:rPr>
          <w:rFonts w:ascii="Times New Roman" w:hAnsi="Times New Roman" w:eastAsia="Times New Roman" w:cs="Times New Roman"/>
        </w:rPr>
        <w:t xml:space="preserve"> </w:t>
      </w:r>
      <w:r>
        <w:rPr>
          <w:rFonts w:ascii="Myanmar Text" w:hAnsi="Myanmar Text" w:eastAsia="Myanmar Text" w:cs="Myanmar Text"/>
        </w:rPr>
        <w:t>ထိုလူတို့နှင့်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ချို့ယွင်းချက်များကို</w:t>
      </w:r>
      <w:r>
        <w:rPr>
          <w:rFonts w:ascii="Times New Roman" w:hAnsi="Times New Roman" w:eastAsia="Times New Roman" w:cs="Times New Roman"/>
        </w:rPr>
        <w:t xml:space="preserve"> </w:t>
      </w:r>
      <w:r>
        <w:rPr>
          <w:rFonts w:ascii="Myanmar Text" w:hAnsi="Myanmar Text" w:eastAsia="Myanmar Text" w:cs="Myanmar Text"/>
        </w:rPr>
        <w:t>ဝေဖန်ကြ၏။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အလွန်ထက်သန်လွန်းကြသည်၊</w:t>
      </w:r>
      <w:r>
        <w:rPr>
          <w:rFonts w:ascii="Times New Roman" w:hAnsi="Times New Roman" w:eastAsia="Times New Roman" w:cs="Times New Roman"/>
        </w:rPr>
        <w:t xml:space="preserve"> </w:t>
      </w:r>
      <w:r>
        <w:rPr>
          <w:rFonts w:ascii="Myanmar Text" w:hAnsi="Myanmar Text" w:eastAsia="Myanmar Text" w:cs="Myanmar Text"/>
        </w:rPr>
        <w:t>အလွန်အလေးအနက်ထားလွန်းကြသည်၊</w:t>
      </w:r>
      <w:r>
        <w:rPr>
          <w:rFonts w:ascii="Times New Roman" w:hAnsi="Times New Roman" w:eastAsia="Times New Roman" w:cs="Times New Roman"/>
        </w:rPr>
        <w:t xml:space="preserve"> </w:t>
      </w:r>
      <w:r>
        <w:rPr>
          <w:rFonts w:ascii="Myanmar Text" w:hAnsi="Myanmar Text" w:eastAsia="Myanmar Text" w:cs="Myanmar Text"/>
        </w:rPr>
        <w:t>အလွန်တိတိကျကျ</w:t>
      </w:r>
      <w:r>
        <w:rPr>
          <w:rFonts w:ascii="Times New Roman" w:hAnsi="Times New Roman" w:eastAsia="Times New Roman" w:cs="Times New Roman"/>
        </w:rPr>
        <w:t xml:space="preserve"> </w:t>
      </w:r>
      <w:r>
        <w:rPr>
          <w:rFonts w:ascii="Myanmar Text" w:hAnsi="Myanmar Text" w:eastAsia="Myanmar Text" w:cs="Myanmar Text"/>
        </w:rPr>
        <w:t>ပြောဆိုလွန်းကြသည်ဟု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ပင်ပန်းနွမ်းနယ်၍</w:t>
      </w:r>
      <w:r>
        <w:rPr>
          <w:rFonts w:ascii="Times New Roman" w:hAnsi="Times New Roman" w:eastAsia="Times New Roman" w:cs="Times New Roman"/>
        </w:rPr>
        <w:t xml:space="preserve"> </w:t>
      </w:r>
      <w:r>
        <w:rPr>
          <w:rFonts w:ascii="Myanmar Text" w:hAnsi="Myanmar Text" w:eastAsia="Myanmar Text" w:cs="Myanmar Text"/>
        </w:rPr>
        <w:t>ဖိနှိပ်ခံနေရသော</w:t>
      </w:r>
      <w:r>
        <w:rPr>
          <w:rFonts w:ascii="Times New Roman" w:hAnsi="Times New Roman" w:eastAsia="Times New Roman" w:cs="Times New Roman"/>
        </w:rPr>
        <w:t xml:space="preserve"> </w:t>
      </w:r>
      <w:r>
        <w:rPr>
          <w:rFonts w:ascii="Myanmar Text" w:hAnsi="Myanmar Text" w:eastAsia="Myanmar Text" w:cs="Myanmar Text"/>
        </w:rPr>
        <w:t>ဝိညာဉ်များစွာထံသို့</w:t>
      </w:r>
      <w:r>
        <w:rPr>
          <w:rFonts w:ascii="Times New Roman" w:hAnsi="Times New Roman" w:eastAsia="Times New Roman" w:cs="Times New Roman"/>
        </w:rPr>
        <w:t xml:space="preserve"> </w:t>
      </w:r>
      <w:r>
        <w:rPr>
          <w:rFonts w:ascii="Myanmar Text" w:hAnsi="Myanmar Text" w:eastAsia="Myanmar Text" w:cs="Myanmar Text"/>
        </w:rPr>
        <w:t>ကုသခြင်း၊</w:t>
      </w:r>
      <w:r>
        <w:rPr>
          <w:rFonts w:ascii="Times New Roman" w:hAnsi="Times New Roman" w:eastAsia="Times New Roman" w:cs="Times New Roman"/>
        </w:rPr>
        <w:t xml:space="preserve"> </w:t>
      </w:r>
      <w:r>
        <w:rPr>
          <w:rFonts w:ascii="Myanmar Text" w:hAnsi="Myanmar Text" w:eastAsia="Myanmar Text" w:cs="Myanmar Text"/>
        </w:rPr>
        <w:t>အသက်ပေးခြင်းနှင့်</w:t>
      </w:r>
      <w:r>
        <w:rPr>
          <w:rFonts w:ascii="Times New Roman" w:hAnsi="Times New Roman" w:eastAsia="Times New Roman" w:cs="Times New Roman"/>
        </w:rPr>
        <w:t xml:space="preserve"> </w:t>
      </w:r>
      <w:r>
        <w:rPr>
          <w:rFonts w:ascii="Myanmar Text" w:hAnsi="Myanmar Text" w:eastAsia="Myanmar Text" w:cs="Myanmar Text"/>
        </w:rPr>
        <w:t>နှစ်သိမ့်ခြင်းကို</w:t>
      </w:r>
      <w:r>
        <w:rPr>
          <w:rFonts w:ascii="Times New Roman" w:hAnsi="Times New Roman" w:eastAsia="Times New Roman" w:cs="Times New Roman"/>
        </w:rPr>
        <w:t xml:space="preserve"> </w:t>
      </w:r>
      <w:r>
        <w:rPr>
          <w:rFonts w:ascii="Myanmar Text" w:hAnsi="Myanmar Text" w:eastAsia="Myanmar Text" w:cs="Myanmar Text"/>
        </w:rPr>
        <w:t>ယူဆောင်လာမည့်</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တစ်စုံတစ်ရာအတိုင်းအတာအထိ</w:t>
      </w:r>
      <w:r>
        <w:rPr>
          <w:rFonts w:ascii="Times New Roman" w:hAnsi="Times New Roman" w:eastAsia="Times New Roman" w:cs="Times New Roman"/>
        </w:rPr>
        <w:t xml:space="preserve"> </w:t>
      </w:r>
      <w:r>
        <w:rPr>
          <w:rFonts w:ascii="Myanmar Text" w:hAnsi="Myanmar Text" w:eastAsia="Myanmar Text" w:cs="Myanmar Text"/>
        </w:rPr>
        <w:t>ပယ်ဖျက်ခံရလေ၏။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သြဇာလွှမ်းမိုးမှုရှိသော</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နှလုံးကို</w:t>
      </w:r>
      <w:r>
        <w:rPr>
          <w:rFonts w:ascii="Times New Roman" w:hAnsi="Times New Roman" w:eastAsia="Times New Roman" w:cs="Times New Roman"/>
        </w:rPr>
        <w:t xml:space="preserve"> </w:t>
      </w:r>
      <w:r>
        <w:rPr>
          <w:rFonts w:ascii="Myanmar Text" w:hAnsi="Myanmar Text" w:eastAsia="Myanmar Text" w:cs="Myanmar Text"/>
        </w:rPr>
        <w:t>ပိတ်ကာ၊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ပြောထားတော်မူသည့်အရာနှင့်</w:t>
      </w:r>
      <w:r>
        <w:rPr>
          <w:rFonts w:ascii="Times New Roman" w:hAnsi="Times New Roman" w:eastAsia="Times New Roman" w:cs="Times New Roman"/>
        </w:rPr>
        <w:t xml:space="preserve"> </w:t>
      </w:r>
      <w:r>
        <w:rPr>
          <w:rFonts w:ascii="Myanmar Text" w:hAnsi="Myanmar Text" w:eastAsia="Myanmar Text" w:cs="Myanmar Text"/>
        </w:rPr>
        <w:t>ဆန့်ကျင်ဘက်၌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အလိုကို</w:t>
      </w:r>
      <w:r>
        <w:rPr>
          <w:rFonts w:ascii="Times New Roman" w:hAnsi="Times New Roman" w:eastAsia="Times New Roman" w:cs="Times New Roman"/>
        </w:rPr>
        <w:t xml:space="preserve"> </w:t>
      </w:r>
      <w:r>
        <w:rPr>
          <w:rFonts w:ascii="Myanmar Text" w:hAnsi="Myanmar Text" w:eastAsia="Myanmar Text" w:cs="Myanmar Text"/>
        </w:rPr>
        <w:t>ထူထောင်ထားသည်နှင့်</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တောင့်တ၍</w:t>
      </w:r>
      <w:r>
        <w:rPr>
          <w:rFonts w:ascii="Times New Roman" w:hAnsi="Times New Roman" w:eastAsia="Times New Roman" w:cs="Times New Roman"/>
        </w:rPr>
        <w:t xml:space="preserve"> </w:t>
      </w:r>
      <w:r>
        <w:rPr>
          <w:rFonts w:ascii="Myanmar Text" w:hAnsi="Myanmar Text" w:eastAsia="Myanmar Text" w:cs="Myanmar Text"/>
        </w:rPr>
        <w:t>ဆုတောင်းလျက်ရှိခဲ့သူများထံမှ</w:t>
      </w:r>
      <w:r>
        <w:rPr>
          <w:rFonts w:ascii="Times New Roman" w:hAnsi="Times New Roman" w:eastAsia="Times New Roman" w:cs="Times New Roman"/>
        </w:rPr>
        <w:t xml:space="preserve"> </w:t>
      </w:r>
      <w:r>
        <w:rPr>
          <w:rFonts w:ascii="Myanmar Text" w:hAnsi="Myanmar Text" w:eastAsia="Myanmar Text" w:cs="Myanmar Text"/>
        </w:rPr>
        <w:t>ထိုအလင်းရောင်တန်းကို၊</w:t>
      </w:r>
      <w:r>
        <w:rPr>
          <w:rFonts w:ascii="Times New Roman" w:hAnsi="Times New Roman" w:eastAsia="Times New Roman" w:cs="Times New Roman"/>
        </w:rPr>
        <w:t xml:space="preserve"> </w:t>
      </w:r>
      <w:r>
        <w:rPr>
          <w:rFonts w:ascii="Myanmar Text" w:hAnsi="Myanmar Text" w:eastAsia="Myanmar Text" w:cs="Myanmar Text"/>
        </w:rPr>
        <w:t>အသက်ဝင်စေသော</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တောင့်တလျက်ရှိခဲ့သူများထံမှ၊</w:t>
      </w:r>
      <w:r>
        <w:rPr>
          <w:rFonts w:ascii="Times New Roman" w:hAnsi="Times New Roman" w:eastAsia="Times New Roman" w:cs="Times New Roman"/>
        </w:rPr>
        <w:t xml:space="preserve"> </w:t>
      </w:r>
      <w:r>
        <w:rPr>
          <w:rFonts w:ascii="Myanmar Text" w:hAnsi="Myanmar Text" w:eastAsia="Myanmar Text" w:cs="Myanmar Text"/>
        </w:rPr>
        <w:t>ဖယ်ရှားယူပစ်ရန်</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ကြိုးစားကြလိမ့်မည်။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အမှုထမ်းတို့ကို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ပြောဆိုခဲ့သော</w:t>
      </w:r>
      <w:r>
        <w:rPr>
          <w:rFonts w:ascii="Times New Roman" w:hAnsi="Times New Roman" w:eastAsia="Times New Roman" w:cs="Times New Roman"/>
        </w:rPr>
        <w:t xml:space="preserve"> </w:t>
      </w:r>
      <w:r>
        <w:rPr>
          <w:rFonts w:ascii="Myanmar Text" w:hAnsi="Myanmar Text" w:eastAsia="Myanmar Text" w:cs="Myanmar Text"/>
        </w:rPr>
        <w:t>ခက်ထန်သော၊</w:t>
      </w:r>
      <w:r>
        <w:rPr>
          <w:rFonts w:ascii="Times New Roman" w:hAnsi="Times New Roman" w:eastAsia="Times New Roman" w:cs="Times New Roman"/>
        </w:rPr>
        <w:t xml:space="preserve"> </w:t>
      </w:r>
      <w:r>
        <w:rPr>
          <w:rFonts w:ascii="Myanmar Text" w:hAnsi="Myanmar Text" w:eastAsia="Myanmar Text" w:cs="Myanmar Text"/>
        </w:rPr>
        <w:t>မာနကြီးသော၊</w:t>
      </w:r>
      <w:r>
        <w:rPr>
          <w:rFonts w:ascii="Times New Roman" w:hAnsi="Times New Roman" w:eastAsia="Times New Roman" w:cs="Times New Roman"/>
        </w:rPr>
        <w:t xml:space="preserve"> </w:t>
      </w:r>
      <w:r>
        <w:rPr>
          <w:rFonts w:ascii="Myanmar Text" w:hAnsi="Myanmar Text" w:eastAsia="Myanmar Text" w:cs="Myanmar Text"/>
        </w:rPr>
        <w:t>လှောင်ပြောင်သော</w:t>
      </w:r>
      <w:r>
        <w:rPr>
          <w:rFonts w:ascii="Times New Roman" w:hAnsi="Times New Roman" w:eastAsia="Times New Roman" w:cs="Times New Roman"/>
        </w:rPr>
        <w:t xml:space="preserve"> </w:t>
      </w:r>
      <w:r>
        <w:rPr>
          <w:rFonts w:ascii="Myanmar Text" w:hAnsi="Myanmar Text" w:eastAsia="Myanmar Text" w:cs="Myanmar Text"/>
        </w:rPr>
        <w:t>စကားအလုံးစုံကို</w:t>
      </w:r>
      <w:r>
        <w:rPr>
          <w:rFonts w:ascii="Times New Roman" w:hAnsi="Times New Roman" w:eastAsia="Times New Roman" w:cs="Times New Roman"/>
        </w:rPr>
        <w:t xml:space="preserve"> </w:t>
      </w:r>
      <w:r>
        <w:rPr>
          <w:rFonts w:ascii="Myanmar Text" w:hAnsi="Myanmar Text" w:eastAsia="Myanmar Text" w:cs="Myanmar Text"/>
        </w:rPr>
        <w:t>မိမိကိုယ်တိုင်ကို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ပြောဆိုခဲ့သကဲ့သို့</w:t>
      </w:r>
      <w:r>
        <w:rPr>
          <w:rFonts w:ascii="Times New Roman" w:hAnsi="Times New Roman" w:eastAsia="Times New Roman" w:cs="Times New Roman"/>
        </w:rPr>
        <w:t xml:space="preserve"> </w:t>
      </w:r>
      <w:r>
        <w:rPr>
          <w:rFonts w:ascii="Myanmar Text" w:hAnsi="Myanmar Text" w:eastAsia="Myanmar Text" w:cs="Myanmar Text"/>
        </w:rPr>
        <w:t>မှတ်တမ်းတင်ထားတော်မူပြီ။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«پیام فرشتهٔ سوم درک نخواهد شد، و نوری که زمین را با جلال خود روشن خواهد ساخت، از سوی کسانی که از گام برداشتن در جلالِ فزایندهٔ آن سر باز می‌زنند، نوری کاذب خوانده خواهد شد. کاری که می‌توانست انجام پذیرد، به سبب بی‌ایمانیِ طردکنندگانِ حقیقت، ناتمام رها خواهد شد. از شما که با نور حقیقت مخالفت می‌ورزید، استدعا می‌کنیم که از سرِ راهِ قوم خدا کنار روید. بگذارید نورِ آسمان‌فرست بر ایشان در پرتوهایی روشن و پایدار بتابد. خدا شما را که این نور به شما رسیده است، در قبال بهره‌ای که از آن می‌برید مسئول می‌داند. آنان که نمی‌خواهند بشنوند، مسئول شمرده خواهند شد؛ زیرا حقیقت در دسترس ایشان قرار داده شده است، اما آنان فرصت‌ها و امتیازات خویش را خوار شمردند. پیام‌هایی که حاملِ مُهرِ اعتبارِ الهی بودند، برای قوم خدا فرستاده شده است؛ جلال، کبریا، و عدالتِ مسیح، آکنده از نیکویی و راستی، عرضه گردیده است؛ پریِ الوهیت در عیسی مسیح در میان ما با زیبایی و دل‌انگیزی بیان شده است تا همهٔ آنان را که دل‌هایشان با تعصب بسته نشده بود، مجذوب سازد. ما می‌دانیم که خدا در میان ما عمل کرده است. ما دیده‌ایم که جان‌ها از گناه به سوی عدالت بازگشته‌اند. ما دیده‌ایم که ایمان در دل‌های توبه‌کنندگان احیا شده است. آیا ما همچون آن جذامیانِ شفا یافته خواهیم بود که راه خود را پیش گرفتند و تنها یکی بازگشت تا خدا را تمجید کند؟ بلکه بیایید از نیکویی او سخن بگوییم، و خدا را با دل، با قلم، و با آواز ستایش کنیم.»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cinquante-cinq</dc:title>
  <dc:subject>Wenda Pazia ya Kinabii: Ufunuo wa Gabrieli kwa Danieli</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