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cinquante-six</w:t>
      </w:r>
    </w:p>
    <w:p>
      <w:pPr>
        <w:pStyle w:val="ArticleSubtitle"/>
        <w:jc w:val="left"/>
      </w:pPr>
      <w:r>
        <w:rPr>
          <w:rFonts w:ascii="Arial" w:hAnsi="Arial" w:eastAsia="Arial" w:cs="Arial"/>
        </w:rPr>
        <w:t>Déverrouiller le mystère d’Apocalypse 17 : la prophétie finale de la grande prostituée et de la bête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Nirmala UI" w:hAnsi="Nirmala UI" w:eastAsia="Nirmala UI" w:cs="Nirmala UI"/>
        </w:rPr>
        <w:t>पवित्रशास्त्रको</w:t>
      </w:r>
      <w:r>
        <w:rPr>
          <w:rFonts w:ascii="Times New Roman" w:hAnsi="Times New Roman" w:eastAsia="Times New Roman" w:cs="Times New Roman"/>
        </w:rPr>
        <w:t xml:space="preserve"> </w:t>
      </w:r>
      <w:r>
        <w:rPr>
          <w:rFonts w:ascii="Nirmala UI" w:hAnsi="Nirmala UI" w:eastAsia="Nirmala UI" w:cs="Nirmala UI"/>
        </w:rPr>
        <w:t>भविष्यवाणीमा</w:t>
      </w:r>
      <w:r>
        <w:rPr>
          <w:rFonts w:ascii="Times New Roman" w:hAnsi="Times New Roman" w:eastAsia="Times New Roman" w:cs="Times New Roman"/>
        </w:rPr>
        <w:t xml:space="preserve"> </w:t>
      </w:r>
      <w:r>
        <w:rPr>
          <w:rFonts w:ascii="Nirmala UI" w:hAnsi="Nirmala UI" w:eastAsia="Nirmala UI" w:cs="Nirmala UI"/>
        </w:rPr>
        <w:t>राज्यहरूको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पुस्तकको</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अध्यायमा</w:t>
      </w:r>
      <w:r>
        <w:rPr>
          <w:rFonts w:ascii="Times New Roman" w:hAnsi="Times New Roman" w:eastAsia="Times New Roman" w:cs="Times New Roman"/>
        </w:rPr>
        <w:t xml:space="preserve"> </w:t>
      </w:r>
      <w:r>
        <w:rPr>
          <w:rFonts w:ascii="Nirmala UI" w:hAnsi="Nirmala UI" w:eastAsia="Nirmala UI" w:cs="Nirmala UI"/>
        </w:rPr>
        <w:t>पाइन्छ।</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अध्यायको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स्वर्गदूतले</w:t>
      </w:r>
      <w:r>
        <w:rPr>
          <w:rFonts w:ascii="Times New Roman" w:hAnsi="Times New Roman" w:eastAsia="Times New Roman" w:cs="Times New Roman"/>
        </w:rPr>
        <w:t xml:space="preserve"> </w:t>
      </w:r>
      <w:r>
        <w:rPr>
          <w:rFonts w:ascii="Nirmala UI" w:hAnsi="Nirmala UI" w:eastAsia="Nirmala UI" w:cs="Nirmala UI"/>
        </w:rPr>
        <w:t>यूहन्नालाई</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देखाउन</w:t>
      </w:r>
      <w:r>
        <w:rPr>
          <w:rFonts w:ascii="Times New Roman" w:hAnsi="Times New Roman" w:eastAsia="Times New Roman" w:cs="Times New Roman"/>
        </w:rPr>
        <w:t xml:space="preserve"> </w:t>
      </w:r>
      <w:r>
        <w:rPr>
          <w:rFonts w:ascii="Nirmala UI" w:hAnsi="Nirmala UI" w:eastAsia="Nirmala UI" w:cs="Nirmala UI"/>
        </w:rPr>
        <w:t>सकोस्</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उजाडस्थान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लगिन्छन्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पानीहरू</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बस्ने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राजाहरू</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हुन्।</w:t>
      </w:r>
    </w:p>
    <w:p>
      <w:pPr>
        <w:pStyle w:val="ArticleScripture"/>
        <w:jc w:val="left"/>
      </w:pPr>
      <w:r>
        <w:rPr>
          <w:rFonts w:ascii="Times New Roman" w:hAnsi="Times New Roman" w:eastAsia="Times New Roman" w:cs="Times New Roman"/>
        </w:rPr>
        <w:t>And one of the seven angels who had the seven vials came and spoke with me, saying to me, Come hither; I will show thee the judgment of the great whore who sitteth upon many waters: with whom the kings of the earth have committed fornication, and the inhabitants of the earth have been made drunk with the wine of her fornication. So he carried me away in the spirit into the wilderness: and I saw a woman sitting upon a scarlet-coloured beast, full of names of blasphemy, having seven heads and ten horns. Revelation 17:1–3.</w:t>
      </w:r>
    </w:p>
    <w:p>
      <w:pPr>
        <w:pStyle w:val="ArticleBody"/>
        <w:jc w:val="left"/>
      </w:pPr>
      <w:r>
        <w:rPr>
          <w:rFonts w:ascii="Leelawadee UI" w:hAnsi="Leelawadee UI" w:eastAsia="Leelawadee UI" w:cs="Leelawadee UI"/>
        </w:rPr>
        <w:t>ด้วยถ้อยคำของยอห์นเอง</w:t>
      </w:r>
      <w:r>
        <w:rPr>
          <w:rFonts w:ascii="Times New Roman" w:hAnsi="Times New Roman" w:eastAsia="Times New Roman" w:cs="Times New Roman"/>
        </w:rPr>
        <w:t xml:space="preserve"> “</w:t>
      </w:r>
      <w:r>
        <w:rPr>
          <w:rFonts w:ascii="Leelawadee UI" w:hAnsi="Leelawadee UI" w:eastAsia="Leelawadee UI" w:cs="Leelawadee UI"/>
        </w:rPr>
        <w:t>ถิ่นทุรกันดาร</w:t>
      </w:r>
      <w:r>
        <w:rPr>
          <w:rFonts w:ascii="Times New Roman" w:hAnsi="Times New Roman" w:eastAsia="Times New Roman" w:cs="Times New Roman"/>
        </w:rPr>
        <w:t xml:space="preserve">” </w:t>
      </w:r>
      <w:r>
        <w:rPr>
          <w:rFonts w:ascii="Leelawadee UI" w:hAnsi="Leelawadee UI" w:eastAsia="Leelawadee UI" w:cs="Leelawadee UI"/>
        </w:rPr>
        <w:t>เป็นสัญลักษณ์แทนระยะเวลาหนึ่งพันสองร้อยหกสิบปีแห่งการปกครองของสันตะปาปา</w:t>
      </w:r>
      <w:r>
        <w:rPr>
          <w:rFonts w:ascii="Times New Roman" w:hAnsi="Times New Roman" w:eastAsia="Times New Roman" w:cs="Times New Roman"/>
        </w:rPr>
        <w:t xml:space="preserve"> </w:t>
      </w:r>
      <w:r>
        <w:rPr>
          <w:rFonts w:ascii="Leelawadee UI" w:hAnsi="Leelawadee UI" w:eastAsia="Leelawadee UI" w:cs="Leelawadee UI"/>
        </w:rPr>
        <w:t>ตั้งแต่ปี</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538 </w:t>
      </w:r>
      <w:r>
        <w:rPr>
          <w:rFonts w:ascii="Leelawadee UI" w:hAnsi="Leelawadee UI" w:eastAsia="Leelawadee UI" w:cs="Leelawadee UI"/>
        </w:rPr>
        <w:t>จนถึงวาระสิ้นสุดในปี</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1798.</w:t>
      </w:r>
    </w:p>
    <w:p>
      <w:pPr>
        <w:pStyle w:val="ArticleScripture"/>
        <w:jc w:val="left"/>
      </w:pPr>
      <w:r>
        <w:rPr>
          <w:rFonts w:ascii="Times New Roman" w:hAnsi="Times New Roman" w:eastAsia="Times New Roman" w:cs="Times New Roman"/>
        </w:rPr>
        <w:t>Naag tunɖɔ yi gbedzi la me, afi si Mawu ɖo teƒe aɖe ɖi na e, be woaɖu nu na e le afima ŋkeke akpe ɖeka alafa eve kple blaenyi adre. … Eye woatsɔ dzogbenyui gã aɖe ƒe aʋalã eve na nyɔnu la, be wòatsi ade gbedzi la me, age eƒe teƒe la, afi si woana nu nɛ le ɣeyiɣi ɖeka kple ɣeyiɣiwo kple ɣeyiɣi aɖe ƒe afã, adzo le da la ƒe ŋkume. Nyaɖeɖefia 12:6, 14.</w:t>
      </w:r>
    </w:p>
    <w:p>
      <w:pPr>
        <w:pStyle w:val="ArticleBody"/>
        <w:jc w:val="left"/>
      </w:pPr>
      <w:r>
        <w:rPr>
          <w:rFonts w:ascii="Times New Roman" w:hAnsi="Times New Roman" w:eastAsia="Times New Roman" w:cs="Times New Roman"/>
        </w:rPr>
        <w:t>A cikin ruhu, an kai Yohanna zuwa cikin shekaru dubu ɗaya da ɗari biyu da sittin na mulkin papanci. Waɗannan shekarun an riga an misalta su ta hanyar shekaru uku da rabi na fari a lokacin tarihin Jezebel, Ahab, da Iliya. Waɗannan shekarun za su ci gaba har sai papanci ya karɓi rauni mai kisa a shekara ta 1798, gama an “ƙaddara” hakan ya faru a ƙarshen fushin farko, wato a ƙarshen yaƙin da aka kawo a kan Wuri Mai Tsarki da runduna ta wurin ƙarfi biyu masu hallakarwa na arna da papanci. Dukan waɗannan hujjoji an riga an gabatar da su a cikin makaloli na baya-bayan nan.</w:t>
      </w:r>
    </w:p>
    <w:p>
      <w:pPr>
        <w:pStyle w:val="ArticleBody"/>
        <w:jc w:val="left"/>
      </w:pPr>
      <w:r>
        <w:rPr>
          <w:rFonts w:ascii="Times New Roman" w:hAnsi="Times New Roman" w:eastAsia="Times New Roman" w:cs="Times New Roman"/>
        </w:rPr>
        <w:t>“kurva e madhe” është kurva e Tirit te Isaia, e cila duhej të harrohej për shtatëdhjetë vjet simbolikë, që ishin “ditët e një mbreti”. Historia e Shteteve të Bashkuara është historia e shtatëdhjetë viteve simbolike, të cilat ishin paratipizuar nga shtatëdhjetë vitet e robërisë gjatë mbretërimit të Babilonisë, mbretëria e parë e profecisë biblike. Gjatë asaj historie, kurva e madhe e Tirit duhej të harrohej. Në fund të asaj historie, ajo duhej të kujtohej dhe edhe një herë të dilte e të këndonte këngët e saj, duke kryer kështu kurvëri me mbretërit e tokës. Gjoni u bart në mënyrë shpirtërore në historinë e sundimit papnor, që të shihte gjykimin e pushtetit papnor. Gjykimi i një bije prifti që kryente kurvëri ishte që ajo të digjej me zjarr.</w:t>
      </w:r>
    </w:p>
    <w:p>
      <w:pPr>
        <w:pStyle w:val="ArticleScripture"/>
        <w:jc w:val="left"/>
      </w:pPr>
      <w:r>
        <w:rPr>
          <w:rFonts w:ascii="Times New Roman" w:hAnsi="Times New Roman" w:eastAsia="Times New Roman" w:cs="Times New Roman"/>
        </w:rPr>
        <w:t>Et la fille de tout sacrificateur, si elle se profane en se prostituant, elle profane son père : elle sera brûlée au feu. Lévitique 21:9.</w:t>
      </w:r>
    </w:p>
    <w:p>
      <w:pPr>
        <w:pStyle w:val="ArticleBody"/>
        <w:jc w:val="left"/>
      </w:pPr>
      <w:r>
        <w:rPr>
          <w:rFonts w:ascii="Times New Roman" w:hAnsi="Times New Roman" w:eastAsia="Times New Roman" w:cs="Times New Roman"/>
        </w:rPr>
        <w:t>Mitemaŋɔ laawol ndee laawol moƴƴiino mawɗo oo, ndee yoɓaande e cuɓoraaɗe septa ndee malaa’ikaajo gooto eɓɓinoowo gooto e nder septa balaaɓe sakkiiɓe hokki Yahaya, ko woni nde o huɗɗiraama yiite.</w:t>
      </w:r>
    </w:p>
    <w:p>
      <w:pPr>
        <w:pStyle w:val="ArticleScripture"/>
        <w:jc w:val="left"/>
      </w:pPr>
      <w:r>
        <w:rPr>
          <w:rFonts w:ascii="Times New Roman" w:hAnsi="Times New Roman" w:eastAsia="Times New Roman" w:cs="Times New Roman"/>
        </w:rPr>
        <w:t>Et les dix cornes que tu as vues sur la bête, celles-ci haïront la prostituée, la rendront déserte et nue, mangeront sa chair, et la consumeront par le feu. Apocalypse 17:16.</w:t>
      </w:r>
    </w:p>
    <w:p>
      <w:pPr>
        <w:pStyle w:val="ArticleBody"/>
        <w:jc w:val="left"/>
      </w:pPr>
      <w:r>
        <w:rPr>
          <w:rFonts w:ascii="Times New Roman" w:hAnsi="Times New Roman" w:eastAsia="Times New Roman" w:cs="Times New Roman"/>
        </w:rPr>
        <w:t>Les eaux sur lesquelles la grande prostituée est assise sont les peuples du monde, qui seront amenés sous son autorité lorsque les États-Unis séduiront le monde entier pour qu’il adore la bête, laquelle est aussi la grande prostituée. Les États-Unis deviennent alors le roi principal des dix rois représentés dans la prophétie d’Apocalypse dix-sept, et, dans cette illustration, les États-Unis représentent le premier roi à commettre la fornication avec la prostituée, bien qu’elle accomplisse ensuite cet acte avec tous les rois.</w:t>
      </w:r>
    </w:p>
    <w:p>
      <w:pPr>
        <w:pStyle w:val="ArticleBody"/>
        <w:jc w:val="left"/>
      </w:pPr>
      <w:r>
        <w:rPr>
          <w:rFonts w:ascii="Times New Roman" w:hAnsi="Times New Roman" w:eastAsia="Times New Roman" w:cs="Times New Roman"/>
        </w:rPr>
        <w:t>Перший цар із-поміж багатьох царів представлений Ахавом, який був одружений із великою блудницею, що в церкві Тіятири представлена як Єзавель. Суд над Єзавеллю (великою блудницею) звершується десятьма царями, яких силою Сполучених Штатів буде примушено до союзу церкви й держави. Ці царі погодяться дозволити папству панувати над світом (сидіти на водах), незважаючи на свою ненависть до блудниці.</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पाएगा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प्रभुओं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बुलाए</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बैठी</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भाषाएँ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नग्न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एकमत</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17:12–18</w:t>
      </w:r>
      <w:r>
        <w:rPr>
          <w:rFonts w:ascii="Nirmala UI" w:hAnsi="Nirmala UI" w:eastAsia="Nirmala UI" w:cs="Nirmala UI"/>
        </w:rPr>
        <w:t>।</w:t>
      </w:r>
    </w:p>
    <w:p>
      <w:pPr>
        <w:pStyle w:val="ArticleBody"/>
        <w:jc w:val="left"/>
      </w:pPr>
      <w:r>
        <w:rPr>
          <w:rFonts w:ascii="Times New Roman" w:hAnsi="Times New Roman" w:eastAsia="Times New Roman" w:cs="Times New Roman"/>
        </w:rPr>
        <w:t>Ang “sampung hari” (ang United Nations) ay talagang napopoot sa kapapahan, ngunit napipilit sila ng mga pangyayari na ipagkaloob ang kanilang panandaliang kaharian sa kapangyarihang papal sa walang kabuluhang pag-asang iligtas ang sanlibutan mula sa dumarami nitong mga kapahamakan. Nang mapagtanto nila ang kaniyang panlilinlang, sila ang nagiging kasangkapan upang sunugin siya sa apoy bilang katuparan ng kautusan sa Levitico.</w:t>
      </w:r>
    </w:p>
    <w:p>
      <w:pPr>
        <w:pStyle w:val="ArticleBody"/>
        <w:jc w:val="left"/>
      </w:pPr>
      <w:r>
        <w:rPr>
          <w:rFonts w:ascii="Times New Roman" w:hAnsi="Times New Roman" w:eastAsia="Times New Roman" w:cs="Times New Roman"/>
        </w:rPr>
        <w:t>“Dasa raja” itu “berperang melawan Anak Domba” melalui penganiayaan yang mereka timpakan atas umat Allah pada akhir zaman.</w:t>
      </w:r>
    </w:p>
    <w:p>
      <w:pPr>
        <w:pStyle w:val="ArticleScripture"/>
        <w:jc w:val="left"/>
      </w:pPr>
      <w:r>
        <w:rPr>
          <w:rFonts w:ascii="Times New Roman" w:hAnsi="Times New Roman" w:eastAsia="Times New Roman" w:cs="Times New Roman"/>
        </w:rPr>
        <w:t>Kwanini mataifa hufoka, na makabila huwaza ubatili? Wafalme wa dunia hujiweka tayari, na wakuu hufanya shauri pamoja, juu ya Bwana, na juu ya masihi wake, wakisema, Na tuvipasue vifungo vyao, na kuzitupa kamba zao mbali nasi. Yeye aketiye mbinguni atacheka; Bwana atawafanyia dhihaka. Ndipo atakaposema nao katika hasira yake, na kuwataabisha katika ghadhabu yake kali. Zaburi 2:1–5.</w:t>
      </w:r>
    </w:p>
    <w:p>
      <w:pPr>
        <w:pStyle w:val="ArticleBody"/>
        <w:jc w:val="left"/>
      </w:pPr>
      <w:r>
        <w:rPr>
          <w:rFonts w:ascii="Times New Roman" w:hAnsi="Times New Roman" w:eastAsia="Times New Roman" w:cs="Times New Roman"/>
        </w:rPr>
        <w:t>Ugutotezwa gukorerwa ubupapa n’abami bo mu isi, ni ko kwanakozwe no kuri Kristo ku musaraba.</w:t>
      </w:r>
    </w:p>
    <w:p>
      <w:pPr>
        <w:pStyle w:val="ArticleScripture"/>
        <w:jc w:val="left"/>
      </w:pPr>
      <w:r>
        <w:rPr>
          <w:rFonts w:ascii="Times New Roman" w:hAnsi="Times New Roman" w:eastAsia="Times New Roman" w:cs="Times New Roman"/>
        </w:rPr>
        <w:t>Ndi amene mwa pakamwa pa mtumiki wanu Davide munati, Chifukwa chiyani amitundu anakwiya, ndipo anthu anaganiza zinthu zopanda pake? Mafumu a dziko lapansi anaimirira, ndipo olamulira anasonkhana pamodzi motsutsana ndi Ambuye, ndi motsutsana ndi Khristu wake. Pakuti ndithu motsutsana ndi Mwana wanu woyera Yesu, amene munamdzoza, onse awiri Herode, ndi Pontiyo Pilato, pamodzi ndi Amitundu, ndi anthu a Israyeli, anasonkhana pamodzi, Kuti achite chilichonse chimene dzanja lanu ndi uphungu wanu zinatsimikiza kale kuti chichitidwe. Machitidwe 4:25–28.</w:t>
      </w:r>
    </w:p>
    <w:p>
      <w:pPr>
        <w:pStyle w:val="ArticleBody"/>
        <w:jc w:val="left"/>
      </w:pPr>
      <w:r>
        <w:rPr>
          <w:rFonts w:ascii="Times New Roman" w:hAnsi="Times New Roman" w:eastAsia="Times New Roman" w:cs="Times New Roman"/>
        </w:rPr>
        <w:t>“Abami b’isi” bahagurukiye kurwanya Kristo mu kubambwa kwe bagereranya “abami icumi” bo mu Byahishuwe igice cya cumi na karindwi, bongera kurwanya Umwana w’Intama batoteza ubwoko bwe. Ku musaraba, abo bami bari “iteraniro ry’ababi” “rigota” Kristo, kandi ni ko bongera kugenza no ku bwoko bwe bwo mu minsi y’imperuka.</w:t>
      </w:r>
    </w:p>
    <w:p>
      <w:pPr>
        <w:pStyle w:val="ArticleScripture"/>
        <w:jc w:val="left"/>
      </w:pPr>
      <w:r>
        <w:rPr>
          <w:rFonts w:ascii="Times New Roman" w:hAnsi="Times New Roman" w:eastAsia="Times New Roman" w:cs="Times New Roman"/>
        </w:rPr>
        <w:t>Nkịta agbakwala m gburugburu: nzukọ nke ndị ajọ omume emechiela m gburugburu: ha dụrọ aka m na ụkwụ m. Enwere m ike ịgụkọta ọkpụkpụ m niile: ha na-ele m, na-elekwasịkwa m anya. Ha kewara uwe m n’etiti ha, ma fere nza n’elu uwe mwụda m. Abụ Ọma 22:16–18.</w:t>
      </w:r>
    </w:p>
    <w:p>
      <w:pPr>
        <w:pStyle w:val="ArticleBody"/>
        <w:jc w:val="left"/>
      </w:pPr>
      <w:r>
        <w:rPr>
          <w:rFonts w:ascii="Times New Roman" w:hAnsi="Times New Roman" w:eastAsia="Times New Roman" w:cs="Times New Roman"/>
        </w:rPr>
        <w:t>Ang sampung hari, na nagdadala ng paghatol sa dakilang patutot, ay susunog sa kaniya sa apoy, sapagkat siya ay isang patutot na nagpapanggap na anak na babae ng isang saserdote. Ang mga haring iyon ay inilalarawan din bilang “mga aso,” at ang sampung hari ay hindi lamang susunog sa dakilang patutot sa apoy, kundi “kakainin” din ang kaniyang laman. Ang kamatayan ni Jezebel ay naganap nang siya ay ihagis mula sa pader at bumulagta sa lupa, at pagkatapos ay dumating ang mga aso at kinain ang kaniyang laman.</w:t>
      </w:r>
    </w:p>
    <w:p>
      <w:pPr>
        <w:pStyle w:val="ArticleScripture"/>
        <w:jc w:val="left"/>
      </w:pP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যিষ্রেয়েলে</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ঈষেবল</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শুনল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রঞ্জিত</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মাথা</w:t>
      </w:r>
      <w:r>
        <w:rPr>
          <w:rFonts w:ascii="Times New Roman" w:hAnsi="Times New Roman" w:eastAsia="Times New Roman" w:cs="Times New Roman"/>
        </w:rPr>
        <w:t xml:space="preserve"> </w:t>
      </w:r>
      <w:r>
        <w:rPr>
          <w:rFonts w:ascii="Nirmala UI" w:hAnsi="Nirmala UI" w:eastAsia="Nirmala UI" w:cs="Nirmala UI"/>
        </w:rPr>
        <w:t>অলঙ্কৃত</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জানালা</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বাইরে</w:t>
      </w:r>
      <w:r>
        <w:rPr>
          <w:rFonts w:ascii="Times New Roman" w:hAnsi="Times New Roman" w:eastAsia="Times New Roman" w:cs="Times New Roman"/>
        </w:rPr>
        <w:t xml:space="preserve"> </w:t>
      </w:r>
      <w:r>
        <w:rPr>
          <w:rFonts w:ascii="Nirmala UI" w:hAnsi="Nirmala UI" w:eastAsia="Nirmala UI" w:cs="Nirmala UI"/>
        </w:rPr>
        <w:t>তাকাল।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ফটক</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বলল</w:t>
      </w:r>
      <w:r>
        <w:rPr>
          <w:rFonts w:ascii="Times New Roman" w:hAnsi="Times New Roman" w:eastAsia="Times New Roman" w:cs="Times New Roman"/>
        </w:rPr>
        <w:t>, “</w:t>
      </w:r>
      <w:r>
        <w:rPr>
          <w:rFonts w:ascii="Nirmala UI" w:hAnsi="Nirmala UI" w:eastAsia="Nirmala UI" w:cs="Nirmala UI"/>
        </w:rPr>
        <w:t>যিম্রি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প্রভুকে</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শান্তি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জানালার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তাকিয়ে</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তিনজন</w:t>
      </w:r>
      <w:r>
        <w:rPr>
          <w:rFonts w:ascii="Times New Roman" w:hAnsi="Times New Roman" w:eastAsia="Times New Roman" w:cs="Times New Roman"/>
        </w:rPr>
        <w:t xml:space="preserve"> </w:t>
      </w:r>
      <w:r>
        <w:rPr>
          <w:rFonts w:ascii="Nirmala UI" w:hAnsi="Nirmala UI" w:eastAsia="Nirmala UI" w:cs="Nirmala UI"/>
        </w:rPr>
        <w:t>খোজা</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ঝুঁকে</w:t>
      </w:r>
      <w:r>
        <w:rPr>
          <w:rFonts w:ascii="Times New Roman" w:hAnsi="Times New Roman" w:eastAsia="Times New Roman" w:cs="Times New Roman"/>
        </w:rPr>
        <w:t xml:space="preserve"> </w:t>
      </w:r>
      <w:r>
        <w:rPr>
          <w:rFonts w:ascii="Nirmala UI" w:hAnsi="Nirmala UI" w:eastAsia="Nirmala UI" w:cs="Nirmala UI"/>
        </w:rPr>
        <w:t>তাকাল।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নিচে</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দাও।</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নিচে</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দিল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রক্ত</w:t>
      </w:r>
      <w:r>
        <w:rPr>
          <w:rFonts w:ascii="Times New Roman" w:hAnsi="Times New Roman" w:eastAsia="Times New Roman" w:cs="Times New Roman"/>
        </w:rPr>
        <w:t xml:space="preserve"> </w:t>
      </w:r>
      <w:r>
        <w:rPr>
          <w:rFonts w:ascii="Nirmala UI" w:hAnsi="Nirmala UI" w:eastAsia="Nirmala UI" w:cs="Nirmala UI"/>
        </w:rPr>
        <w:t>প্রাচীরে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ঘোড়াগুলোর</w:t>
      </w:r>
      <w:r>
        <w:rPr>
          <w:rFonts w:ascii="Times New Roman" w:hAnsi="Times New Roman" w:eastAsia="Times New Roman" w:cs="Times New Roman"/>
        </w:rPr>
        <w:t xml:space="preserve"> </w:t>
      </w:r>
      <w:r>
        <w:rPr>
          <w:rFonts w:ascii="Nirmala UI" w:hAnsi="Nirmala UI" w:eastAsia="Nirmala UI" w:cs="Nirmala UI"/>
        </w:rPr>
        <w:t>ওপর</w:t>
      </w:r>
      <w:r>
        <w:rPr>
          <w:rFonts w:ascii="Times New Roman" w:hAnsi="Times New Roman" w:eastAsia="Times New Roman" w:cs="Times New Roman"/>
        </w:rPr>
        <w:t xml:space="preserve"> </w:t>
      </w:r>
      <w:r>
        <w:rPr>
          <w:rFonts w:ascii="Nirmala UI" w:hAnsi="Nirmala UI" w:eastAsia="Nirmala UI" w:cs="Nirmala UI"/>
        </w:rPr>
        <w:t>ছিটকে</w:t>
      </w:r>
      <w:r>
        <w:rPr>
          <w:rFonts w:ascii="Times New Roman" w:hAnsi="Times New Roman" w:eastAsia="Times New Roman" w:cs="Times New Roman"/>
        </w:rPr>
        <w:t xml:space="preserve"> </w:t>
      </w:r>
      <w:r>
        <w:rPr>
          <w:rFonts w:ascii="Nirmala UI" w:hAnsi="Nirmala UI" w:eastAsia="Nirmala UI" w:cs="Nirmala UI"/>
        </w:rPr>
        <w:t>পড়ল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পদদলিত</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ভিতরে</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ভোজন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পান</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যাও</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অভিশপ্ত</w:t>
      </w:r>
      <w:r>
        <w:rPr>
          <w:rFonts w:ascii="Times New Roman" w:hAnsi="Times New Roman" w:eastAsia="Times New Roman" w:cs="Times New Roman"/>
        </w:rPr>
        <w:t xml:space="preserve"> </w:t>
      </w:r>
      <w:r>
        <w:rPr>
          <w:rFonts w:ascii="Nirmala UI" w:hAnsi="Nirmala UI" w:eastAsia="Nirmala UI" w:cs="Nirmala UI"/>
        </w:rPr>
        <w:t>নারীটিকে</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সমাধিস্থ</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রাজার</w:t>
      </w:r>
      <w:r>
        <w:rPr>
          <w:rFonts w:ascii="Times New Roman" w:hAnsi="Times New Roman" w:eastAsia="Times New Roman" w:cs="Times New Roman"/>
        </w:rPr>
        <w:t xml:space="preserve"> </w:t>
      </w:r>
      <w:r>
        <w:rPr>
          <w:rFonts w:ascii="Nirmala UI" w:hAnsi="Nirmala UI" w:eastAsia="Nirmala UI" w:cs="Nirmala UI"/>
        </w:rPr>
        <w:t>কন্যা।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সমাধিস্থ</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গেল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খুলিটি</w:t>
      </w:r>
      <w:r>
        <w:rPr>
          <w:rFonts w:ascii="Times New Roman" w:hAnsi="Times New Roman" w:eastAsia="Times New Roman" w:cs="Times New Roman"/>
        </w:rPr>
        <w:t xml:space="preserve">, </w:t>
      </w:r>
      <w:r>
        <w:rPr>
          <w:rFonts w:ascii="Nirmala UI" w:hAnsi="Nirmala UI" w:eastAsia="Nirmala UI" w:cs="Nirmala UI"/>
        </w:rPr>
        <w:t>পা</w:t>
      </w:r>
      <w:r>
        <w:rPr>
          <w:rFonts w:ascii="Times New Roman" w:hAnsi="Times New Roman" w:eastAsia="Times New Roman" w:cs="Times New Roman"/>
        </w:rPr>
        <w:t xml:space="preserve"> </w:t>
      </w:r>
      <w:r>
        <w:rPr>
          <w:rFonts w:ascii="Nirmala UI" w:hAnsi="Nirmala UI" w:eastAsia="Nirmala UI" w:cs="Nirmala UI"/>
        </w:rPr>
        <w:t>দু</w:t>
      </w:r>
      <w:r>
        <w:rPr>
          <w:rFonts w:ascii="Times New Roman" w:hAnsi="Times New Roman" w:eastAsia="Times New Roman" w:cs="Times New Roman"/>
        </w:rPr>
        <w:t>’</w:t>
      </w:r>
      <w:r>
        <w:rPr>
          <w:rFonts w:ascii="Nirmala UI" w:hAnsi="Nirmala UI" w:eastAsia="Nirmala UI" w:cs="Nirmala UI"/>
        </w:rPr>
        <w:t>টি</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হাতের</w:t>
      </w:r>
      <w:r>
        <w:rPr>
          <w:rFonts w:ascii="Times New Roman" w:hAnsi="Times New Roman" w:eastAsia="Times New Roman" w:cs="Times New Roman"/>
        </w:rPr>
        <w:t xml:space="preserve"> </w:t>
      </w:r>
      <w:r>
        <w:rPr>
          <w:rFonts w:ascii="Nirmala UI" w:hAnsi="Nirmala UI" w:eastAsia="Nirmala UI" w:cs="Nirmala UI"/>
        </w:rPr>
        <w:t>তালুগুলি</w:t>
      </w:r>
      <w:r>
        <w:rPr>
          <w:rFonts w:ascii="Times New Roman" w:hAnsi="Times New Roman" w:eastAsia="Times New Roman" w:cs="Times New Roman"/>
        </w:rPr>
        <w:t xml:space="preserve"> </w:t>
      </w:r>
      <w:r>
        <w:rPr>
          <w:rFonts w:ascii="Nirmala UI" w:hAnsi="Nirmala UI" w:eastAsia="Nirmala UI" w:cs="Nirmala UI"/>
        </w:rPr>
        <w:t>ছাড়া</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কিছুই</w:t>
      </w:r>
      <w:r>
        <w:rPr>
          <w:rFonts w:ascii="Times New Roman" w:hAnsi="Times New Roman" w:eastAsia="Times New Roman" w:cs="Times New Roman"/>
        </w:rPr>
        <w:t xml:space="preserve"> </w:t>
      </w:r>
      <w:r>
        <w:rPr>
          <w:rFonts w:ascii="Nirmala UI" w:hAnsi="Nirmala UI" w:eastAsia="Nirmala UI" w:cs="Nirmala UI"/>
        </w:rPr>
        <w:t>পেল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জানাল।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w:t>
      </w:r>
      <w:r>
        <w:rPr>
          <w:rFonts w:ascii="Nirmala UI" w:hAnsi="Nirmala UI" w:eastAsia="Nirmala UI" w:cs="Nirmala UI"/>
        </w:rPr>
        <w:t>এটাই</w:t>
      </w:r>
      <w:r>
        <w:rPr>
          <w:rFonts w:ascii="Times New Roman" w:hAnsi="Times New Roman" w:eastAsia="Times New Roman" w:cs="Times New Roman"/>
        </w:rPr>
        <w:t xml:space="preserve"> </w:t>
      </w:r>
      <w:r>
        <w:rPr>
          <w:rFonts w:ascii="Nirmala UI" w:hAnsi="Nirmala UI" w:eastAsia="Nirmala UI" w:cs="Nirmala UI"/>
        </w:rPr>
        <w:t>সদাপ্রভুর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দাস</w:t>
      </w:r>
      <w:r>
        <w:rPr>
          <w:rFonts w:ascii="Times New Roman" w:hAnsi="Times New Roman" w:eastAsia="Times New Roman" w:cs="Times New Roman"/>
        </w:rPr>
        <w:t xml:space="preserve"> </w:t>
      </w:r>
      <w:r>
        <w:rPr>
          <w:rFonts w:ascii="Nirmala UI" w:hAnsi="Nirmala UI" w:eastAsia="Nirmala UI" w:cs="Nirmala UI"/>
        </w:rPr>
        <w:t>তিশ্বীয়</w:t>
      </w:r>
      <w:r>
        <w:rPr>
          <w:rFonts w:ascii="Times New Roman" w:hAnsi="Times New Roman" w:eastAsia="Times New Roman" w:cs="Times New Roman"/>
        </w:rPr>
        <w:t xml:space="preserve"> </w:t>
      </w:r>
      <w:r>
        <w:rPr>
          <w:rFonts w:ascii="Nirmala UI" w:hAnsi="Nirmala UI" w:eastAsia="Nirmala UI" w:cs="Nirmala UI"/>
        </w:rPr>
        <w:t>এলিয়ের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বলেছিলেন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w:t>
      </w:r>
      <w:r>
        <w:rPr>
          <w:rFonts w:ascii="Nirmala UI" w:hAnsi="Nirmala UI" w:eastAsia="Nirmala UI" w:cs="Nirmala UI"/>
        </w:rPr>
        <w:t>যিষ্রেয়েলের</w:t>
      </w:r>
      <w:r>
        <w:rPr>
          <w:rFonts w:ascii="Times New Roman" w:hAnsi="Times New Roman" w:eastAsia="Times New Roman" w:cs="Times New Roman"/>
        </w:rPr>
        <w:t xml:space="preserve"> </w:t>
      </w:r>
      <w:r>
        <w:rPr>
          <w:rFonts w:ascii="Nirmala UI" w:hAnsi="Nirmala UI" w:eastAsia="Nirmala UI" w:cs="Nirmala UI"/>
        </w:rPr>
        <w:t>অঞ্চলে</w:t>
      </w:r>
      <w:r>
        <w:rPr>
          <w:rFonts w:ascii="Times New Roman" w:hAnsi="Times New Roman" w:eastAsia="Times New Roman" w:cs="Times New Roman"/>
        </w:rPr>
        <w:t xml:space="preserve"> </w:t>
      </w:r>
      <w:r>
        <w:rPr>
          <w:rFonts w:ascii="Nirmala UI" w:hAnsi="Nirmala UI" w:eastAsia="Nirmala UI" w:cs="Nirmala UI"/>
        </w:rPr>
        <w:t>কুকুরেরা</w:t>
      </w:r>
      <w:r>
        <w:rPr>
          <w:rFonts w:ascii="Times New Roman" w:hAnsi="Times New Roman" w:eastAsia="Times New Roman" w:cs="Times New Roman"/>
        </w:rPr>
        <w:t xml:space="preserve"> </w:t>
      </w:r>
      <w:r>
        <w:rPr>
          <w:rFonts w:ascii="Nirmala UI" w:hAnsi="Nirmala UI" w:eastAsia="Nirmala UI" w:cs="Nirmala UI"/>
        </w:rPr>
        <w:t>ঈষেবলের</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ভক্ষণ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যিষ্রেয়েলের</w:t>
      </w:r>
      <w:r>
        <w:rPr>
          <w:rFonts w:ascii="Times New Roman" w:hAnsi="Times New Roman" w:eastAsia="Times New Roman" w:cs="Times New Roman"/>
        </w:rPr>
        <w:t xml:space="preserve"> </w:t>
      </w:r>
      <w:r>
        <w:rPr>
          <w:rFonts w:ascii="Nirmala UI" w:hAnsi="Nirmala UI" w:eastAsia="Nirmala UI" w:cs="Nirmala UI"/>
        </w:rPr>
        <w:t>অঞ্চলে</w:t>
      </w:r>
      <w:r>
        <w:rPr>
          <w:rFonts w:ascii="Times New Roman" w:hAnsi="Times New Roman" w:eastAsia="Times New Roman" w:cs="Times New Roman"/>
        </w:rPr>
        <w:t xml:space="preserve"> </w:t>
      </w:r>
      <w:r>
        <w:rPr>
          <w:rFonts w:ascii="Nirmala UI" w:hAnsi="Nirmala UI" w:eastAsia="Nirmala UI" w:cs="Nirmala UI"/>
        </w:rPr>
        <w:t>ক্ষেত্রের</w:t>
      </w:r>
      <w:r>
        <w:rPr>
          <w:rFonts w:ascii="Times New Roman" w:hAnsi="Times New Roman" w:eastAsia="Times New Roman" w:cs="Times New Roman"/>
        </w:rPr>
        <w:t xml:space="preserve"> </w:t>
      </w:r>
      <w:r>
        <w:rPr>
          <w:rFonts w:ascii="Nirmala UI" w:hAnsi="Nirmala UI" w:eastAsia="Nirmala UI" w:cs="Nirmala UI"/>
        </w:rPr>
        <w:t>উপরিভাগে</w:t>
      </w:r>
      <w:r>
        <w:rPr>
          <w:rFonts w:ascii="Times New Roman" w:hAnsi="Times New Roman" w:eastAsia="Times New Roman" w:cs="Times New Roman"/>
        </w:rPr>
        <w:t xml:space="preserve"> </w:t>
      </w:r>
      <w:r>
        <w:rPr>
          <w:rFonts w:ascii="Nirmala UI" w:hAnsi="Nirmala UI" w:eastAsia="Nirmala UI" w:cs="Nirmala UI"/>
        </w:rPr>
        <w:t>ঈষেবলের</w:t>
      </w:r>
      <w:r>
        <w:rPr>
          <w:rFonts w:ascii="Times New Roman" w:hAnsi="Times New Roman" w:eastAsia="Times New Roman" w:cs="Times New Roman"/>
        </w:rPr>
        <w:t xml:space="preserve"> </w:t>
      </w:r>
      <w:r>
        <w:rPr>
          <w:rFonts w:ascii="Nirmala UI" w:hAnsi="Nirmala UI" w:eastAsia="Nirmala UI" w:cs="Nirmala UI"/>
        </w:rPr>
        <w:t>মৃতদেহ</w:t>
      </w:r>
      <w:r>
        <w:rPr>
          <w:rFonts w:ascii="Times New Roman" w:hAnsi="Times New Roman" w:eastAsia="Times New Roman" w:cs="Times New Roman"/>
        </w:rPr>
        <w:t xml:space="preserve"> </w:t>
      </w:r>
      <w:r>
        <w:rPr>
          <w:rFonts w:ascii="Nirmala UI" w:hAnsi="Nirmala UI" w:eastAsia="Nirmala UI" w:cs="Nirmala UI"/>
        </w:rPr>
        <w:t>গোবরের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বলতে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ঈষেবল।</w:t>
      </w:r>
      <w:r>
        <w:rPr>
          <w:rFonts w:ascii="Times New Roman" w:hAnsi="Times New Roman" w:eastAsia="Times New Roman" w:cs="Times New Roman"/>
        </w:rPr>
        <w:t xml:space="preserve">’” </w:t>
      </w:r>
      <w:r>
        <w:rPr>
          <w:rFonts w:ascii="Nirmala UI" w:hAnsi="Nirmala UI" w:eastAsia="Nirmala UI" w:cs="Nirmala UI"/>
        </w:rPr>
        <w:t>২</w:t>
      </w:r>
      <w:r>
        <w:rPr>
          <w:rFonts w:ascii="Times New Roman" w:hAnsi="Times New Roman" w:eastAsia="Times New Roman" w:cs="Times New Roman"/>
        </w:rPr>
        <w:t xml:space="preserve"> </w:t>
      </w:r>
      <w:r>
        <w:rPr>
          <w:rFonts w:ascii="Nirmala UI" w:hAnsi="Nirmala UI" w:eastAsia="Nirmala UI" w:cs="Nirmala UI"/>
        </w:rPr>
        <w:t>রাজাবলি</w:t>
      </w:r>
      <w:r>
        <w:rPr>
          <w:rFonts w:ascii="Times New Roman" w:hAnsi="Times New Roman" w:eastAsia="Times New Roman" w:cs="Times New Roman"/>
        </w:rPr>
        <w:t xml:space="preserve"> </w:t>
      </w:r>
      <w:r>
        <w:rPr>
          <w:rFonts w:ascii="Nirmala UI" w:hAnsi="Nirmala UI" w:eastAsia="Nirmala UI" w:cs="Nirmala UI"/>
        </w:rPr>
        <w:t>৯</w:t>
      </w:r>
      <w:r>
        <w:rPr>
          <w:rFonts w:ascii="Times New Roman" w:hAnsi="Times New Roman" w:eastAsia="Times New Roman" w:cs="Times New Roman"/>
        </w:rPr>
        <w:t>:</w:t>
      </w:r>
      <w:r>
        <w:rPr>
          <w:rFonts w:ascii="Nirmala UI" w:hAnsi="Nirmala UI" w:eastAsia="Nirmala UI" w:cs="Nirmala UI"/>
        </w:rPr>
        <w:t>৩০</w:t>
      </w:r>
      <w:r>
        <w:rPr>
          <w:rFonts w:ascii="Times New Roman" w:hAnsi="Times New Roman" w:eastAsia="Times New Roman" w:cs="Times New Roman"/>
        </w:rPr>
        <w:t>–</w:t>
      </w:r>
      <w:r>
        <w:rPr>
          <w:rFonts w:ascii="Nirmala UI" w:hAnsi="Nirmala UI" w:eastAsia="Nirmala UI" w:cs="Nirmala UI"/>
        </w:rPr>
        <w:t>৩৭।</w:t>
      </w:r>
    </w:p>
    <w:p>
      <w:pPr>
        <w:pStyle w:val="ArticleBody"/>
        <w:jc w:val="left"/>
      </w:pPr>
      <w:r>
        <w:rPr>
          <w:rFonts w:ascii="Times New Roman" w:hAnsi="Times New Roman" w:eastAsia="Times New Roman" w:cs="Times New Roman"/>
        </w:rPr>
        <w:t>Diez reis, wat die Verenigde Nasies is, wie se voorste reis die Verenigde State is, sal oordeel oor die pousdom bring deur haar met vuur te verbrand en haar vlees te eet. Daardie oordeel is wat die engel gekom het om aan Johannes te toon, en om dit te doen het hy Johannes in die geskiedenis van die woestyn ingedra, maar nie bloot na ’n willekeurige punt in die geskiedenis van die woestyn nie, maar tot by die einste einde van die tydperk. Dit is duidelik dat Johannes aan die einde van die duisend twee honderd en sestig jaar geplaas is, want toe hy die vrou sien, was sy reeds dronk van die bloed van vervolging en reeds geïdentifiseer as die moeder van die hoere.</w:t>
      </w:r>
    </w:p>
    <w:p>
      <w:pPr>
        <w:pStyle w:val="ArticleScripture"/>
        <w:jc w:val="left"/>
      </w:pPr>
      <w:r>
        <w:rPr>
          <w:rFonts w:ascii="Times New Roman" w:hAnsi="Times New Roman" w:eastAsia="Times New Roman" w:cs="Times New Roman"/>
        </w:rPr>
        <w:t>Puis il me transporta en esprit dans un désert ; et je vis une femme assise sur une bête de couleur écarlate, pleine de noms de blasphème, ayant sept têtes et dix cornes. Et la femme était vêtue de pourpre et d’écarlate, parée d’or, de pierres précieuses et de perles, tenant à la main une coupe d’or, pleine des abominations et des impuretés de sa fornication. Et sur son front était écrit un nom : MYSTÈRE, BABYLONE LA GRANDE, LA MÈRE DES PROSTITUÉES ET DES ABOMINATIONS DE LA TERRE. Et je vis la femme ivre du sang des saints et du sang des martyrs de Jésus ; et, quand je la vis, je fus saisi d’un grand étonnement. Apocalypse 17:3–6.</w:t>
      </w:r>
    </w:p>
    <w:p>
      <w:pPr>
        <w:pStyle w:val="ArticleBody"/>
        <w:jc w:val="left"/>
      </w:pPr>
      <w:r>
        <w:rPr>
          <w:rFonts w:ascii="Times New Roman" w:hAnsi="Times New Roman" w:eastAsia="Times New Roman" w:cs="Times New Roman"/>
        </w:rPr>
        <w:t>UMalaya waseTire, naye lowo “malaya omkhulu” ovezwa kusAmbulo seShumi nesikhombisa, wayezakhohlakala kuze kube yisikhathi lapho eyophinde ahlabelele khona izingoma zakhe, enze ubufebe namakhosi omhlaba.</w:t>
      </w:r>
    </w:p>
    <w:p>
      <w:pPr>
        <w:pStyle w:val="ArticleBody"/>
        <w:jc w:val="left"/>
      </w:pPr>
      <w:r>
        <w:rPr>
          <w:rFonts w:ascii="Times New Roman" w:hAnsi="Times New Roman" w:eastAsia="Times New Roman" w:cs="Times New Roman"/>
        </w:rPr>
        <w:t>Tout dictionnaire de bonne réputation publié avant 1950 indique que la femme vêtue d’écarlate dans Apocalypse dix-sept est un symbole de l’Église catholique romaine ; mais aujourd’hui le monde considère l’Église catholique comme une Église chrétienne. Le monde a oublié qui elle est réellement.</w:t>
      </w:r>
    </w:p>
    <w:p>
      <w:pPr>
        <w:pStyle w:val="ArticleBody"/>
        <w:jc w:val="left"/>
      </w:pPr>
      <w:r>
        <w:rPr>
          <w:rFonts w:ascii="Times New Roman" w:hAnsi="Times New Roman" w:eastAsia="Times New Roman" w:cs="Times New Roman"/>
        </w:rPr>
        <w:t>Pan Yohan ba ne no, na Ɔsrease Bere Tuntum no mu ɔtaa no aba awiei dedaw, efisɛ na waboro ahotefo no mogya dedaw. Nea ɛwɔ abɔde mu no kyerɛ nea ɛyɛ honhom mu, na onipa boro bere a wanom akyi, na ɛnyɛ ansa na wanom.</w:t>
      </w:r>
    </w:p>
    <w:p>
      <w:pPr>
        <w:pStyle w:val="ArticleBody"/>
        <w:jc w:val="left"/>
      </w:pPr>
      <w:r>
        <w:rPr>
          <w:rFonts w:ascii="Times New Roman" w:hAnsi="Times New Roman" w:eastAsia="Times New Roman" w:cs="Times New Roman"/>
        </w:rPr>
        <w:t>Les protestants qui s’étaient séparés du catholicisme des siècles avant 1798 avaient déjà commencé, dès 1798, leur retour vers la communion catholique, car elle était désignée comme la « MÈRE DES PROSTITUÉES ». Lorsque Jean la vit et s’en étonna, les Églises qui s’étaient autrefois séparées de sa communion y étaient déjà revenues. Ainsi, Jean fut transporté jusqu’en 1798, lorsque la grande prostituée avait déjà fait périr des millions de chrétiens et avait déjà séduit les anciennes Églises protestantes pour leur faire accepter sa prétention présomptueuse d’être la tête des Églises, comme Justinien l’avait désignée en l’an 533.</w:t>
      </w:r>
    </w:p>
    <w:p>
      <w:pPr>
        <w:pStyle w:val="ArticleBody"/>
        <w:jc w:val="left"/>
      </w:pPr>
      <w:r>
        <w:rPr>
          <w:rFonts w:ascii="Times New Roman" w:hAnsi="Times New Roman" w:eastAsia="Times New Roman" w:cs="Times New Roman"/>
        </w:rPr>
        <w:t>Lati nan pwen de vi pwofetik 1798 la, zanj lan te prezante Jan lè sa a dènye reprezantasyon wayòm yo nan pwofesi Bib la.</w:t>
      </w:r>
    </w:p>
    <w:p>
      <w:pPr>
        <w:pStyle w:val="ArticleScripture"/>
        <w:jc w:val="left"/>
      </w:pPr>
      <w:r>
        <w:rPr>
          <w:rFonts w:ascii="Times New Roman" w:hAnsi="Times New Roman" w:eastAsia="Times New Roman" w:cs="Times New Roman"/>
        </w:rPr>
        <w:t>Malaikat itu berkata kepadaku, “Mengapa engkau heran? Aku akan memberitahukan kepadamu rahasia perempuan itu, dan rahasia binatang yang mengangkut dia, yang mempunyai tujuh kepala dan sepuluh tanduk. Binatang yang telah kaulihat itu pernah ada, namun sekarang tidak ada; tetapi ia akan naik dari jurang maut dan akan masuk ke dalam kebinasaan. Dan mereka yang diam di atas bumi akan heran, yaitu mereka yang namanya tidak tertulis di dalam kitab kehidupan sejak dunia dijadikan, ketika mereka melihat binatang itu, yang pernah ada dan sekarang tidak ada, namun akan ada lagi. Yang penting di sini ialah akal yang mengandung hikmat. Ketujuh kepala itu adalah tujuh gunung, yang di atasnya perempuan itu duduk. Dan mereka juga adalah tujuh raja: lima sudah jatuh, yang satu ada, dan yang lain belum datang, dan apabila ia datang, ia harus tinggal seketika saja. Dan binatang yang pernah ada dan sekarang tidak ada itu, ia sendiri adalah raja yang kedelapan, namun ia termasuk ketujuh itu dan ia menuju kepada kebinasaan. Dan kesepuluh tanduk yang telah kaulihat itu adalah sepuluh raja, yang belum menerima kerajaan, tetapi yang akan menerima kuasa sebagai raja selama satu jam bersama-sama dengan binatang itu.” Wahyu 17:7–12.</w:t>
      </w:r>
    </w:p>
    <w:p>
      <w:pPr>
        <w:pStyle w:val="ArticleBody"/>
        <w:jc w:val="left"/>
      </w:pPr>
      <w:r>
        <w:rPr>
          <w:rFonts w:ascii="Times New Roman" w:hAnsi="Times New Roman" w:eastAsia="Times New Roman" w:cs="Times New Roman"/>
        </w:rPr>
        <w:t>Dans la prophétie biblique, une bête représente un royaume, comme on l’identifie aisément dans les chapitres sept et huit de Daniel, et le mystère que l’ange présente à Jean est le mystère de la bête et de la femme qui est assise sur la bête. La femme assise sur la bête est la grande prostituée qui se livre à l’impudicité avec les rois de la terre. Elle est Jézabel, et son mari est Achab.</w:t>
      </w:r>
    </w:p>
    <w:p>
      <w:pPr>
        <w:pStyle w:val="ArticleScripture"/>
        <w:jc w:val="left"/>
      </w:pPr>
      <w:r>
        <w:rPr>
          <w:rFonts w:ascii="Times New Roman" w:hAnsi="Times New Roman" w:eastAsia="Times New Roman" w:cs="Times New Roman"/>
        </w:rPr>
        <w:t>Por tanto, dejará el hombre a su padre y a su madre, y se unirá a su mujer; y serán una sola carne. Génesis 2:24.</w:t>
      </w:r>
    </w:p>
    <w:p>
      <w:pPr>
        <w:pStyle w:val="ArticleBody"/>
        <w:jc w:val="left"/>
      </w:pPr>
      <w:r>
        <w:rPr>
          <w:rFonts w:ascii="Times New Roman" w:hAnsi="Times New Roman" w:eastAsia="Times New Roman" w:cs="Times New Roman"/>
        </w:rPr>
        <w:t>Muntu ya mobali azali mobali mpe mwasi azali mwasi, kasi elongo bazali mosuni moko. Libombami ya nyama ezali ete ezali bosangani ya Lingomba mpe ya Leta, bosangani ya mwasi (Lingomba) mpe ya nyama (bakonzi) oyo bazali bokonzi moko, oyo ezali na biteni mibale. Mayele ya bokonzi ya Leta mpe mayele ya bokonzi ya Lingomba, esangani, elongo na mwasi oyo azali na bokonzi likoló ya boyokani yango, ezali “elilingi ya nyama.” Yoane amonisami mwasi wana azali komemama na nyama, mpo ye nde azali na bokonzi likoló ya boyokani yango.</w:t>
      </w:r>
    </w:p>
    <w:p>
      <w:pPr>
        <w:pStyle w:val="ArticleScripture"/>
        <w:jc w:val="left"/>
      </w:pPr>
      <w:r>
        <w:rPr>
          <w:rFonts w:ascii="Leelawadee UI" w:hAnsi="Leelawadee UI" w:eastAsia="Leelawadee UI" w:cs="Leelawadee UI"/>
        </w:rPr>
        <w:t>ហើយស្ត្រីដែលអ្នកបានឃើញនោះ</w:t>
      </w:r>
      <w:r>
        <w:rPr>
          <w:rFonts w:ascii="Times New Roman" w:hAnsi="Times New Roman" w:eastAsia="Times New Roman" w:cs="Times New Roman"/>
        </w:rPr>
        <w:t xml:space="preserve"> </w:t>
      </w:r>
      <w:r>
        <w:rPr>
          <w:rFonts w:ascii="Leelawadee UI" w:hAnsi="Leelawadee UI" w:eastAsia="Leelawadee UI" w:cs="Leelawadee UI"/>
        </w:rPr>
        <w:t>គឺជាក្រុងធំនោះឯង</w:t>
      </w:r>
      <w:r>
        <w:rPr>
          <w:rFonts w:ascii="Times New Roman" w:hAnsi="Times New Roman" w:eastAsia="Times New Roman" w:cs="Times New Roman"/>
        </w:rPr>
        <w:t xml:space="preserve"> </w:t>
      </w:r>
      <w:r>
        <w:rPr>
          <w:rFonts w:ascii="Leelawadee UI" w:hAnsi="Leelawadee UI" w:eastAsia="Leelawadee UI" w:cs="Leelawadee UI"/>
        </w:rPr>
        <w:t>ដែលគ្រប់គ្រងលើស្តេចទាំងឡាយនៃផែនដី។</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17:18</w:t>
      </w:r>
      <w:r>
        <w:rPr>
          <w:rFonts w:ascii="Leelawadee UI" w:hAnsi="Leelawadee UI" w:eastAsia="Leelawadee UI" w:cs="Leelawadee UI"/>
        </w:rPr>
        <w:t>។</w:t>
      </w:r>
    </w:p>
    <w:p>
      <w:pPr>
        <w:pStyle w:val="ArticleBody"/>
        <w:jc w:val="left"/>
      </w:pPr>
      <w:r>
        <w:rPr>
          <w:rFonts w:ascii="Times New Roman" w:hAnsi="Times New Roman" w:eastAsia="Times New Roman" w:cs="Times New Roman"/>
        </w:rPr>
        <w:t>Ensemble, la bête et la femme représentent un seul royaume (une seule chair), mais l’ange met l’accent sur la relation de la grande prostituée avec les rois de la terre. « La bête qui » « était, et n’est plus », qui « doit monter de l’abîme, et aller à la perdition », et devant laquelle « les habitants de la terre seront dans l’étonnement », c’est la papauté lorsque la plaie mortelle de la grande prostituée est guérie. Elle « était » le cinquième royaume de la prophétie biblique, mais il fut « déterminé » qu’elle recevrait une plaie mortelle en 1798.</w:t>
      </w:r>
    </w:p>
    <w:p>
      <w:pPr>
        <w:pStyle w:val="ArticleBody"/>
        <w:jc w:val="left"/>
      </w:pPr>
      <w:r>
        <w:rPr>
          <w:rFonts w:ascii="Times New Roman" w:hAnsi="Times New Roman" w:eastAsia="Times New Roman" w:cs="Times New Roman"/>
        </w:rPr>
        <w:t>Khi Giăng được đem đi trong thần trí đến năm 1798, nó “không phải là” một con thú; nhưng “sẽ hiện có” trở lại khi vết thương chí mạng của nó được chữa lành vào cuối bảy mươi năm biểu tượng, kết thúc nơi luật ngày Chúa nhật sắp đến; bấy giờ nó “lại là,” sống động, hát những bài ca của nó, phạm sự tà dâm, và giết hại các Cơ Đốc nhân.</w:t>
      </w:r>
    </w:p>
    <w:p>
      <w:pPr>
        <w:pStyle w:val="ArticleBody"/>
        <w:jc w:val="left"/>
      </w:pPr>
      <w:r>
        <w:rPr>
          <w:rFonts w:ascii="Times New Roman" w:hAnsi="Times New Roman" w:eastAsia="Times New Roman" w:cs="Times New Roman"/>
        </w:rPr>
        <w:t>Isahluko seshumi nesikhombisa siyisethulo sokugcina semibuso yesiprofetho seBhayibheli, ngakho-ke kufanele sivumelane nokukhulunywa kokuqala kwaleyo mibuso yesiprofetho seBhayibheli. Ukukhulunywa kokuqala kwaleyo mibuso kutholakala kuDaniyeli isahluko sesibili, okuboniswe kuwo womabili amashadi ayeyigcwaliseko lomyalo kaHabakuki wokuba kulotshwe umbono futhi wenziwe ucace ematafuleni.</w:t>
      </w:r>
    </w:p>
    <w:p>
      <w:pPr>
        <w:pStyle w:val="ArticleBody"/>
        <w:jc w:val="left"/>
      </w:pPr>
      <w:r>
        <w:rPr>
          <w:rFonts w:ascii="Times New Roman" w:hAnsi="Times New Roman" w:eastAsia="Times New Roman" w:cs="Times New Roman"/>
        </w:rPr>
        <w:t>Milleritene hadde rett i sin forståelse av Daniels riker i Bibelens profeti, slik de er fremstilt i kapittel to, sju og åtte, men deres forståelse var ufullstendig. Millers juvel i Daniel kapittel to skinner ti ganger klarere i de siste dager, for den er erkjent som identifiserende ikke bare den første henvisningen til rikene i Bibelens profeti, men også den første henvisningen i åpenbaringen om at den åttende er av de sju. Jesus fremstiller alltid enden på en ting ved begynnelsen på en ting.</w:t>
      </w:r>
    </w:p>
    <w:p>
      <w:pPr>
        <w:pStyle w:val="ArticleBody"/>
        <w:jc w:val="left"/>
      </w:pP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নবীই</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বিষয়েই</w:t>
      </w:r>
      <w:r>
        <w:rPr>
          <w:rFonts w:ascii="Times New Roman" w:hAnsi="Times New Roman" w:eastAsia="Times New Roman" w:cs="Times New Roman"/>
        </w:rPr>
        <w:t xml:space="preserve"> </w:t>
      </w:r>
      <w:r>
        <w:rPr>
          <w:rFonts w:ascii="Nirmala UI" w:hAnsi="Nirmala UI" w:eastAsia="Nirmala UI" w:cs="Nirmala UI"/>
        </w:rPr>
        <w:t>বলছেন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সতেরো</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পশুকে</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অতল</w:t>
      </w:r>
      <w:r>
        <w:rPr>
          <w:rFonts w:ascii="Times New Roman" w:hAnsi="Times New Roman" w:eastAsia="Times New Roman" w:cs="Times New Roman"/>
        </w:rPr>
        <w:t xml:space="preserve"> </w:t>
      </w:r>
      <w:r>
        <w:rPr>
          <w:rFonts w:ascii="Nirmala UI" w:hAnsi="Nirmala UI" w:eastAsia="Nirmala UI" w:cs="Nirmala UI"/>
        </w:rPr>
        <w:t>গহ্বর</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উঠিবে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বিনাশে</w:t>
      </w:r>
      <w:r>
        <w:rPr>
          <w:rFonts w:ascii="Times New Roman" w:hAnsi="Times New Roman" w:eastAsia="Times New Roman" w:cs="Times New Roman"/>
        </w:rPr>
        <w:t xml:space="preserve"> </w:t>
      </w:r>
      <w:r>
        <w:rPr>
          <w:rFonts w:ascii="Nirmala UI" w:hAnsi="Nirmala UI" w:eastAsia="Nirmala UI" w:cs="Nirmala UI"/>
        </w:rPr>
        <w:t>যাইবে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পার্থিব</w:t>
      </w:r>
      <w:r>
        <w:rPr>
          <w:rFonts w:ascii="Times New Roman" w:hAnsi="Times New Roman" w:eastAsia="Times New Roman" w:cs="Times New Roman"/>
        </w:rPr>
        <w:t xml:space="preserve"> </w:t>
      </w:r>
      <w:r>
        <w:rPr>
          <w:rFonts w:ascii="Nirmala UI" w:hAnsi="Nirmala UI" w:eastAsia="Nirmala UI" w:cs="Nirmala UI"/>
        </w:rPr>
        <w:t>রাজ্যকে</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পশু</w:t>
      </w:r>
      <w:r>
        <w:rPr>
          <w:rFonts w:ascii="Times New Roman" w:hAnsi="Times New Roman" w:eastAsia="Times New Roman" w:cs="Times New Roman"/>
        </w:rPr>
        <w:t xml:space="preserve"> “</w:t>
      </w:r>
      <w:r>
        <w:rPr>
          <w:rFonts w:ascii="Nirmala UI" w:hAnsi="Nirmala UI" w:eastAsia="Nirmala UI" w:cs="Nirmala UI"/>
        </w:rPr>
        <w:t>অতল</w:t>
      </w:r>
      <w:r>
        <w:rPr>
          <w:rFonts w:ascii="Times New Roman" w:hAnsi="Times New Roman" w:eastAsia="Times New Roman" w:cs="Times New Roman"/>
        </w:rPr>
        <w:t xml:space="preserve"> </w:t>
      </w:r>
      <w:r>
        <w:rPr>
          <w:rFonts w:ascii="Nirmala UI" w:hAnsi="Nirmala UI" w:eastAsia="Nirmala UI" w:cs="Nirmala UI"/>
        </w:rPr>
        <w:t>গহ্বর</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শয়তানীয়</w:t>
      </w:r>
      <w:r>
        <w:rPr>
          <w:rFonts w:ascii="Times New Roman" w:hAnsi="Times New Roman" w:eastAsia="Times New Roman" w:cs="Times New Roman"/>
        </w:rPr>
        <w:t xml:space="preserve"> </w:t>
      </w:r>
      <w:r>
        <w:rPr>
          <w:rFonts w:ascii="Nirmala UI" w:hAnsi="Nirmala UI" w:eastAsia="Nirmala UI" w:cs="Nirmala UI"/>
        </w:rPr>
        <w:t>শক্তির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নতুন</w:t>
      </w:r>
      <w:r>
        <w:rPr>
          <w:rFonts w:ascii="Times New Roman" w:hAnsi="Times New Roman" w:eastAsia="Times New Roman" w:cs="Times New Roman"/>
        </w:rPr>
        <w:t xml:space="preserve"> </w:t>
      </w:r>
      <w:r>
        <w:rPr>
          <w:rFonts w:ascii="Nirmala UI" w:hAnsi="Nirmala UI" w:eastAsia="Nirmala UI" w:cs="Nirmala UI"/>
        </w:rPr>
        <w:t>প্রকাশের</w:t>
      </w:r>
      <w:r>
        <w:rPr>
          <w:rFonts w:ascii="Times New Roman" w:hAnsi="Times New Roman" w:eastAsia="Times New Roman" w:cs="Times New Roman"/>
        </w:rPr>
        <w:t xml:space="preserve">” </w:t>
      </w:r>
      <w:r>
        <w:rPr>
          <w:rFonts w:ascii="Nirmala UI" w:hAnsi="Nirmala UI" w:eastAsia="Nirmala UI" w:cs="Nirmala UI"/>
        </w:rPr>
        <w:t>প্রতীক।</w:t>
      </w:r>
    </w:p>
    <w:p>
      <w:pPr>
        <w:pStyle w:val="ArticleScripture"/>
        <w:jc w:val="left"/>
      </w:pPr>
      <w:r>
        <w:rPr>
          <w:rFonts w:ascii="Times New Roman" w:hAnsi="Times New Roman" w:eastAsia="Times New Roman" w:cs="Times New Roman"/>
        </w:rPr>
        <w:t>« “Quand ils auront achevé [achèvent] leur témoignage.” La période durant laquelle les deux témoins devaient prophétiser revêtus de sacs prit fin en 1798. Comme ils approchaient du terme de leur œuvre dans l’obscurité, la guerre devait leur être faite par la puissance représentée comme “la bête qui monte de l’abîme”. Dans beaucoup des nations de l’Europe, les puissances qui gouvernaient dans l’Église et dans l’État avaient, pendant des siècles, été dominées par Satan, par l’intermédiaire de la papauté. Mais ici est présentée une nouvelle manifestation de la puissance satanique. » The Great Controversy, 268.</w:t>
      </w:r>
    </w:p>
    <w:p>
      <w:pPr>
        <w:pStyle w:val="ArticleBody"/>
        <w:jc w:val="left"/>
      </w:pPr>
      <w:r>
        <w:rPr>
          <w:rFonts w:ascii="Times New Roman" w:hAnsi="Times New Roman" w:eastAsia="Times New Roman" w:cs="Times New Roman"/>
        </w:rPr>
        <w:t>ځینې الهی‌پوهان به استدلال وکړي چې ځکه هغه «ځناور چې له لويي کندې څخه راخېژي» په مکاشفه یوولسم کې، په هماغه متن کې د فرانسوي انقلاب له الحاد سره پېژندل شوی دی، نو عبارت «لويه کنده» د الحاد نښه ده. خو اسلام په مکاشفه نهم کې له «لويې کندې» څخه راوخوت، او اسلام الحاد نه دی. لويه کنده د شیطاني ظهور استازیتوب کوي.</w:t>
      </w:r>
    </w:p>
    <w:p>
      <w:pPr>
        <w:pStyle w:val="ArticleScripture"/>
        <w:jc w:val="left"/>
      </w:pPr>
      <w:r>
        <w:rPr>
          <w:rFonts w:ascii="Times New Roman" w:hAnsi="Times New Roman" w:eastAsia="Times New Roman" w:cs="Times New Roman"/>
        </w:rPr>
        <w:t>“Mi disis al li, ke la Sinjoro montris al mi en vizio, ke mesmerismo estas de la Diablo, el la senfunda abismo, kaj ke ĝi baldaŭ iros tien, kun tiuj, kiuj daŭre uzos ĝin.” Review and Herald, July 21, 1851.</w:t>
      </w:r>
    </w:p>
    <w:p>
      <w:pPr>
        <w:pStyle w:val="ArticleBody"/>
        <w:jc w:val="left"/>
      </w:pPr>
      <w:r>
        <w:rPr>
          <w:rFonts w:ascii="Microsoft YaHei" w:hAnsi="Microsoft YaHei" w:eastAsia="Microsoft YaHei" w:cs="Microsoft YaHei"/>
        </w:rPr>
        <w:t>有一样出于</w:t>
      </w:r>
      <w:r>
        <w:rPr>
          <w:rFonts w:ascii="Times New Roman" w:hAnsi="Times New Roman" w:eastAsia="Times New Roman" w:cs="Times New Roman"/>
        </w:rPr>
        <w:t>“</w:t>
      </w:r>
      <w:r>
        <w:rPr>
          <w:rFonts w:ascii="Microsoft YaHei" w:hAnsi="Microsoft YaHei" w:eastAsia="Microsoft YaHei" w:cs="Microsoft YaHei"/>
        </w:rPr>
        <w:t>魔鬼</w:t>
      </w:r>
      <w:r>
        <w:rPr>
          <w:rFonts w:ascii="Times New Roman" w:hAnsi="Times New Roman" w:eastAsia="Times New Roman" w:cs="Times New Roman"/>
        </w:rPr>
        <w:t>”</w:t>
      </w:r>
      <w:r>
        <w:rPr>
          <w:rFonts w:ascii="Microsoft YaHei" w:hAnsi="Microsoft YaHei" w:eastAsia="Microsoft YaHei" w:cs="Microsoft YaHei"/>
        </w:rPr>
        <w:t>的事物</w:t>
      </w:r>
      <w:r>
        <w:rPr>
          <w:rFonts w:ascii="Times New Roman" w:hAnsi="Times New Roman" w:eastAsia="Times New Roman" w:cs="Times New Roman"/>
        </w:rPr>
        <w:t>,</w:t>
      </w:r>
      <w:r>
        <w:rPr>
          <w:rFonts w:ascii="Microsoft YaHei" w:hAnsi="Microsoft YaHei" w:eastAsia="Microsoft YaHei" w:cs="Microsoft YaHei"/>
        </w:rPr>
        <w:t>就是出于</w:t>
      </w:r>
      <w:r>
        <w:rPr>
          <w:rFonts w:ascii="Times New Roman" w:hAnsi="Times New Roman" w:eastAsia="Times New Roman" w:cs="Times New Roman"/>
        </w:rPr>
        <w:t>“</w:t>
      </w:r>
      <w:r>
        <w:rPr>
          <w:rFonts w:ascii="Microsoft YaHei" w:hAnsi="Microsoft YaHei" w:eastAsia="Microsoft YaHei" w:cs="Microsoft YaHei"/>
        </w:rPr>
        <w:t>无底坑</w:t>
      </w:r>
      <w:r>
        <w:rPr>
          <w:rFonts w:ascii="Times New Roman" w:hAnsi="Times New Roman" w:eastAsia="Times New Roman" w:cs="Times New Roman"/>
        </w:rPr>
        <w:t>”</w:t>
      </w:r>
      <w:r>
        <w:rPr>
          <w:rFonts w:ascii="Microsoft YaHei" w:hAnsi="Microsoft YaHei" w:eastAsia="Microsoft YaHei" w:cs="Microsoft YaHei"/>
        </w:rPr>
        <w:t>的事物</w:t>
      </w:r>
      <w:r>
        <w:rPr>
          <w:rFonts w:ascii="Times New Roman" w:hAnsi="Times New Roman" w:eastAsia="Times New Roman" w:cs="Times New Roman"/>
        </w:rPr>
        <w:t>.</w:t>
      </w:r>
      <w:r>
        <w:rPr>
          <w:rFonts w:ascii="Microsoft YaHei" w:hAnsi="Microsoft YaHei" w:eastAsia="Microsoft YaHei" w:cs="Microsoft YaHei"/>
        </w:rPr>
        <w:t>在</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第十七章中</w:t>
      </w:r>
      <w:r>
        <w:rPr>
          <w:rFonts w:ascii="Times New Roman" w:hAnsi="Times New Roman" w:eastAsia="Times New Roman" w:cs="Times New Roman"/>
        </w:rPr>
        <w:t>,</w:t>
      </w:r>
      <w:r>
        <w:rPr>
          <w:rFonts w:ascii="Microsoft YaHei" w:hAnsi="Microsoft YaHei" w:eastAsia="Microsoft YaHei" w:cs="Microsoft YaHei"/>
        </w:rPr>
        <w:t>那从无底坑上来的兽</w:t>
      </w:r>
      <w:r>
        <w:rPr>
          <w:rFonts w:ascii="Times New Roman" w:hAnsi="Times New Roman" w:eastAsia="Times New Roman" w:cs="Times New Roman"/>
        </w:rPr>
        <w:t>,</w:t>
      </w:r>
      <w:r>
        <w:rPr>
          <w:rFonts w:ascii="Microsoft YaHei" w:hAnsi="Microsoft YaHei" w:eastAsia="Microsoft YaHei" w:cs="Microsoft YaHei"/>
        </w:rPr>
        <w:t>就是那归于沉沦的权势</w:t>
      </w:r>
      <w:r>
        <w:rPr>
          <w:rFonts w:ascii="Times New Roman" w:hAnsi="Times New Roman" w:eastAsia="Times New Roman" w:cs="Times New Roman"/>
        </w:rPr>
        <w:t>;</w:t>
      </w:r>
      <w:r>
        <w:rPr>
          <w:rFonts w:ascii="Microsoft YaHei" w:hAnsi="Microsoft YaHei" w:eastAsia="Microsoft YaHei" w:cs="Microsoft YaHei"/>
        </w:rPr>
        <w:t>凡名字没有记在生命册上的人</w:t>
      </w:r>
      <w:r>
        <w:rPr>
          <w:rFonts w:ascii="Times New Roman" w:hAnsi="Times New Roman" w:eastAsia="Times New Roman" w:cs="Times New Roman"/>
        </w:rPr>
        <w:t>,</w:t>
      </w:r>
      <w:r>
        <w:rPr>
          <w:rFonts w:ascii="Microsoft YaHei" w:hAnsi="Microsoft YaHei" w:eastAsia="Microsoft YaHei" w:cs="Microsoft YaHei"/>
        </w:rPr>
        <w:t>都要希奇跟从它</w:t>
      </w:r>
      <w:r>
        <w:rPr>
          <w:rFonts w:ascii="Times New Roman" w:hAnsi="Times New Roman" w:eastAsia="Times New Roman" w:cs="Times New Roman"/>
        </w:rPr>
        <w:t>.“</w:t>
      </w:r>
      <w:r>
        <w:rPr>
          <w:rFonts w:ascii="Microsoft YaHei" w:hAnsi="Microsoft YaHei" w:eastAsia="Microsoft YaHei" w:cs="Microsoft YaHei"/>
        </w:rPr>
        <w:t>沉沦</w:t>
      </w:r>
      <w:r>
        <w:rPr>
          <w:rFonts w:ascii="Times New Roman" w:hAnsi="Times New Roman" w:eastAsia="Times New Roman" w:cs="Times New Roman"/>
        </w:rPr>
        <w:t>”</w:t>
      </w:r>
      <w:r>
        <w:rPr>
          <w:rFonts w:ascii="Microsoft YaHei" w:hAnsi="Microsoft YaHei" w:eastAsia="Microsoft YaHei" w:cs="Microsoft YaHei"/>
        </w:rPr>
        <w:t>意即永远的定罪</w:t>
      </w:r>
      <w:r>
        <w:rPr>
          <w:rFonts w:ascii="Times New Roman" w:hAnsi="Times New Roman" w:eastAsia="Times New Roman" w:cs="Times New Roman"/>
        </w:rPr>
        <w:t>,</w:t>
      </w:r>
      <w:r>
        <w:rPr>
          <w:rFonts w:ascii="Microsoft YaHei" w:hAnsi="Microsoft YaHei" w:eastAsia="Microsoft YaHei" w:cs="Microsoft YaHei"/>
        </w:rPr>
        <w:t>并且在</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中以</w:t>
      </w:r>
      <w:r>
        <w:rPr>
          <w:rFonts w:ascii="Times New Roman" w:hAnsi="Times New Roman" w:eastAsia="Times New Roman" w:cs="Times New Roman"/>
        </w:rPr>
        <w:t>“</w:t>
      </w:r>
      <w:r>
        <w:rPr>
          <w:rFonts w:ascii="Microsoft YaHei" w:hAnsi="Microsoft YaHei" w:eastAsia="Microsoft YaHei" w:cs="Microsoft YaHei"/>
        </w:rPr>
        <w:t>火湖</w:t>
      </w:r>
      <w:r>
        <w:rPr>
          <w:rFonts w:ascii="Times New Roman" w:hAnsi="Times New Roman" w:eastAsia="Times New Roman" w:cs="Times New Roman"/>
        </w:rPr>
        <w:t>”</w:t>
      </w:r>
      <w:r>
        <w:rPr>
          <w:rFonts w:ascii="Microsoft YaHei" w:hAnsi="Microsoft YaHei" w:eastAsia="Microsoft YaHei" w:cs="Microsoft YaHei"/>
        </w:rPr>
        <w:t>作为表征</w:t>
      </w:r>
      <w:r>
        <w:rPr>
          <w:rFonts w:ascii="Times New Roman" w:hAnsi="Times New Roman" w:eastAsia="Times New Roman" w:cs="Times New Roman"/>
        </w:rPr>
        <w:t>;</w:t>
      </w:r>
      <w:r>
        <w:rPr>
          <w:rFonts w:ascii="Microsoft YaHei" w:hAnsi="Microsoft YaHei" w:eastAsia="Microsoft YaHei" w:cs="Microsoft YaHei"/>
        </w:rPr>
        <w:t>那兽被扔在其中</w:t>
      </w:r>
      <w:r>
        <w:rPr>
          <w:rFonts w:ascii="Times New Roman" w:hAnsi="Times New Roman" w:eastAsia="Times New Roman" w:cs="Times New Roman"/>
        </w:rPr>
        <w:t>.</w:t>
      </w:r>
    </w:p>
    <w:p>
      <w:pPr>
        <w:pStyle w:val="ArticleScripture"/>
        <w:jc w:val="left"/>
      </w:pP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पकड़</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भरमाया</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गंधक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जलती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19:20.</w:t>
      </w:r>
    </w:p>
    <w:p>
      <w:pPr>
        <w:pStyle w:val="ArticleBody"/>
        <w:jc w:val="left"/>
      </w:pPr>
      <w:r>
        <w:rPr>
          <w:rFonts w:ascii="Times New Roman" w:hAnsi="Times New Roman" w:eastAsia="Times New Roman" w:cs="Times New Roman"/>
        </w:rPr>
        <w:t>En chapitre treize, la première bête qui monte de la mer, que Sister White identifie directement comme la papauté, est identifiée. Dans ce passage, le monde entier est dans l’admiration de la bête papale.</w:t>
      </w:r>
    </w:p>
    <w:p>
      <w:pPr>
        <w:pStyle w:val="ArticleScripture"/>
        <w:jc w:val="left"/>
      </w:pPr>
      <w:r>
        <w:rPr>
          <w:rFonts w:ascii="Times New Roman" w:hAnsi="Times New Roman" w:eastAsia="Times New Roman" w:cs="Times New Roman"/>
        </w:rPr>
        <w:t>Na nikamwona mmoja wa vichwa vyake kana kwamba amechomwa hata kufa; na jeraha lake la mauti likaponywa; nao ulimwengu wote ukamstaajabia yule mnyama. Ufunuo 13:3.</w:t>
      </w:r>
    </w:p>
    <w:p>
      <w:pPr>
        <w:pStyle w:val="ArticleBody"/>
        <w:jc w:val="left"/>
      </w:pPr>
      <w:r>
        <w:rPr>
          <w:rFonts w:ascii="Times New Roman" w:hAnsi="Times New Roman" w:eastAsia="Times New Roman" w:cs="Times New Roman"/>
        </w:rPr>
        <w:t>Житә аатсаҳытын уон биирис мүрүнүгэр «буорга олорор дьон барыта сөхтүргээн көрүөхтэр» диэн этиллэр сүгүөр — бу папствон өлүүтэ суохтубут суоруктаах быһыытын таһаарыллар ситиһиигэр, улахан сибэкки Күн хонуута сылдьарыгар, сатаанас күүһүн бүтэс көрүнүүтэ буолар. Уон биирис мүрүнүгэр баар дьахтар уонна ол олорор сүгүөр туһунан бары биирдэһэ суруллубут пайхамбардыы бэлиэлэр, 1950 сылга диэри тахсар тылдьыттар быһаарыттар этэрин курдук, Рим сиркэбитин быһаан көрдөрөллөр.</w:t>
      </w:r>
    </w:p>
    <w:p>
      <w:pPr>
        <w:pStyle w:val="ArticleBody"/>
        <w:jc w:val="left"/>
      </w:pPr>
      <w:r>
        <w:rPr>
          <w:rFonts w:ascii="Microsoft YaHei" w:hAnsi="Microsoft YaHei" w:eastAsia="Microsoft YaHei" w:cs="Microsoft YaHei"/>
        </w:rPr>
        <w:t>畀示錄第十七章所講个獸</w:t>
      </w:r>
      <w:r>
        <w:rPr>
          <w:rFonts w:ascii="Times New Roman" w:hAnsi="Times New Roman" w:eastAsia="Times New Roman" w:cs="Times New Roman"/>
        </w:rPr>
        <w:t>,</w:t>
      </w:r>
      <w:r>
        <w:rPr>
          <w:rFonts w:ascii="Microsoft YaHei" w:hAnsi="Microsoft YaHei" w:eastAsia="Microsoft YaHei" w:cs="Microsoft YaHei"/>
        </w:rPr>
        <w:t>係教會同國家聯合个象徵</w:t>
      </w:r>
      <w:r>
        <w:rPr>
          <w:rFonts w:ascii="Times New Roman" w:hAnsi="Times New Roman" w:eastAsia="Times New Roman" w:cs="Times New Roman"/>
        </w:rPr>
        <w:t>,</w:t>
      </w:r>
      <w:r>
        <w:rPr>
          <w:rFonts w:ascii="Microsoft YaHei" w:hAnsi="Microsoft YaHei" w:eastAsia="Microsoft YaHei" w:cs="Microsoft YaHei"/>
        </w:rPr>
        <w:t>亦就係獸个像</w:t>
      </w:r>
      <w:r>
        <w:rPr>
          <w:rFonts w:ascii="Times New Roman" w:hAnsi="Times New Roman" w:eastAsia="Times New Roman" w:cs="Times New Roman"/>
        </w:rPr>
        <w:t>.</w:t>
      </w:r>
      <w:r>
        <w:rPr>
          <w:rFonts w:ascii="Microsoft YaHei" w:hAnsi="Microsoft YaHei" w:eastAsia="Microsoft YaHei" w:cs="Microsoft YaHei"/>
        </w:rPr>
        <w:t>嗰隻有七個頭、十隻角个獸</w:t>
      </w:r>
      <w:r>
        <w:rPr>
          <w:rFonts w:ascii="Times New Roman" w:hAnsi="Times New Roman" w:eastAsia="Times New Roman" w:cs="Times New Roman"/>
        </w:rPr>
        <w:t>,</w:t>
      </w:r>
      <w:r>
        <w:rPr>
          <w:rFonts w:ascii="Microsoft YaHei" w:hAnsi="Microsoft YaHei" w:eastAsia="Microsoft YaHei" w:cs="Microsoft YaHei"/>
        </w:rPr>
        <w:t>係由十個王所組成个國度（聯合國）</w:t>
      </w:r>
      <w:r>
        <w:rPr>
          <w:rFonts w:ascii="Times New Roman" w:hAnsi="Times New Roman" w:eastAsia="Times New Roman" w:cs="Times New Roman"/>
        </w:rPr>
        <w:t>;</w:t>
      </w:r>
      <w:r>
        <w:rPr>
          <w:rFonts w:ascii="Microsoft YaHei" w:hAnsi="Microsoft YaHei" w:eastAsia="Microsoft YaHei" w:cs="Microsoft YaHei"/>
        </w:rPr>
        <w:t>嗰個婦人騎在其上</w:t>
      </w:r>
      <w:r>
        <w:rPr>
          <w:rFonts w:ascii="Times New Roman" w:hAnsi="Times New Roman" w:eastAsia="Times New Roman" w:cs="Times New Roman"/>
        </w:rPr>
        <w:t>,</w:t>
      </w:r>
      <w:r>
        <w:rPr>
          <w:rFonts w:ascii="Microsoft YaHei" w:hAnsi="Microsoft YaHei" w:eastAsia="Microsoft YaHei" w:cs="Microsoft YaHei"/>
        </w:rPr>
        <w:t>並且統治佢</w:t>
      </w:r>
      <w:r>
        <w:rPr>
          <w:rFonts w:ascii="Times New Roman" w:hAnsi="Times New Roman" w:eastAsia="Times New Roman" w:cs="Times New Roman"/>
        </w:rPr>
        <w:t>.</w:t>
      </w:r>
      <w:r>
        <w:rPr>
          <w:rFonts w:ascii="Microsoft YaHei" w:hAnsi="Microsoft YaHei" w:eastAsia="Microsoft YaHei" w:cs="Microsoft YaHei"/>
        </w:rPr>
        <w:t>嗰個婦人就係教皇制度</w:t>
      </w:r>
      <w:r>
        <w:rPr>
          <w:rFonts w:ascii="Times New Roman" w:hAnsi="Times New Roman" w:eastAsia="Times New Roman" w:cs="Times New Roman"/>
        </w:rPr>
        <w:t>,</w:t>
      </w:r>
      <w:r>
        <w:rPr>
          <w:rFonts w:ascii="Microsoft YaHei" w:hAnsi="Microsoft YaHei" w:eastAsia="Microsoft YaHei" w:cs="Microsoft YaHei"/>
        </w:rPr>
        <w:t>佢被指明為大巴比倫</w:t>
      </w:r>
      <w:r>
        <w:rPr>
          <w:rFonts w:ascii="Times New Roman" w:hAnsi="Times New Roman" w:eastAsia="Times New Roman" w:cs="Times New Roman"/>
        </w:rPr>
        <w:t>,</w:t>
      </w:r>
      <w:r>
        <w:rPr>
          <w:rFonts w:ascii="Microsoft YaHei" w:hAnsi="Microsoft YaHei" w:eastAsia="Microsoft YaHei" w:cs="Microsoft YaHei"/>
        </w:rPr>
        <w:t>即係淫婦之母</w:t>
      </w:r>
      <w:r>
        <w:rPr>
          <w:rFonts w:ascii="Times New Roman" w:hAnsi="Times New Roman" w:eastAsia="Times New Roman" w:cs="Times New Roman"/>
        </w:rPr>
        <w:t>.</w:t>
      </w:r>
      <w:r>
        <w:rPr>
          <w:rFonts w:ascii="Microsoft YaHei" w:hAnsi="Microsoft YaHei" w:eastAsia="Microsoft YaHei" w:cs="Microsoft YaHei"/>
        </w:rPr>
        <w:t>當呢啲象徵被確認之後</w:t>
      </w:r>
      <w:r>
        <w:rPr>
          <w:rFonts w:ascii="Times New Roman" w:hAnsi="Times New Roman" w:eastAsia="Times New Roman" w:cs="Times New Roman"/>
        </w:rPr>
        <w:t>,</w:t>
      </w:r>
      <w:r>
        <w:rPr>
          <w:rFonts w:ascii="Microsoft YaHei" w:hAnsi="Microsoft YaHei" w:eastAsia="Microsoft YaHei" w:cs="Microsoft YaHei"/>
        </w:rPr>
        <w:t>我哋就可以返到一七九八年</w:t>
      </w:r>
      <w:r>
        <w:rPr>
          <w:rFonts w:ascii="Times New Roman" w:hAnsi="Times New Roman" w:eastAsia="Times New Roman" w:cs="Times New Roman"/>
        </w:rPr>
        <w:t>;</w:t>
      </w:r>
      <w:r>
        <w:rPr>
          <w:rFonts w:ascii="Microsoft YaHei" w:hAnsi="Microsoft YaHei" w:eastAsia="Microsoft YaHei" w:cs="Microsoft YaHei"/>
        </w:rPr>
        <w:t>嗰個歷史時點</w:t>
      </w:r>
      <w:r>
        <w:rPr>
          <w:rFonts w:ascii="Times New Roman" w:hAnsi="Times New Roman" w:eastAsia="Times New Roman" w:cs="Times New Roman"/>
        </w:rPr>
        <w:t>,</w:t>
      </w:r>
      <w:r>
        <w:rPr>
          <w:rFonts w:ascii="Microsoft YaHei" w:hAnsi="Microsoft YaHei" w:eastAsia="Microsoft YaHei" w:cs="Microsoft YaHei"/>
        </w:rPr>
        <w:t>就係約翰被帶到嗰度</w:t>
      </w:r>
      <w:r>
        <w:rPr>
          <w:rFonts w:ascii="Times New Roman" w:hAnsi="Times New Roman" w:eastAsia="Times New Roman" w:cs="Times New Roman"/>
        </w:rPr>
        <w:t>,</w:t>
      </w:r>
      <w:r>
        <w:rPr>
          <w:rFonts w:ascii="Microsoft YaHei" w:hAnsi="Microsoft YaHei" w:eastAsia="Microsoft YaHei" w:cs="Microsoft YaHei"/>
        </w:rPr>
        <w:t>為要領受</w:t>
      </w:r>
      <w:r>
        <w:rPr>
          <w:rFonts w:ascii="Times New Roman" w:hAnsi="Times New Roman" w:eastAsia="Times New Roman" w:cs="Times New Roman"/>
        </w:rPr>
        <w:t>«</w:t>
      </w:r>
      <w:r>
        <w:rPr>
          <w:rFonts w:ascii="Microsoft YaHei" w:hAnsi="Microsoft YaHei" w:eastAsia="Microsoft YaHei" w:cs="Microsoft YaHei"/>
        </w:rPr>
        <w:t>聖經</w:t>
      </w:r>
      <w:r>
        <w:rPr>
          <w:rFonts w:ascii="Times New Roman" w:hAnsi="Times New Roman" w:eastAsia="Times New Roman" w:cs="Times New Roman"/>
        </w:rPr>
        <w:t>»</w:t>
      </w:r>
      <w:r>
        <w:rPr>
          <w:rFonts w:ascii="Microsoft YaHei" w:hAnsi="Microsoft YaHei" w:eastAsia="Microsoft YaHei" w:cs="Microsoft YaHei"/>
        </w:rPr>
        <w:t>預言之諸國最後一次個表象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Nous traiterons de ces royaumes, ainsi que de leur représentation dans le chapitre deux de Daniel, dans le prochain article.</w:t>
      </w:r>
    </w:p>
    <w:p>
      <w:pPr>
        <w:pStyle w:val="ArticleScripture"/>
        <w:jc w:val="left"/>
      </w:pPr>
      <w:r>
        <w:rPr>
          <w:rFonts w:ascii="Times New Roman" w:hAnsi="Times New Roman" w:eastAsia="Times New Roman" w:cs="Times New Roman"/>
        </w:rPr>
        <w:t>“Tout peuple qui est entré sur la scène de l’action a reçu la permission d’occuper sa place sur la terre, afin que l’on voie s’il accomplirait le dessein du ‘Veilleur et du Saint’. La prophétie a retracé l’ascension et la chute des grands empires du monde — Babylone, la Médo-Perse, la Grèce et Rome. Pour chacun d’eux, comme pour les nations de moindre puissance, l’histoire s’est répétée. Chacun a eu son temps d’épreuve, chacun a failli, sa gloire s’est évanouie, sa puissance a disparu, et sa place a été occupée par un autre.</w:t>
      </w:r>
    </w:p>
    <w:p>
      <w:pPr>
        <w:pStyle w:val="ArticleScripture"/>
        <w:jc w:val="left"/>
      </w:pPr>
      <w:r>
        <w:rPr>
          <w:rFonts w:ascii="Microsoft YaHei" w:hAnsi="Microsoft YaHei" w:eastAsia="Microsoft YaHei" w:cs="Microsoft YaHei"/>
        </w:rPr>
        <w:t>「諸国民</w:t>
      </w:r>
      <w:r>
        <w:rPr>
          <w:rFonts w:ascii="MS Gothic" w:hAnsi="MS Gothic" w:eastAsia="MS Gothic" w:cs="MS Gothic"/>
        </w:rPr>
        <w:t>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原則</w:t>
      </w:r>
      <w:r>
        <w:rPr>
          <w:rFonts w:ascii="MS Gothic" w:hAnsi="MS Gothic" w:eastAsia="MS Gothic" w:cs="MS Gothic"/>
        </w:rPr>
        <w:t>を</w:t>
      </w:r>
      <w:r>
        <w:rPr>
          <w:rFonts w:ascii="Microsoft YaHei" w:hAnsi="Microsoft YaHei" w:eastAsia="Microsoft YaHei" w:cs="Microsoft YaHei"/>
        </w:rPr>
        <w:t>拒</w:t>
      </w:r>
      <w:r>
        <w:rPr>
          <w:rFonts w:ascii="MS Gothic" w:hAnsi="MS Gothic" w:eastAsia="MS Gothic" w:cs="MS Gothic"/>
        </w:rPr>
        <w:t>み</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拒絶</w:t>
      </w:r>
      <w:r>
        <w:rPr>
          <w:rFonts w:ascii="MS Gothic" w:hAnsi="MS Gothic" w:eastAsia="MS Gothic" w:cs="MS Gothic"/>
        </w:rPr>
        <w:t>によって</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滅</w:t>
      </w:r>
      <w:r>
        <w:rPr>
          <w:rFonts w:ascii="MS Gothic" w:hAnsi="MS Gothic" w:eastAsia="MS Gothic" w:cs="MS Gothic"/>
        </w:rPr>
        <w:t>びを</w:t>
      </w:r>
      <w:r>
        <w:rPr>
          <w:rFonts w:ascii="Microsoft YaHei" w:hAnsi="Microsoft YaHei" w:eastAsia="Microsoft YaHei" w:cs="Microsoft YaHei"/>
        </w:rPr>
        <w:t>招</w:t>
      </w:r>
      <w:r>
        <w:rPr>
          <w:rFonts w:ascii="MS Gothic" w:hAnsi="MS Gothic" w:eastAsia="MS Gothic" w:cs="MS Gothic"/>
        </w:rPr>
        <w:t>いたが</w:t>
      </w:r>
      <w:r>
        <w:rPr>
          <w:rFonts w:ascii="Microsoft YaHei" w:hAnsi="Microsoft YaHei" w:eastAsia="Microsoft YaHei" w:cs="Microsoft YaHei"/>
        </w:rPr>
        <w:t>、</w:t>
      </w:r>
      <w:r>
        <w:rPr>
          <w:rFonts w:ascii="MS Gothic" w:hAnsi="MS Gothic" w:eastAsia="MS Gothic" w:cs="MS Gothic"/>
        </w:rPr>
        <w:t>それにもかかわらず</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主権的</w:t>
      </w:r>
      <w:r>
        <w:rPr>
          <w:rFonts w:ascii="MS Gothic" w:hAnsi="MS Gothic" w:eastAsia="MS Gothic" w:cs="MS Gothic"/>
        </w:rPr>
        <w:t>なご</w:t>
      </w:r>
      <w:r>
        <w:rPr>
          <w:rFonts w:ascii="Microsoft YaHei" w:hAnsi="Microsoft YaHei" w:eastAsia="Microsoft YaHei" w:cs="Microsoft YaHei"/>
        </w:rPr>
        <w:t>目的</w:t>
      </w:r>
      <w:r>
        <w:rPr>
          <w:rFonts w:ascii="MS Gothic" w:hAnsi="MS Gothic" w:eastAsia="MS Gothic" w:cs="MS Gothic"/>
        </w:rPr>
        <w:t>が</w:t>
      </w:r>
      <w:r>
        <w:rPr>
          <w:rFonts w:ascii="Microsoft YaHei" w:hAnsi="Microsoft YaHei" w:eastAsia="Microsoft YaHei" w:cs="Microsoft YaHei"/>
        </w:rPr>
        <w:t>彼</w:t>
      </w:r>
      <w:r>
        <w:rPr>
          <w:rFonts w:ascii="MS Gothic" w:hAnsi="MS Gothic" w:eastAsia="MS Gothic" w:cs="MS Gothic"/>
        </w:rPr>
        <w:t>らのあらゆる</w:t>
      </w:r>
      <w:r>
        <w:rPr>
          <w:rFonts w:ascii="Microsoft YaHei" w:hAnsi="Microsoft YaHei" w:eastAsia="Microsoft YaHei" w:cs="Microsoft YaHei"/>
        </w:rPr>
        <w:t>動</w:t>
      </w:r>
      <w:r>
        <w:rPr>
          <w:rFonts w:ascii="MS Gothic" w:hAnsi="MS Gothic" w:eastAsia="MS Gothic" w:cs="MS Gothic"/>
        </w:rPr>
        <w:t>きを</w:t>
      </w:r>
      <w:r>
        <w:rPr>
          <w:rFonts w:ascii="Microsoft YaHei" w:hAnsi="Microsoft YaHei" w:eastAsia="Microsoft YaHei" w:cs="Microsoft YaHei"/>
        </w:rPr>
        <w:t>通</w:t>
      </w:r>
      <w:r>
        <w:rPr>
          <w:rFonts w:ascii="MS Gothic" w:hAnsi="MS Gothic" w:eastAsia="MS Gothic" w:cs="MS Gothic"/>
        </w:rPr>
        <w:t>して</w:t>
      </w:r>
      <w:r>
        <w:rPr>
          <w:rFonts w:ascii="Microsoft YaHei" w:hAnsi="Microsoft YaHei" w:eastAsia="Microsoft YaHei" w:cs="Microsoft YaHei"/>
        </w:rPr>
        <w:t>働</w:t>
      </w:r>
      <w:r>
        <w:rPr>
          <w:rFonts w:ascii="MS Gothic" w:hAnsi="MS Gothic" w:eastAsia="MS Gothic" w:cs="MS Gothic"/>
        </w:rPr>
        <w:t>いていたことは</w:t>
      </w:r>
      <w:r>
        <w:rPr>
          <w:rFonts w:ascii="Microsoft YaHei" w:hAnsi="Microsoft YaHei" w:eastAsia="Microsoft YaHei" w:cs="Microsoft YaHei"/>
        </w:rPr>
        <w:t>、</w:t>
      </w:r>
      <w:r>
        <w:rPr>
          <w:rFonts w:ascii="MS Gothic" w:hAnsi="MS Gothic" w:eastAsia="MS Gothic" w:cs="MS Gothic"/>
        </w:rPr>
        <w:t>なお</w:t>
      </w:r>
      <w:r>
        <w:rPr>
          <w:rFonts w:ascii="Microsoft YaHei" w:hAnsi="Microsoft YaHei" w:eastAsia="Microsoft YaHei" w:cs="Microsoft YaHei"/>
        </w:rPr>
        <w:t>明</w:t>
      </w:r>
      <w:r>
        <w:rPr>
          <w:rFonts w:ascii="MS Gothic" w:hAnsi="MS Gothic" w:eastAsia="MS Gothic" w:cs="MS Gothic"/>
        </w:rPr>
        <w:t>らかであった</w:t>
      </w:r>
      <w:r>
        <w:rPr>
          <w:rFonts w:ascii="Times New Roman" w:hAnsi="Times New Roman" w:eastAsia="Times New Roman" w:cs="Times New Roman"/>
        </w:rPr>
        <w:t>.</w:t>
      </w:r>
      <w:r>
        <w:rPr>
          <w:rFonts w:ascii="Microsoft YaHei" w:hAnsi="Microsoft YaHei" w:eastAsia="Microsoft YaHei" w:cs="Microsoft YaHei"/>
        </w:rPr>
        <w:t>」『教育』</w:t>
      </w:r>
      <w:r>
        <w:rPr>
          <w:rFonts w:ascii="Times New Roman" w:hAnsi="Times New Roman" w:eastAsia="Times New Roman" w:cs="Times New Roman"/>
        </w:rPr>
        <w:t>177</w:t>
      </w:r>
      <w:r>
        <w:rPr>
          <w:rFonts w:ascii="Microsoft YaHei" w:hAnsi="Microsoft YaHei" w:eastAsia="Microsoft YaHei" w:cs="Microsoft YaHei"/>
        </w:rPr>
        <w:t>頁</w:t>
      </w:r>
      <w:r>
        <w:rPr>
          <w:rFonts w:ascii="Times New Roman" w:hAnsi="Times New Roman" w:eastAsia="Times New Roman" w:cs="Times New Roman"/>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cinquante-six</dc:title>
  <dc:subject>Déverrouiller le mystère d’Apocalypse 17 : la prophétie finale de la grande prostituée et de la bête</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