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tom Daniel — nimba hīdowi nā nīmbari bakwai da bakwai</w:t>
      </w:r>
    </w:p>
    <w:p>
      <w:pPr>
        <w:pStyle w:val="ArticleSubtitle"/>
        <w:jc w:val="left"/>
      </w:pPr>
      <w:r>
        <w:rPr>
          <w:rFonts w:ascii="Arial" w:hAnsi="Arial" w:eastAsia="Arial" w:cs="Arial"/>
        </w:rPr>
        <w:t>Révélation des secrets prophétiques de l’Apocalypse : un voyage à travers les prophéties de la fin des temps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Le baporofeta bohle ba bua ka bofelo ba lefase, ’me baporofeta bohle ba kopana ’me ba fella bukeng ea Tšenolo. Bukeng ea Tšenolo, mola o tšoanang o tsoela pele joalokaha bukeng ea Daniele, hobane ke buka e le ’ngoe. Melao-motheo ena eohle ea boporofeta e se e ngotsoe ka tieo lihloohong tse fetileng. Bukeng ea Tšenolo, re tsebisoa hore pejana feela mohau o koaloa ho na le boporofeta bo neng bo tiisitsoe bo senoloang. Lihlooho tsena li ’nile tsa hlahisa likarolo tsa boporofeta tse amanang le molaetsa o bukeng ea Tšenolo o seng o senoloa joale. Molaetsa hase ’nete e le ’ngoe feela ea boporofeta, ’me karolo e ’ngoe le e ’ngoe ea molaetsa o seng o senoloa e oela sehlopheng sa Tšenolo ea Jesu Kreste.</w:t>
      </w:r>
    </w:p>
    <w:p>
      <w:pPr>
        <w:pStyle w:val="ArticleBody"/>
        <w:jc w:val="left"/>
      </w:pPr>
      <w:r>
        <w:rPr>
          <w:rFonts w:ascii="Times New Roman" w:hAnsi="Times New Roman" w:eastAsia="Times New Roman" w:cs="Times New Roman"/>
        </w:rPr>
        <w:t>Le message est descellé juste avant la clôture du temps de grâce, lorsque « le temps est proche ». Les livres de Daniel et de l’Apocalypse, en relation avec le commentaire tiré des écrits de l’Esprit de prophétie, sont très précis quant au processus associé au descellement d’un message prophétique. C’est le Lion de la tribu de Juda qui accomplit le descellement, et, lorsqu’il le fait, il emploie une méthode ordonnée pour présenter le message. Il reçoit le message du Père, lequel est représenté comme tenant la Bible telle qu’elle est scellée de sept sceaux. Le Lion de la tribu de Juda, qui est aussi le rejeton de David et l’Agneau qui a été immolé, prend le livre de la main du Père et en ôte les sceaux.</w:t>
      </w:r>
    </w:p>
    <w:p>
      <w:pPr>
        <w:pStyle w:val="ArticleBody"/>
        <w:jc w:val="left"/>
      </w:pPr>
      <w:r>
        <w:rPr>
          <w:rFonts w:ascii="Times New Roman" w:hAnsi="Times New Roman" w:eastAsia="Times New Roman" w:cs="Times New Roman"/>
        </w:rPr>
        <w:t>ئىسا ئاندىن بۇ خەۋەرنى جىبرىئىلگە بېرىدۇ؛ جىبرىئىل بولسا باشقا پەرىشتىلەر بىلەن بىللە بۇ خەۋەرنى بىر پەيغەمبەرگە يەتكۈزىدۇ، ئۇ پەيغەمبەر بۇ خەۋەرنى يېزىپ، ئىبادەتخانىلارغا ئەۋەتىدۇ. پەيغەمبەرلىك خەۋىرىنىڭ پېچىنى ئېچىش ۋاقتى يېقىنلاشقاندا، بۇ خەۋەرنىڭ ئېچىلىشى ئۈچ باسقۇچلۇق بىر سىناق جەريانىنى پەيدا قىلىدۇ؛ بۇ جەريان پەيغەمبەرنىڭ يازمىسىنىڭ نىشان ئوقۇرمەنلىرى بولغان ئىبادەتخانا ئىچىدىكى كىشىلەرنى سىنايدۇ، ھەمدە شۇ ئىبادەتخانا ئەزالىرىنىڭ ئايرىم-ئايرىم ئىنكاسىغا ئاساسەن، ئۇلار ئۆزلىرىنىڭ ئىككى تۈرنىڭ بىرىگە مەنسۇپ ئىكەنلىكىنى بەلگىلەيدۇ. پېچى ئېچىلغان بۇ خەۋەر ئارقىلىق پەيدا بولغان بىلىمنىڭ ئېشىشىنى قوبۇل قىلغانلار «دانالار» دەپ تونۇلىدۇ؛ قوبۇل قىلمىغانلار بولسا دانىيال تەرىپىدىن «رەزىللەر»، مەتتا تەرىپىدىن بولسا «ئەخمەقلەر» دەپ ئاتىلىدۇ.</w:t>
      </w:r>
    </w:p>
    <w:p>
      <w:pPr>
        <w:pStyle w:val="ArticleBody"/>
        <w:jc w:val="left"/>
      </w:pP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預言的奥義</w:t>
      </w:r>
      <w:r>
        <w:rPr>
          <w:rFonts w:ascii="MS Gothic" w:hAnsi="MS Gothic" w:eastAsia="MS Gothic" w:cs="MS Gothic"/>
        </w:rPr>
        <w:t>の</w:t>
      </w:r>
      <w:r>
        <w:rPr>
          <w:rFonts w:ascii="Microsoft YaHei" w:hAnsi="Microsoft YaHei" w:eastAsia="Microsoft YaHei" w:cs="Microsoft YaHei"/>
        </w:rPr>
        <w:t>開封」</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わるこれらすべての</w:t>
      </w:r>
      <w:r>
        <w:rPr>
          <w:rFonts w:ascii="Microsoft YaHei" w:hAnsi="Microsoft YaHei" w:eastAsia="Microsoft YaHei" w:cs="Microsoft YaHei"/>
        </w:rPr>
        <w:t>要素</w:t>
      </w:r>
      <w:r>
        <w:rPr>
          <w:rFonts w:ascii="MS Gothic" w:hAnsi="MS Gothic" w:eastAsia="MS Gothic" w:cs="MS Gothic"/>
        </w:rPr>
        <w:t>は</w:t>
      </w:r>
      <w:r>
        <w:rPr>
          <w:rFonts w:ascii="Microsoft YaHei" w:hAnsi="Microsoft YaHei" w:eastAsia="Microsoft YaHei" w:cs="Microsoft YaHei"/>
        </w:rPr>
        <w:t>、黙示録第十七章九節</w:t>
      </w:r>
      <w:r>
        <w:rPr>
          <w:rFonts w:ascii="MS Gothic" w:hAnsi="MS Gothic" w:eastAsia="MS Gothic" w:cs="MS Gothic"/>
        </w:rPr>
        <w:t>において</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上</w:t>
      </w:r>
      <w:r>
        <w:rPr>
          <w:rFonts w:ascii="MS Gothic" w:hAnsi="MS Gothic" w:eastAsia="MS Gothic" w:cs="MS Gothic"/>
        </w:rPr>
        <w:t>げられ</w:t>
      </w:r>
      <w:r>
        <w:rPr>
          <w:rFonts w:ascii="Microsoft YaHei" w:hAnsi="Microsoft YaHei" w:eastAsia="Microsoft YaHei" w:cs="Microsoft YaHei"/>
        </w:rPr>
        <w:t>、強調</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節</w:t>
      </w:r>
      <w:r>
        <w:rPr>
          <w:rFonts w:ascii="MS Gothic" w:hAnsi="MS Gothic" w:eastAsia="MS Gothic" w:cs="MS Gothic"/>
        </w:rPr>
        <w:t>は</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種類</w:t>
      </w:r>
      <w:r>
        <w:rPr>
          <w:rFonts w:ascii="MS Gothic" w:hAnsi="MS Gothic" w:eastAsia="MS Gothic" w:cs="MS Gothic"/>
        </w:rPr>
        <w:t>の</w:t>
      </w:r>
      <w:r>
        <w:rPr>
          <w:rFonts w:ascii="Microsoft YaHei" w:hAnsi="Microsoft YaHei" w:eastAsia="Microsoft YaHei" w:cs="Microsoft YaHei"/>
        </w:rPr>
        <w:t>礼拝者</w:t>
      </w:r>
      <w:r>
        <w:rPr>
          <w:rFonts w:ascii="MS Gothic" w:hAnsi="MS Gothic" w:eastAsia="MS Gothic" w:cs="MS Gothic"/>
        </w:rPr>
        <w:t>を</w:t>
      </w:r>
      <w:r>
        <w:rPr>
          <w:rFonts w:ascii="Microsoft YaHei" w:hAnsi="Microsoft YaHei" w:eastAsia="Microsoft YaHei" w:cs="Microsoft YaHei"/>
        </w:rPr>
        <w:t>試</w:t>
      </w:r>
      <w:r>
        <w:rPr>
          <w:rFonts w:ascii="MS Gothic" w:hAnsi="MS Gothic" w:eastAsia="MS Gothic" w:cs="MS Gothic"/>
        </w:rPr>
        <w:t>すことになるイエス・キリストの</w:t>
      </w:r>
      <w:r>
        <w:rPr>
          <w:rFonts w:ascii="Microsoft YaHei" w:hAnsi="Microsoft YaHei" w:eastAsia="Microsoft YaHei" w:cs="Microsoft YaHei"/>
        </w:rPr>
        <w:t>黙示</w:t>
      </w:r>
      <w:r>
        <w:rPr>
          <w:rFonts w:ascii="MS Gothic" w:hAnsi="MS Gothic" w:eastAsia="MS Gothic" w:cs="MS Gothic"/>
        </w:rPr>
        <w:t>の</w:t>
      </w:r>
      <w:r>
        <w:rPr>
          <w:rFonts w:ascii="Microsoft YaHei" w:hAnsi="Microsoft YaHei" w:eastAsia="Microsoft YaHei" w:cs="Microsoft YaHei"/>
        </w:rPr>
        <w:t>一要素</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しているからである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節</w:t>
      </w:r>
      <w:r>
        <w:rPr>
          <w:rFonts w:ascii="MS Gothic" w:hAnsi="MS Gothic" w:eastAsia="MS Gothic" w:cs="MS Gothic"/>
        </w:rPr>
        <w:t>の</w:t>
      </w:r>
      <w:r>
        <w:rPr>
          <w:rFonts w:ascii="Microsoft YaHei" w:hAnsi="Microsoft YaHei" w:eastAsia="Microsoft YaHei" w:cs="Microsoft YaHei"/>
        </w:rPr>
        <w:t>警告</w:t>
      </w:r>
      <w:r>
        <w:rPr>
          <w:rFonts w:ascii="MS Gothic" w:hAnsi="MS Gothic" w:eastAsia="MS Gothic" w:cs="MS Gothic"/>
        </w:rPr>
        <w:t>の</w:t>
      </w:r>
      <w:r>
        <w:rPr>
          <w:rFonts w:ascii="Microsoft YaHei" w:hAnsi="Microsoft YaHei" w:eastAsia="Microsoft YaHei" w:cs="Microsoft YaHei"/>
        </w:rPr>
        <w:t>旗印</w:t>
      </w:r>
      <w:r>
        <w:rPr>
          <w:rFonts w:ascii="MS Gothic" w:hAnsi="MS Gothic" w:eastAsia="MS Gothic" w:cs="MS Gothic"/>
        </w:rPr>
        <w:t>に</w:t>
      </w:r>
      <w:r>
        <w:rPr>
          <w:rFonts w:ascii="Microsoft YaHei" w:hAnsi="Microsoft YaHei" w:eastAsia="Microsoft YaHei" w:cs="Microsoft YaHei"/>
        </w:rPr>
        <w:t>続</w:t>
      </w:r>
      <w:r>
        <w:rPr>
          <w:rFonts w:ascii="MS Gothic" w:hAnsi="MS Gothic" w:eastAsia="MS Gothic" w:cs="MS Gothic"/>
        </w:rPr>
        <w:t>くメッセージを</w:t>
      </w:r>
      <w:r>
        <w:rPr>
          <w:rFonts w:ascii="Microsoft YaHei" w:hAnsi="Microsoft YaHei" w:eastAsia="Microsoft YaHei" w:cs="Microsoft YaHei"/>
        </w:rPr>
        <w:t>理解</w:t>
      </w:r>
      <w:r>
        <w:rPr>
          <w:rFonts w:ascii="MS Gothic" w:hAnsi="MS Gothic" w:eastAsia="MS Gothic" w:cs="MS Gothic"/>
        </w:rPr>
        <w:t>するのは</w:t>
      </w:r>
      <w:r>
        <w:rPr>
          <w:rFonts w:ascii="Microsoft YaHei" w:hAnsi="Microsoft YaHei" w:eastAsia="Microsoft YaHei" w:cs="Microsoft YaHei"/>
        </w:rPr>
        <w:t>「賢</w:t>
      </w:r>
      <w:r>
        <w:rPr>
          <w:rFonts w:ascii="MS Gothic" w:hAnsi="MS Gothic" w:eastAsia="MS Gothic" w:cs="MS Gothic"/>
        </w:rPr>
        <w:t>い</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であることを</w:t>
      </w:r>
      <w:r>
        <w:rPr>
          <w:rFonts w:ascii="Microsoft YaHei" w:hAnsi="Microsoft YaHei" w:eastAsia="Microsoft YaHei" w:cs="Microsoft YaHei"/>
        </w:rPr>
        <w:t>示</w:t>
      </w:r>
      <w:r>
        <w:rPr>
          <w:rFonts w:ascii="MS Gothic" w:hAnsi="MS Gothic" w:eastAsia="MS Gothic" w:cs="MS Gothic"/>
        </w:rPr>
        <w:t>すことによって</w:t>
      </w:r>
      <w:r>
        <w:rPr>
          <w:rFonts w:ascii="Microsoft YaHei" w:hAnsi="Microsoft YaHei" w:eastAsia="Microsoft YaHei" w:cs="Microsoft YaHei"/>
        </w:rPr>
        <w:t>、</w:t>
      </w:r>
      <w:r>
        <w:rPr>
          <w:rFonts w:ascii="MS Gothic" w:hAnsi="MS Gothic" w:eastAsia="MS Gothic" w:cs="MS Gothic"/>
        </w:rPr>
        <w:t>そうしているのである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 nantsi ingqondo enobulumko. Iintloko ezisixhenxe ziintaba ezisixhenxe, ahleli phezu kwazo umfazi. Kanjalo kukho ookumkani abasixhenxe: abahlanu bawile, omnye ukho, omnye akakafiki; yaye xa efika, umelwe kukuhlala ithuba elifutshane. Irhamncwa elalikhona, elingasekhoyo, nalo ngokwalo lingelesibhozo, yaye lingelabasixhenxe, lize liye entshabalalweni. ISityhilelo 17:9–11.</w:t>
      </w:r>
    </w:p>
    <w:p>
      <w:pPr>
        <w:pStyle w:val="ArticleBody"/>
        <w:jc w:val="left"/>
      </w:pPr>
      <w:r>
        <w:rPr>
          <w:rFonts w:ascii="Times New Roman" w:hAnsi="Times New Roman" w:eastAsia="Times New Roman" w:cs="Times New Roman"/>
        </w:rPr>
        <w:t>La « pensée qui a de la sagesse » est la pensée des « sages ». Les « sages » comprennent l’accroissement de la connaissance, et l’accroissement de la connaissance qui est représenté immédiatement après le marqueur prophétique, lequel identifie une vérité qui sera comprise par les sages et rejetée par les méchants, est la vérité associée aux royaumes de la prophétie biblique exposés dans les versets qui suivent. Ces versets constituent la dernière illustration des royaumes de la prophétie biblique, et ce qui est descellé dans les derniers jours, c’est que ces huit royaumes ont aussi été représentés dans la première illustration des royaumes de la prophétie biblique, au chapitre deux de Daniel.</w:t>
      </w:r>
    </w:p>
    <w:p>
      <w:pPr>
        <w:pStyle w:val="ArticleBody"/>
        <w:jc w:val="left"/>
      </w:pPr>
      <w:r>
        <w:rPr>
          <w:rFonts w:ascii="Times New Roman" w:hAnsi="Times New Roman" w:eastAsia="Times New Roman" w:cs="Times New Roman"/>
        </w:rPr>
        <w:t>Wahayiga runta wuxuu taageeraa fahamka xaddidan ee boqortooyooyinka waxsii-sheegista Kitaabka Quduuska ah oo ka mid ahaa mid ka mid ah jawharadihii Miller, hase ahaatee wuxuu u iftiimay toban jeer ka sii dhalaal badan, waayo wuxuu xambaarsan yahay run aad uga badan tii ay Milleriyiintu ka fahmeen meeshii taariikhdooda ee xaddidnayd, waxaana uu matalaa imtixaan sida uu u matalo tirada “toban,” iyo sida uu u matalo iftiinka digniinta ah ee hordhaca digniinta “halkan waxaa ku jirta maanka leh xigmad,” oo si nebiyad ahaan loo fasiray sidan: runta soo socota waxay imtixaanaysaa kaniisadaha loo diro farriinta la furfuray wax yar ka hor xidhitaanka wakhtiga nimcadu socoto.</w:t>
      </w:r>
    </w:p>
    <w:p>
      <w:pPr>
        <w:pStyle w:val="ArticleBody"/>
        <w:jc w:val="left"/>
      </w:pPr>
      <w:r>
        <w:rPr>
          <w:rFonts w:ascii="Times New Roman" w:hAnsi="Times New Roman" w:eastAsia="Times New Roman" w:cs="Times New Roman"/>
        </w:rPr>
        <w:t>Dans Apocalypse dix-sept, Jean fut transporté dans le désert des mille deux cent soixante années de ténèbres papales. Il fut placé à l’extrême fin de cette période, en 1798, ce qui est exactement la même période de l’histoire où il fut placé dans Apocalypse treize.</w:t>
      </w:r>
    </w:p>
    <w:p>
      <w:pPr>
        <w:pStyle w:val="ArticleScripture"/>
        <w:jc w:val="left"/>
      </w:pPr>
      <w:r>
        <w:rPr>
          <w:rFonts w:ascii="Times New Roman" w:hAnsi="Times New Roman" w:eastAsia="Times New Roman" w:cs="Times New Roman"/>
        </w:rPr>
        <w:t>Et je me tins sur le sable de la mer, et je vis monter de la mer une bête, qui avait sept têtes et dix cornes, et sur ses cornes dix couronnes, et sur ses têtes un nom de blasphème. Apocalypse 13:1.</w:t>
      </w:r>
    </w:p>
    <w:p>
      <w:pPr>
        <w:pStyle w:val="ArticleBody"/>
        <w:jc w:val="left"/>
      </w:pPr>
      <w:r>
        <w:rPr>
          <w:rFonts w:ascii="Times New Roman" w:hAnsi="Times New Roman" w:eastAsia="Times New Roman" w:cs="Times New Roman"/>
        </w:rPr>
        <w:t>L’« sable de la mer » représente 1798, car il représente le point de vue historique à partir duquel il fut montré à Jean la papauté (la bête de la mer) au passé, ainsi que les États-Unis (la bête de la terre) en train de s’élever, puis, finalement, de parler comme un dragon lors de la loi du dimanche imminente. Alors la bête de la terre contraint le monde à accepter l’« image de la bête », laquelle parlerait et ferait appliquer une législation dominicale sur le monde entier.</w:t>
      </w:r>
    </w:p>
    <w:p>
      <w:pPr>
        <w:pStyle w:val="ArticleScripture"/>
        <w:jc w:val="left"/>
      </w:pPr>
      <w:r>
        <w:rPr>
          <w:rFonts w:ascii="Times New Roman" w:hAnsi="Times New Roman" w:eastAsia="Times New Roman" w:cs="Times New Roman"/>
        </w:rPr>
        <w:t>“Katika wakati ambapo Upapa, ukiwa umeondolewa nguvu zake, ulilazimishwa kuacha mateso, Yohana aliona mamlaka mpya ikitokea ili kuiga sauti ya yule joka, na kuendeleza kazi ile ile ya kikatili na ya kukufuru. Mamlaka hii, ya mwisho kupigana vita dhidi ya kanisa na sheria ya Mungu, imewakilishwa na mnyama mwenye pembe zinazofanana na za mwanakondoo. Wanyama walioutangulia walikuwa wametoka katika bahari; lakini huyu alitokea kutoka katika nchi, akiwakilisha kuinuka kwa amani kwa taifa ambalo aliliashiria—Marekani.” Signs of the Times, February 8, 1910.</w:t>
      </w:r>
    </w:p>
    <w:p>
      <w:pPr>
        <w:pStyle w:val="ArticleBody"/>
        <w:jc w:val="left"/>
      </w:pPr>
      <w:r>
        <w:rPr>
          <w:rFonts w:ascii="Times New Roman" w:hAnsi="Times New Roman" w:eastAsia="Times New Roman" w:cs="Times New Roman"/>
        </w:rPr>
        <w:t>جان در فصل هفدهم نیز به همان چشم‌انداز تاریخی برده می‌شود تا واپسین عرضهٔ پادشاهی‌های نبوّتِ کتاب‌مقدّس را دریافت کند. پادشاهی‌ها در حالی که او در آن چشم‌انداز ایستاده است، به او ارائه می‌شوند. نخست به او اعلام می‌گردد که آن وحش هم کلیسا و هم دولت را در اختیار دارد، زیرا آن زن نه تنها بر هفت سر، بلکه بر هفت کوه نیز نشسته است. نشستنِ آن فاحشهٔ عظیم بدین معناست که او همان کسی است که بر وحش سوار است، و آن که بر وحش سوار است، همان کسی است که وحش را در اختیار دارد.</w:t>
      </w:r>
    </w:p>
    <w:p>
      <w:pPr>
        <w:pStyle w:val="ArticleScripture"/>
        <w:jc w:val="left"/>
      </w:pPr>
      <w:r>
        <w:rPr>
          <w:rFonts w:ascii="Malgun Gothic" w:hAnsi="Malgun Gothic" w:eastAsia="Malgun Gothic" w:cs="Malgun Gothic"/>
        </w:rPr>
        <w:t>이고</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여자는</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왕들을</w:t>
      </w:r>
      <w:r>
        <w:rPr>
          <w:rFonts w:ascii="Times New Roman" w:hAnsi="Times New Roman" w:eastAsia="Times New Roman" w:cs="Times New Roman"/>
        </w:rPr>
        <w:t xml:space="preserve"> </w:t>
      </w:r>
      <w:r>
        <w:rPr>
          <w:rFonts w:ascii="Malgun Gothic" w:hAnsi="Malgun Gothic" w:eastAsia="Malgun Gothic" w:cs="Malgun Gothic"/>
        </w:rPr>
        <w:t>다스리는</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성이라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17:18.</w:t>
      </w:r>
    </w:p>
    <w:p>
      <w:pPr>
        <w:pStyle w:val="ArticleBody"/>
        <w:jc w:val="left"/>
      </w:pPr>
      <w:r>
        <w:rPr>
          <w:rFonts w:ascii="Times New Roman" w:hAnsi="Times New Roman" w:eastAsia="Times New Roman" w:cs="Times New Roman"/>
        </w:rPr>
        <w:t>Le mot « règne » signifie tenir et dominer sur. Un cavalier domine la bête en tenant les rênes. La papauté domine sur sept têtes et aussi sur sept montagnes. Au chapitre deux de Daniel, Daniel informe Nebucadnetsar qu’il est la « tête » d’or. Au chapitre sept d’Ésaïe, une « tête » désigne aussi un roi, une capitale ou un royaume.</w:t>
      </w:r>
    </w:p>
    <w:p>
      <w:pPr>
        <w:pStyle w:val="ArticleScripture"/>
        <w:jc w:val="left"/>
      </w:pPr>
      <w:r>
        <w:rPr>
          <w:rFonts w:ascii="Times New Roman" w:hAnsi="Times New Roman" w:eastAsia="Times New Roman" w:cs="Times New Roman"/>
        </w:rPr>
        <w:t>Car le chef de la Syrie, c’est Damas, et le chef de Damas, c’est Retsin; et dans soixante-cinq ans, Éphraïm sera brisé, au point de ne plus être un peuple. Et le chef d’Éphraïm, c’est Samarie, et le chef de Samarie, c’est le fils de Remalia. Si vous ne croyez pas, certainement vous ne subsisterez pas. Ésaïe 7:7, 8.</w:t>
      </w:r>
    </w:p>
    <w:p>
      <w:pPr>
        <w:pStyle w:val="ArticleBody"/>
        <w:jc w:val="left"/>
      </w:pPr>
      <w:r>
        <w:rPr>
          <w:rFonts w:ascii="Times New Roman" w:hAnsi="Times New Roman" w:eastAsia="Times New Roman" w:cs="Times New Roman"/>
        </w:rPr>
        <w:t>Le pape, qui est la femme montée sur la bête, règne sur tous les rois de la terre. Ces rois sont représentés comme « dix rois », lesquels constituent la puissance du dragon des derniers jours. Ce sont les rois avec lesquels la prostituée de Tyr se livre à la fornication. Ces « dix rois » ont été contraints d’accepter l’autorité de la papauté, mais le principal roi parmi ces dix rois est les États-Unis. Les États-Unis sont donc aussi représentés par Achab, le roi des dix royaumes du nord d’Israël. Le nombre « sept » signifie « complet », et lorsque la papauté est dépeinte comme régnant sur les rois de la terre, elle règne aussi sur les dix rois et elle est assise sur les sept têtes.</w:t>
      </w:r>
    </w:p>
    <w:p>
      <w:pPr>
        <w:pStyle w:val="ArticleBody"/>
        <w:jc w:val="left"/>
      </w:pPr>
      <w:r>
        <w:rPr>
          <w:rFonts w:ascii="Times New Roman" w:hAnsi="Times New Roman" w:eastAsia="Times New Roman" w:cs="Times New Roman"/>
        </w:rPr>
        <w:t>Nansi igitekerezo gifite ubwenge, kuko abanyabwenge bo mu minsi ya nyuma bakoresha uburyo bw’“umurongo ku wundi murongo,” kandi bamenya ko buri kimenyetso cy’ubutegetsi bwa Leta indaya itegekaho kigaragaza ukuri kumwe. Kandi ategeka no ku misozi irindwi, kandi Abamillerite bagaragaje ko “umusozi” mu buhanuzi bwa Bibiliya ari ikimenyetso cy’ubwami, ariko kandi bagaragaje ko ibimenyetso bifite ubusobanuro burenze bumwe.</w:t>
      </w:r>
    </w:p>
    <w:p>
      <w:pPr>
        <w:pStyle w:val="ArticleBody"/>
        <w:jc w:val="left"/>
      </w:pPr>
      <w:r>
        <w:rPr>
          <w:rFonts w:ascii="Times New Roman" w:hAnsi="Times New Roman" w:eastAsia="Times New Roman" w:cs="Times New Roman"/>
        </w:rPr>
        <w:t>Les montagnes sont aussi un symbole de l’Église. Dans les Écritures, la « glorieuse montagne sainte » représente l’Église de Dieu.</w:t>
      </w:r>
    </w:p>
    <w:p>
      <w:pPr>
        <w:pStyle w:val="ArticleScripture"/>
        <w:jc w:val="left"/>
      </w:pPr>
      <w:r>
        <w:rPr>
          <w:rFonts w:ascii="Times New Roman" w:hAnsi="Times New Roman" w:eastAsia="Times New Roman" w:cs="Times New Roman"/>
        </w:rPr>
        <w:t>La parole qu’Ésaïe, fils d’Amots, a vue au sujet de Juda et de Jérusalem. Et il arrivera, dans les derniers jours, que la montagne de la maison de l’Éternel sera établie au sommet des montagnes, et qu’elle s’élèvera au-dessus des collines; et toutes les nations y afflueront. Et des peuples nombreux s’y rendront et diront: Venez, et montons à la montagne de l’Éternel, à la maison du Dieu de Jacob; et il nous enseignera ses voies, et nous marcherons dans ses sentiers; car de Sion sortira la loi, et de Jérusalem la parole de l’Éternel. Ésaïe 2:1–3.</w:t>
      </w:r>
    </w:p>
    <w:p>
      <w:pPr>
        <w:pStyle w:val="ArticleBody"/>
        <w:jc w:val="left"/>
      </w:pPr>
      <w:r>
        <w:rPr>
          <w:rFonts w:ascii="Times New Roman" w:hAnsi="Times New Roman" w:eastAsia="Times New Roman" w:cs="Times New Roman"/>
        </w:rPr>
        <w:t>“Nyumba ya Bwana” ni kanisa Lake, nayo ni “mlima.” Yule kahaba mkuu ameketi juu ya milima saba, hivyo ikidhihirisha kwamba anatawala juu ya makanisa yote, kama vile anavyotawala juu ya wafalme wote. Ana mamlaka juu ya makanisa yote na juu ya falme zote katika ulimwengu wote.</w:t>
      </w:r>
    </w:p>
    <w:p>
      <w:pPr>
        <w:pStyle w:val="ArticleBody"/>
        <w:jc w:val="left"/>
      </w:pPr>
      <w:r>
        <w:rPr>
          <w:rFonts w:ascii="Times New Roman" w:hAnsi="Times New Roman" w:eastAsia="Times New Roman" w:cs="Times New Roman"/>
        </w:rPr>
        <w:t>Ang pananan-awon nga giila ni Isaias nga miabut kaniya “mahitungod sa Juda ug Jerusalem,” nga atong bag-o lang gikutlo, nagapadayon, ug mao gihapon kini ang mao rang teksto sa kapitulo upat; ug sumala kang Isaias, mao gihapon kini ang “maong adlaw” nga ang mga tawo nagaingon, “Umari kamo, ug mangadto kita sa bukid sa Ginoo, sa balay sa Dios ni Jacob.” Nianang maong yugto sa panahon, “pito ka mga babaye” ang gihisgutan.</w:t>
      </w:r>
    </w:p>
    <w:p>
      <w:pPr>
        <w:pStyle w:val="ArticleScripture"/>
        <w:jc w:val="left"/>
      </w:pPr>
      <w:r>
        <w:rPr>
          <w:rFonts w:ascii="Times New Roman" w:hAnsi="Times New Roman" w:eastAsia="Times New Roman" w:cs="Times New Roman"/>
        </w:rPr>
        <w:t>E naquele dia sete mulheres lançarão mão de um homem, dizendo: Nós comeremos o nosso próprio pão, e vestiremos as nossas próprias roupas; tão-somente deixa-nos ser chamadas pelo teu nome, para tirar o nosso opróbrio. Naquele dia o Renovo do Senhor será belo e glorioso, e o fruto da terra será excelente e formoso para os que tiverem escapado de Israel. E acontecerá que aquele que ficar em Sião, e o que permanecer em Jerusalém, será chamado santo, a saber, todo aquele que está inscrito entre os vivos em Jerusalém; quando o Senhor lavar a imundícia das filhas de Sião, e expurgar do meio dela o sangue de Jerusalém, com o espírito de juízo e com o espírito de ardor. E o Senhor criará sobre toda a habitação do monte Sião, e sobre as suas assembleias, uma nuvem e fumaça de dia, e o resplendor de um fogo flamejante de noite; porque sobre toda a glória haverá proteção. E haverá um tabernáculo para sombra contra o calor do dia, e para refúgio, e para esconderijo contra a tempestade e contra a chuva. Isaías 4:1–6.</w:t>
      </w:r>
    </w:p>
    <w:p>
      <w:pPr>
        <w:pStyle w:val="ArticleBody"/>
        <w:jc w:val="left"/>
      </w:pP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ਹਵਾਵਾਂ</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ਉਠਾਏ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ਜਵਾਬ</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ਭੇੜ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ਸੁਣਦੀ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w:t>
      </w:r>
      <w:r>
        <w:rPr>
          <w:rFonts w:ascii="Nirmala UI" w:hAnsi="Nirmala UI" w:eastAsia="Nirmala UI" w:cs="Nirmala UI"/>
        </w:rPr>
        <w:t>ਆਓ</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ਚੜ੍ਹੀਏ।</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Ni sa “oră” aceea, marea curvă începe să-și cânte cântecele și să curvească împreună cu împărații pământului. Cei care nu sunt scriși în cartea vieții Mielului urmează curva, iar bisericile lor ajung sub autoritatea ei. Aceste biserici sunt înfățișate de Isaia ca „șapte femei”. Aceste „șapte femei” sunt „șapte munți” peste care papalitatea va stăpâni, pe măsură ce Statele Unite constrâng întreaga lume să ridice un chip al fiarei care va vorbi și va face ca toți să primească semnul autorității papale.</w:t>
      </w:r>
    </w:p>
    <w:p>
      <w:pPr>
        <w:pStyle w:val="ArticleBody"/>
        <w:jc w:val="left"/>
      </w:pPr>
      <w:r>
        <w:rPr>
          <w:rFonts w:ascii="Microsoft YaHei" w:hAnsi="Microsoft YaHei" w:eastAsia="Microsoft YaHei" w:cs="Microsoft YaHei"/>
        </w:rPr>
        <w:t>七人</w:t>
      </w:r>
      <w:r>
        <w:rPr>
          <w:rFonts w:ascii="MS Gothic" w:hAnsi="MS Gothic" w:eastAsia="MS Gothic" w:cs="MS Gothic"/>
        </w:rPr>
        <w:t>の</w:t>
      </w:r>
      <w:r>
        <w:rPr>
          <w:rFonts w:ascii="Microsoft YaHei" w:hAnsi="Microsoft YaHei" w:eastAsia="Microsoft YaHei" w:cs="Microsoft YaHei"/>
        </w:rPr>
        <w:t>「女</w:t>
      </w:r>
      <w:r>
        <w:rPr>
          <w:rFonts w:ascii="MS Gothic" w:hAnsi="MS Gothic" w:eastAsia="MS Gothic" w:cs="MS Gothic"/>
        </w:rPr>
        <w:t>が</w:t>
      </w:r>
      <w:r>
        <w:rPr>
          <w:rFonts w:ascii="Microsoft YaHei" w:hAnsi="Microsoft YaHei" w:eastAsia="Microsoft YaHei" w:cs="Microsoft YaHei"/>
        </w:rPr>
        <w:t>一人</w:t>
      </w:r>
      <w:r>
        <w:rPr>
          <w:rFonts w:ascii="MS Gothic" w:hAnsi="MS Gothic" w:eastAsia="MS Gothic" w:cs="MS Gothic"/>
        </w:rPr>
        <w:t>の</w:t>
      </w:r>
      <w:r>
        <w:rPr>
          <w:rFonts w:ascii="Microsoft YaHei" w:hAnsi="Microsoft YaHei" w:eastAsia="Microsoft YaHei" w:cs="Microsoft YaHei"/>
        </w:rPr>
        <w:t>男</w:t>
      </w:r>
      <w:r>
        <w:rPr>
          <w:rFonts w:ascii="MS Gothic" w:hAnsi="MS Gothic" w:eastAsia="MS Gothic" w:cs="MS Gothic"/>
        </w:rPr>
        <w:t>をつかむ</w:t>
      </w:r>
      <w:r>
        <w:rPr>
          <w:rFonts w:ascii="Microsoft YaHei" w:hAnsi="Microsoft YaHei" w:eastAsia="Microsoft YaHei" w:cs="Microsoft YaHei"/>
        </w:rPr>
        <w:t>」</w:t>
      </w:r>
      <w:r>
        <w:rPr>
          <w:rFonts w:ascii="MS Gothic" w:hAnsi="MS Gothic" w:eastAsia="MS Gothic" w:cs="MS Gothic"/>
        </w:rPr>
        <w:t>のであり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「男」</w:t>
      </w:r>
      <w:r>
        <w:rPr>
          <w:rFonts w:ascii="MS Gothic" w:hAnsi="MS Gothic" w:eastAsia="MS Gothic" w:cs="MS Gothic"/>
        </w:rPr>
        <w:t>とは</w:t>
      </w:r>
      <w:r>
        <w:rPr>
          <w:rFonts w:ascii="Microsoft YaHei" w:hAnsi="Microsoft YaHei" w:eastAsia="Microsoft YaHei" w:cs="Microsoft YaHei"/>
        </w:rPr>
        <w:t>、</w:t>
      </w:r>
      <w:r>
        <w:rPr>
          <w:rFonts w:ascii="MS Gothic" w:hAnsi="MS Gothic" w:eastAsia="MS Gothic" w:cs="MS Gothic"/>
        </w:rPr>
        <w:t>パウロが</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と</w:t>
      </w:r>
      <w:r>
        <w:rPr>
          <w:rFonts w:ascii="Microsoft YaHei" w:hAnsi="Microsoft YaHei" w:eastAsia="Microsoft YaHei" w:cs="Microsoft YaHei"/>
        </w:rPr>
        <w:t>特定</w:t>
      </w:r>
      <w:r>
        <w:rPr>
          <w:rFonts w:ascii="MS Gothic" w:hAnsi="MS Gothic" w:eastAsia="MS Gothic" w:cs="MS Gothic"/>
        </w:rPr>
        <w:t>しているその</w:t>
      </w:r>
      <w:r>
        <w:rPr>
          <w:rFonts w:ascii="Microsoft YaHei" w:hAnsi="Microsoft YaHei" w:eastAsia="Microsoft YaHei" w:cs="Microsoft YaHei"/>
        </w:rPr>
        <w:t>「人」</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試練</w:t>
      </w:r>
      <w:r>
        <w:rPr>
          <w:rFonts w:ascii="MS Gothic" w:hAnsi="MS Gothic" w:eastAsia="MS Gothic" w:cs="MS Gothic"/>
        </w:rPr>
        <w:t>の</w:t>
      </w:r>
      <w:r>
        <w:rPr>
          <w:rFonts w:ascii="Microsoft YaHei" w:hAnsi="Microsoft YaHei" w:eastAsia="Microsoft YaHei" w:cs="Microsoft YaHei"/>
        </w:rPr>
        <w:t>時期</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エルサレムに</w:t>
      </w:r>
      <w:r>
        <w:rPr>
          <w:rFonts w:ascii="Microsoft YaHei" w:hAnsi="Microsoft YaHei" w:eastAsia="Microsoft YaHei" w:cs="Microsoft YaHei"/>
        </w:rPr>
        <w:t>残</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エルサレムにとどまる</w:t>
      </w:r>
      <w:r>
        <w:rPr>
          <w:rFonts w:ascii="Microsoft YaHei" w:hAnsi="Microsoft YaHei" w:eastAsia="Microsoft YaHei" w:cs="Microsoft YaHei"/>
        </w:rPr>
        <w:t>者</w:t>
      </w:r>
      <w:r>
        <w:rPr>
          <w:rFonts w:ascii="MS Gothic" w:hAnsi="MS Gothic" w:eastAsia="MS Gothic" w:cs="MS Gothic"/>
        </w:rPr>
        <w:t>は</w:t>
      </w:r>
      <w:r>
        <w:rPr>
          <w:rFonts w:ascii="Microsoft YaHei" w:hAnsi="Microsoft YaHei" w:eastAsia="Microsoft YaHei" w:cs="Microsoft YaHei"/>
        </w:rPr>
        <w:t>聖</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ばれる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エルサレムにあって</w:t>
      </w:r>
      <w:r>
        <w:rPr>
          <w:rFonts w:ascii="Microsoft YaHei" w:hAnsi="Microsoft YaHei" w:eastAsia="Microsoft YaHei" w:cs="Microsoft YaHei"/>
        </w:rPr>
        <w:t>生</w:t>
      </w:r>
      <w:r>
        <w:rPr>
          <w:rFonts w:ascii="MS Gothic" w:hAnsi="MS Gothic" w:eastAsia="MS Gothic" w:cs="MS Gothic"/>
        </w:rPr>
        <w:t>ける</w:t>
      </w:r>
      <w:r>
        <w:rPr>
          <w:rFonts w:ascii="Microsoft YaHei" w:hAnsi="Microsoft YaHei" w:eastAsia="Microsoft YaHei" w:cs="Microsoft YaHei"/>
        </w:rPr>
        <w:t>者</w:t>
      </w:r>
      <w:r>
        <w:rPr>
          <w:rFonts w:ascii="MS Gothic" w:hAnsi="MS Gothic" w:eastAsia="MS Gothic" w:cs="MS Gothic"/>
        </w:rPr>
        <w:t>としてしるされている</w:t>
      </w:r>
      <w:r>
        <w:rPr>
          <w:rFonts w:ascii="Microsoft YaHei" w:hAnsi="Microsoft YaHei" w:eastAsia="Microsoft YaHei" w:cs="Microsoft YaHei"/>
        </w:rPr>
        <w:t>者</w:t>
      </w:r>
      <w:r>
        <w:rPr>
          <w:rFonts w:ascii="MS Gothic" w:hAnsi="MS Gothic" w:eastAsia="MS Gothic" w:cs="MS Gothic"/>
        </w:rPr>
        <w:t>はみな</w:t>
      </w:r>
      <w:r>
        <w:rPr>
          <w:rFonts w:ascii="Microsoft YaHei" w:hAnsi="Microsoft YaHei" w:eastAsia="Microsoft YaHei" w:cs="Microsoft YaHei"/>
        </w:rPr>
        <w:t>、</w:t>
      </w:r>
      <w:r>
        <w:rPr>
          <w:rFonts w:ascii="MS Gothic" w:hAnsi="MS Gothic" w:eastAsia="MS Gothic" w:cs="MS Gothic"/>
        </w:rPr>
        <w:t>そう</w:t>
      </w:r>
      <w:r>
        <w:rPr>
          <w:rFonts w:ascii="Microsoft YaHei" w:hAnsi="Microsoft YaHei" w:eastAsia="Microsoft YaHei" w:cs="Microsoft YaHei"/>
        </w:rPr>
        <w:t>呼</w:t>
      </w:r>
      <w:r>
        <w:rPr>
          <w:rFonts w:ascii="MS Gothic" w:hAnsi="MS Gothic" w:eastAsia="MS Gothic" w:cs="MS Gothic"/>
        </w:rPr>
        <w:t>ばれる</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とは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時代</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名</w:t>
      </w:r>
      <w:r>
        <w:rPr>
          <w:rFonts w:ascii="MS Gothic" w:hAnsi="MS Gothic" w:eastAsia="MS Gothic" w:cs="MS Gothic"/>
        </w:rPr>
        <w:t>がいのちの</w:t>
      </w:r>
      <w:r>
        <w:rPr>
          <w:rFonts w:ascii="Microsoft YaHei" w:hAnsi="Microsoft YaHei" w:eastAsia="Microsoft YaHei" w:cs="Microsoft YaHei"/>
        </w:rPr>
        <w:t>書、</w:t>
      </w:r>
      <w:r>
        <w:rPr>
          <w:rFonts w:ascii="MS Gothic" w:hAnsi="MS Gothic" w:eastAsia="MS Gothic" w:cs="MS Gothic"/>
        </w:rPr>
        <w:t>すなわち</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基</w:t>
      </w:r>
      <w:r>
        <w:rPr>
          <w:rFonts w:ascii="MS Gothic" w:hAnsi="MS Gothic" w:eastAsia="MS Gothic" w:cs="MS Gothic"/>
        </w:rPr>
        <w:t>の</w:t>
      </w:r>
      <w:r>
        <w:rPr>
          <w:rFonts w:ascii="Microsoft YaHei" w:hAnsi="Microsoft YaHei" w:eastAsia="Microsoft YaHei" w:cs="Microsoft YaHei"/>
        </w:rPr>
        <w:t>置</w:t>
      </w:r>
      <w:r>
        <w:rPr>
          <w:rFonts w:ascii="MS Gothic" w:hAnsi="MS Gothic" w:eastAsia="MS Gothic" w:cs="MS Gothic"/>
        </w:rPr>
        <w:t>かれる</w:t>
      </w:r>
      <w:r>
        <w:rPr>
          <w:rFonts w:ascii="Microsoft YaHei" w:hAnsi="Microsoft YaHei" w:eastAsia="Microsoft YaHei" w:cs="Microsoft YaHei"/>
        </w:rPr>
        <w:t>前</w:t>
      </w:r>
      <w:r>
        <w:rPr>
          <w:rFonts w:ascii="MS Gothic" w:hAnsi="MS Gothic" w:eastAsia="MS Gothic" w:cs="MS Gothic"/>
        </w:rPr>
        <w:t>からほふられた</w:t>
      </w:r>
      <w:r>
        <w:rPr>
          <w:rFonts w:ascii="Microsoft YaHei" w:hAnsi="Microsoft YaHei" w:eastAsia="Microsoft YaHei" w:cs="Microsoft YaHei"/>
        </w:rPr>
        <w:t>小羊</w:t>
      </w:r>
      <w:r>
        <w:rPr>
          <w:rFonts w:ascii="MS Gothic" w:hAnsi="MS Gothic" w:eastAsia="MS Gothic" w:cs="MS Gothic"/>
        </w:rPr>
        <w:t>の</w:t>
      </w:r>
      <w:r>
        <w:rPr>
          <w:rFonts w:ascii="Microsoft YaHei" w:hAnsi="Microsoft YaHei" w:eastAsia="Microsoft YaHei" w:cs="Microsoft YaHei"/>
        </w:rPr>
        <w:t>書</w:t>
      </w:r>
      <w:r>
        <w:rPr>
          <w:rFonts w:ascii="MS Gothic" w:hAnsi="MS Gothic" w:eastAsia="MS Gothic" w:cs="MS Gothic"/>
        </w:rPr>
        <w:t>に</w:t>
      </w:r>
      <w:r>
        <w:rPr>
          <w:rFonts w:ascii="Microsoft YaHei" w:hAnsi="Microsoft YaHei" w:eastAsia="Microsoft YaHei" w:cs="Microsoft YaHei"/>
        </w:rPr>
        <w:t>記</w:t>
      </w:r>
      <w:r>
        <w:rPr>
          <w:rFonts w:ascii="MS Gothic" w:hAnsi="MS Gothic" w:eastAsia="MS Gothic" w:cs="MS Gothic"/>
        </w:rPr>
        <w:t>されている</w:t>
      </w:r>
      <w:r>
        <w:rPr>
          <w:rFonts w:ascii="Microsoft YaHei" w:hAnsi="Microsoft YaHei" w:eastAsia="Microsoft YaHei" w:cs="Microsoft YaHei"/>
        </w:rPr>
        <w:t>者</w:t>
      </w:r>
      <w:r>
        <w:rPr>
          <w:rFonts w:ascii="MS Gothic" w:hAnsi="MS Gothic" w:eastAsia="MS Gothic" w:cs="MS Gothic"/>
        </w:rPr>
        <w:t>たちである</w:t>
      </w:r>
      <w:r>
        <w:rPr>
          <w:rFonts w:ascii="Times New Roman" w:hAnsi="Times New Roman" w:eastAsia="Times New Roman" w:cs="Times New Roman"/>
        </w:rPr>
        <w:t>.</w:t>
      </w:r>
      <w:r>
        <w:rPr>
          <w:rFonts w:ascii="Microsoft YaHei" w:hAnsi="Microsoft YaHei" w:eastAsia="Microsoft YaHei" w:cs="Microsoft YaHei"/>
        </w:rPr>
        <w:t>他方、「罪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をつかむもう</w:t>
      </w:r>
      <w:r>
        <w:rPr>
          <w:rFonts w:ascii="Microsoft YaHei" w:hAnsi="Microsoft YaHei" w:eastAsia="Microsoft YaHei" w:cs="Microsoft YaHei"/>
        </w:rPr>
        <w:t>一方</w:t>
      </w:r>
      <w:r>
        <w:rPr>
          <w:rFonts w:ascii="MS Gothic" w:hAnsi="MS Gothic" w:eastAsia="MS Gothic" w:cs="MS Gothic"/>
        </w:rPr>
        <w:t>の</w:t>
      </w:r>
      <w:r>
        <w:rPr>
          <w:rFonts w:ascii="Microsoft YaHei" w:hAnsi="Microsoft YaHei" w:eastAsia="Microsoft YaHei" w:cs="Microsoft YaHei"/>
        </w:rPr>
        <w:t>部類</w:t>
      </w:r>
      <w:r>
        <w:rPr>
          <w:rFonts w:ascii="MS Gothic" w:hAnsi="MS Gothic" w:eastAsia="MS Gothic" w:cs="MS Gothic"/>
        </w:rPr>
        <w:t>の</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、黙示録第十三章</w:t>
      </w:r>
      <w:r>
        <w:rPr>
          <w:rFonts w:ascii="MS Gothic" w:hAnsi="MS Gothic" w:eastAsia="MS Gothic" w:cs="MS Gothic"/>
        </w:rPr>
        <w:t>においてその</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を</w:t>
      </w:r>
      <w:r>
        <w:rPr>
          <w:rFonts w:ascii="Microsoft YaHei" w:hAnsi="Microsoft YaHei" w:eastAsia="Microsoft YaHei" w:cs="Microsoft YaHei"/>
        </w:rPr>
        <w:t>拝</w:t>
      </w:r>
      <w:r>
        <w:rPr>
          <w:rFonts w:ascii="MS Gothic" w:hAnsi="MS Gothic" w:eastAsia="MS Gothic" w:cs="MS Gothic"/>
        </w:rPr>
        <w:t>む</w:t>
      </w:r>
      <w:r>
        <w:rPr>
          <w:rFonts w:ascii="Microsoft YaHei" w:hAnsi="Microsoft YaHei" w:eastAsia="Microsoft YaHei" w:cs="Microsoft YaHei"/>
        </w:rPr>
        <w:t>者</w:t>
      </w:r>
      <w:r>
        <w:rPr>
          <w:rFonts w:ascii="MS Gothic" w:hAnsi="MS Gothic" w:eastAsia="MS Gothic" w:cs="MS Gothic"/>
        </w:rPr>
        <w:t>たちである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کۆ هدەمهەمى ئەوانەى لەسەر زەوى نیشتەجێن، کڕنۆشى ئەو دەبەن، ئەوانەى ناوەکانیان لە پەرتووکی ژیانی بەرخەکەی سەربڕاو لە بنچینەی جیهانەوە نەنووسراون. ئەگەر کەسێک گوێی هەبێت، با ببیستێت. ئاشکراکردنەوەی 13:8، 9</w:t>
      </w:r>
    </w:p>
    <w:p>
      <w:pPr>
        <w:pStyle w:val="ArticleBody"/>
        <w:jc w:val="left"/>
      </w:pPr>
      <w:r>
        <w:rPr>
          <w:rFonts w:ascii="Times New Roman" w:hAnsi="Times New Roman" w:eastAsia="Times New Roman" w:cs="Times New Roman"/>
        </w:rPr>
        <w:t>“</w:t>
      </w:r>
      <w:r>
        <w:rPr>
          <w:rFonts w:ascii="Myanmar Text" w:hAnsi="Myanmar Text" w:eastAsia="Myanmar Text" w:cs="Myanmar Text"/>
        </w:rPr>
        <w:t>မဟာမြေငလျင်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အကျပ်အတည်းဖြစ်ပြီး၊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စုံစမ်းစစ်ဆေးသော</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နိဂုံးချုပ်ဖြစ်သည်။</w:t>
      </w:r>
      <w:r>
        <w:rPr>
          <w:rFonts w:ascii="Times New Roman" w:hAnsi="Times New Roman" w:eastAsia="Times New Roman" w:cs="Times New Roman"/>
        </w:rPr>
        <w:t xml:space="preserve"> </w:t>
      </w:r>
      <w:r>
        <w:rPr>
          <w:rFonts w:ascii="Myanmar Text" w:hAnsi="Myanmar Text" w:eastAsia="Myanmar Text" w:cs="Myanmar Text"/>
        </w:rPr>
        <w:t>ထိုတရားစီရင်ခြင်းသည်</w:t>
      </w:r>
      <w:r>
        <w:rPr>
          <w:rFonts w:ascii="Times New Roman" w:hAnsi="Times New Roman" w:eastAsia="Times New Roman" w:cs="Times New Roman"/>
        </w:rPr>
        <w:t xml:space="preserve"> </w:t>
      </w:r>
      <w:r>
        <w:rPr>
          <w:rFonts w:ascii="Myanmar Text" w:hAnsi="Myanmar Text" w:eastAsia="Myanmar Text" w:cs="Myanmar Text"/>
        </w:rPr>
        <w:t>သင်၏အမည်ကို</w:t>
      </w:r>
      <w:r>
        <w:rPr>
          <w:rFonts w:ascii="Times New Roman" w:hAnsi="Times New Roman" w:eastAsia="Times New Roman" w:cs="Times New Roman"/>
        </w:rPr>
        <w:t xml:space="preserve"> </w:t>
      </w:r>
      <w:r>
        <w:rPr>
          <w:rFonts w:ascii="Myanmar Text" w:hAnsi="Myanmar Text" w:eastAsia="Myanmar Text" w:cs="Myanmar Text"/>
        </w:rPr>
        <w:t>အသက်စာအုပ်၌</w:t>
      </w:r>
      <w:r>
        <w:rPr>
          <w:rFonts w:ascii="Times New Roman" w:hAnsi="Times New Roman" w:eastAsia="Times New Roman" w:cs="Times New Roman"/>
        </w:rPr>
        <w:t xml:space="preserve"> </w:t>
      </w:r>
      <w:r>
        <w:rPr>
          <w:rFonts w:ascii="Myanmar Text" w:hAnsi="Myanmar Text" w:eastAsia="Myanmar Text" w:cs="Myanmar Text"/>
        </w:rPr>
        <w:t>မှတ်သွင်းထားသည်ကို</w:t>
      </w:r>
      <w:r>
        <w:rPr>
          <w:rFonts w:ascii="Times New Roman" w:hAnsi="Times New Roman" w:eastAsia="Times New Roman" w:cs="Times New Roman"/>
        </w:rPr>
        <w:t xml:space="preserve"> </w:t>
      </w:r>
      <w:r>
        <w:rPr>
          <w:rFonts w:ascii="Myanmar Text" w:hAnsi="Myanmar Text" w:eastAsia="Myanmar Text" w:cs="Myanmar Text"/>
        </w:rPr>
        <w:t>တွေ့ရှိသလော၊</w:t>
      </w:r>
      <w:r>
        <w:rPr>
          <w:rFonts w:ascii="Times New Roman" w:hAnsi="Times New Roman" w:eastAsia="Times New Roman" w:cs="Times New Roman"/>
        </w:rPr>
        <w:t xml:space="preserve"> </w:t>
      </w:r>
      <w:r>
        <w:rPr>
          <w:rFonts w:ascii="Myanmar Text" w:hAnsi="Myanmar Text" w:eastAsia="Myanmar Text" w:cs="Myanmar Text"/>
        </w:rPr>
        <w:t>မတွေ့ရှိသလော</w:t>
      </w:r>
      <w:r>
        <w:rPr>
          <w:rFonts w:ascii="Times New Roman" w:hAnsi="Times New Roman" w:eastAsia="Times New Roman" w:cs="Times New Roman"/>
        </w:rPr>
        <w:t xml:space="preserve"> </w:t>
      </w:r>
      <w:r>
        <w:rPr>
          <w:rFonts w:ascii="Myanmar Text" w:hAnsi="Myanmar Text" w:eastAsia="Myanmar Text" w:cs="Myanmar Text"/>
        </w:rPr>
        <w:t>ဆိုသောအပေါ်၌</w:t>
      </w:r>
      <w:r>
        <w:rPr>
          <w:rFonts w:ascii="Times New Roman" w:hAnsi="Times New Roman" w:eastAsia="Times New Roman" w:cs="Times New Roman"/>
        </w:rPr>
        <w:t xml:space="preserve"> </w:t>
      </w:r>
      <w:r>
        <w:rPr>
          <w:rFonts w:ascii="Myanmar Text" w:hAnsi="Myanmar Text" w:eastAsia="Myanmar Text" w:cs="Myanmar Text"/>
        </w:rPr>
        <w:t>အခြေခံထားသည်။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အသက်စာအုပ်နှင့်</w:t>
      </w:r>
      <w:r>
        <w:rPr>
          <w:rFonts w:ascii="Times New Roman" w:hAnsi="Times New Roman" w:eastAsia="Times New Roman" w:cs="Times New Roman"/>
        </w:rPr>
        <w:t xml:space="preserve"> </w:t>
      </w:r>
      <w:r>
        <w:rPr>
          <w:rFonts w:ascii="Myanmar Text" w:hAnsi="Myanmar Text" w:eastAsia="Myanmar Text" w:cs="Myanmar Text"/>
        </w:rPr>
        <w:t>ဆက်နွှယ်မှုအားဖြင့်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လူတန်းစားနှစ်ရပ်သည်</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အဆုံးသတ်အခန်းကဏ္ဍများကို</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ဖော်ထုတ်ပြသလျက်ရှိသည်။</w:t>
      </w:r>
      <w:r>
        <w:rPr>
          <w:rFonts w:ascii="Times New Roman" w:hAnsi="Times New Roman" w:eastAsia="Times New Roman" w:cs="Times New Roman"/>
        </w:rPr>
        <w:t xml:space="preserve"> “</w:t>
      </w:r>
      <w:r>
        <w:rPr>
          <w:rFonts w:ascii="Myanmar Text" w:hAnsi="Myanmar Text" w:eastAsia="Myanmar Text" w:cs="Myanmar Text"/>
        </w:rPr>
        <w:t>အပြစ်၏လူ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ဆုပ်ကိုင်ထားသူတို့သည်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ကိုယ်ပိုင်မုန့်ကို</w:t>
      </w:r>
      <w:r>
        <w:rPr>
          <w:rFonts w:ascii="Times New Roman" w:hAnsi="Times New Roman" w:eastAsia="Times New Roman" w:cs="Times New Roman"/>
        </w:rPr>
        <w:t xml:space="preserve"> </w:t>
      </w:r>
      <w:r>
        <w:rPr>
          <w:rFonts w:ascii="Myanmar Text" w:hAnsi="Myanmar Text" w:eastAsia="Myanmar Text" w:cs="Myanmar Text"/>
        </w:rPr>
        <w:t>စားမည်၊</w:t>
      </w:r>
      <w:r>
        <w:rPr>
          <w:rFonts w:ascii="Times New Roman" w:hAnsi="Times New Roman" w:eastAsia="Times New Roman" w:cs="Times New Roman"/>
        </w:rPr>
        <w:t xml:space="preserve"> </w:t>
      </w:r>
      <w:r>
        <w:rPr>
          <w:rFonts w:ascii="Myanmar Text" w:hAnsi="Myanmar Text" w:eastAsia="Myanmar Text" w:cs="Myanmar Text"/>
        </w:rPr>
        <w:t>ကိုယ်ပိုင်အဝတ်ကို</w:t>
      </w:r>
      <w:r>
        <w:rPr>
          <w:rFonts w:ascii="Times New Roman" w:hAnsi="Times New Roman" w:eastAsia="Times New Roman" w:cs="Times New Roman"/>
        </w:rPr>
        <w:t xml:space="preserve"> </w:t>
      </w:r>
      <w:r>
        <w:rPr>
          <w:rFonts w:ascii="Myanmar Text" w:hAnsi="Myanmar Text" w:eastAsia="Myanmar Text" w:cs="Myanmar Text"/>
        </w:rPr>
        <w:t>ဝတ်မည်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ကြေညာကြသော်လည်း၊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အဓိကဆန္ဒမှာ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အမည်ဖြင့်</w:t>
      </w:r>
      <w:r>
        <w:rPr>
          <w:rFonts w:ascii="Times New Roman" w:hAnsi="Times New Roman" w:eastAsia="Times New Roman" w:cs="Times New Roman"/>
        </w:rPr>
        <w:t xml:space="preserve"> </w:t>
      </w:r>
      <w:r>
        <w:rPr>
          <w:rFonts w:ascii="Myanmar Text" w:hAnsi="Myanmar Text" w:eastAsia="Myanmar Text" w:cs="Myanmar Text"/>
        </w:rPr>
        <w:t>ခေါ်ဝေါ်ခြင်းခံရရန်</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Ils conserveront leur propre déclaration doctrinale de croyances (mangeront leur propre pain), et garderont leur profession confessionnelle (leur propre vêtement), mais accepteront le nom de l’« homme de péché ». Le nom de l’« homme de péché » est « catholique », ce qui signifie « universel ». Ceux qui s’attachent à l’« homme de péché » souhaitent devenir partie de l’« Église universelle », qui est l’Église catholique. Ils désirent cette relation afin d’« ôter » leur « opprobre ».</w:t>
      </w:r>
    </w:p>
    <w:p>
      <w:pPr>
        <w:pStyle w:val="ArticleBody"/>
        <w:jc w:val="left"/>
      </w:pPr>
      <w:r>
        <w:rPr>
          <w:rFonts w:ascii="Times New Roman" w:hAnsi="Times New Roman" w:eastAsia="Times New Roman" w:cs="Times New Roman"/>
        </w:rPr>
        <w:t>Die „Schmach“ betrifft zwei bedeutende Elemente des Tieres, das in den letzten Tagen über alle Kirchen und alle Nationen herrscht. In der „Stunde des großen Erdbebens“ in Offenbarung elf „kommt das dritte Wehe schnell“. Das „dritte Wehe“ ist der Islam. In der „Stunde des großen Erdbebens“ in Offenbarung elf erschallt die siebte Posaune. Die siebte Posaune ist der Islam. Der Islam schlägt in der „Stunde des großen Erdbebens“ zu; denn alle Posaunen sind die prophetischen Werkzeuge, deren Gott sich im Gericht über die erzwungene Sonntagsverehrung im Verlauf der gesamten Weltgeschichte bedient hat.</w:t>
      </w:r>
    </w:p>
    <w:p>
      <w:pPr>
        <w:pStyle w:val="ArticleBody"/>
        <w:jc w:val="left"/>
      </w:pPr>
      <w:r>
        <w:rPr>
          <w:rFonts w:ascii="Times New Roman" w:hAnsi="Times New Roman" w:eastAsia="Times New Roman" w:cs="Times New Roman"/>
        </w:rPr>
        <w:t>Lorsque la « ruine nationale » des États-Unis sera provoquée, lors de la loi dominicale imminente, « les nations se mettront en colère ». Dans la prophétie biblique, c’est l’islam qui met les nations en colère, comme le représente la première mention de l’islam dans le livre de la Genèse.</w:t>
      </w:r>
    </w:p>
    <w:p>
      <w:pPr>
        <w:pStyle w:val="ArticleScripture"/>
        <w:jc w:val="left"/>
      </w:pP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गर्भवती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वनमानुष</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16:11, 12.</w:t>
      </w:r>
    </w:p>
    <w:p>
      <w:pPr>
        <w:pStyle w:val="ArticleBody"/>
        <w:jc w:val="left"/>
      </w:pPr>
      <w:r>
        <w:rPr>
          <w:rFonts w:ascii="Times New Roman" w:hAnsi="Times New Roman" w:eastAsia="Times New Roman" w:cs="Times New Roman"/>
        </w:rPr>
        <w:t>“</w:t>
      </w:r>
      <w:r>
        <w:rPr>
          <w:rFonts w:ascii="Nirmala UI" w:hAnsi="Nirmala UI" w:eastAsia="Nirmala UI" w:cs="Nirmala UI"/>
        </w:rPr>
        <w:t>याम्बु</w:t>
      </w:r>
      <w:r>
        <w:rPr>
          <w:rFonts w:ascii="Times New Roman" w:hAnsi="Times New Roman" w:eastAsia="Times New Roman" w:cs="Times New Roman"/>
        </w:rPr>
        <w:t xml:space="preserve">” </w:t>
      </w:r>
      <w:r>
        <w:rPr>
          <w:rFonts w:ascii="Nirmala UI" w:hAnsi="Nirmala UI" w:eastAsia="Nirmala UI" w:cs="Nirmala UI"/>
        </w:rPr>
        <w:t>बुगुनि</w:t>
      </w:r>
      <w:r>
        <w:rPr>
          <w:rFonts w:ascii="Times New Roman" w:hAnsi="Times New Roman" w:eastAsia="Times New Roman" w:cs="Times New Roman"/>
        </w:rPr>
        <w:t xml:space="preserve"> </w:t>
      </w:r>
      <w:r>
        <w:rPr>
          <w:rFonts w:ascii="Nirmala UI" w:hAnsi="Nirmala UI" w:eastAsia="Nirmala UI" w:cs="Nirmala UI"/>
        </w:rPr>
        <w:t>दिनारि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इस्लामनि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दैज्लांनि</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फृथिविनि</w:t>
      </w:r>
      <w:r>
        <w:rPr>
          <w:rFonts w:ascii="Times New Roman" w:hAnsi="Times New Roman" w:eastAsia="Times New Roman" w:cs="Times New Roman"/>
        </w:rPr>
        <w:t xml:space="preserve"> </w:t>
      </w:r>
      <w:r>
        <w:rPr>
          <w:rFonts w:ascii="Nirmala UI" w:hAnsi="Nirmala UI" w:eastAsia="Nirmala UI" w:cs="Nirmala UI"/>
        </w:rPr>
        <w:t>जाथायफोर</w:t>
      </w:r>
      <w:r>
        <w:rPr>
          <w:rFonts w:ascii="Times New Roman" w:hAnsi="Times New Roman" w:eastAsia="Times New Roman" w:cs="Times New Roman"/>
        </w:rPr>
        <w:t xml:space="preserve"> </w:t>
      </w:r>
      <w:r>
        <w:rPr>
          <w:rFonts w:ascii="Nirmala UI" w:hAnsi="Nirmala UI" w:eastAsia="Nirmala UI" w:cs="Nirmala UI"/>
        </w:rPr>
        <w:t>सानैथियुनाइ</w:t>
      </w:r>
      <w:r>
        <w:rPr>
          <w:rFonts w:ascii="Times New Roman" w:hAnsi="Times New Roman" w:eastAsia="Times New Roman" w:cs="Times New Roman"/>
        </w:rPr>
        <w:t xml:space="preserve"> </w:t>
      </w:r>
      <w:r>
        <w:rPr>
          <w:rFonts w:ascii="Nirmala UI" w:hAnsi="Nirmala UI" w:eastAsia="Nirmala UI" w:cs="Nirmala UI"/>
        </w:rPr>
        <w:t>जातिसंघनि</w:t>
      </w:r>
      <w:r>
        <w:rPr>
          <w:rFonts w:ascii="Times New Roman" w:hAnsi="Times New Roman" w:eastAsia="Times New Roman" w:cs="Times New Roman"/>
        </w:rPr>
        <w:t xml:space="preserve"> </w:t>
      </w:r>
      <w:r>
        <w:rPr>
          <w:rFonts w:ascii="Nirmala UI" w:hAnsi="Nirmala UI" w:eastAsia="Nirmala UI" w:cs="Nirmala UI"/>
        </w:rPr>
        <w:t>निउ</w:t>
      </w:r>
      <w:r>
        <w:rPr>
          <w:rFonts w:ascii="Times New Roman" w:hAnsi="Times New Roman" w:eastAsia="Times New Roman" w:cs="Times New Roman"/>
        </w:rPr>
        <w:t xml:space="preserve"> </w:t>
      </w:r>
      <w:r>
        <w:rPr>
          <w:rFonts w:ascii="Nirmala UI" w:hAnsi="Nirmala UI" w:eastAsia="Nirmala UI" w:cs="Nirmala UI"/>
        </w:rPr>
        <w:t>वर्ल्ड</w:t>
      </w:r>
      <w:r>
        <w:rPr>
          <w:rFonts w:ascii="Times New Roman" w:hAnsi="Times New Roman" w:eastAsia="Times New Roman" w:cs="Times New Roman"/>
        </w:rPr>
        <w:t xml:space="preserve"> </w:t>
      </w:r>
      <w:r>
        <w:rPr>
          <w:rFonts w:ascii="Nirmala UI" w:hAnsi="Nirmala UI" w:eastAsia="Nirmala UI" w:cs="Nirmala UI"/>
        </w:rPr>
        <w:t>अर्डारनि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आवगासिनो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चर्चनि</w:t>
      </w:r>
      <w:r>
        <w:rPr>
          <w:rFonts w:ascii="Times New Roman" w:hAnsi="Times New Roman" w:eastAsia="Times New Roman" w:cs="Times New Roman"/>
        </w:rPr>
        <w:t xml:space="preserve"> </w:t>
      </w:r>
      <w:r>
        <w:rPr>
          <w:rFonts w:ascii="Nirmala UI" w:hAnsi="Nirmala UI" w:eastAsia="Nirmala UI" w:cs="Nirmala UI"/>
        </w:rPr>
        <w:t>सासनगाहायाव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पोपआ</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w:t>
      </w:r>
      <w:r>
        <w:rPr>
          <w:rFonts w:ascii="Nirmala UI" w:hAnsi="Nirmala UI" w:eastAsia="Nirmala UI" w:cs="Nirmala UI"/>
        </w:rPr>
        <w:t>फृथिवि</w:t>
      </w:r>
      <w:r>
        <w:rPr>
          <w:rFonts w:ascii="Times New Roman" w:hAnsi="Times New Roman" w:eastAsia="Times New Roman" w:cs="Times New Roman"/>
        </w:rPr>
        <w:t xml:space="preserve"> </w:t>
      </w:r>
      <w:r>
        <w:rPr>
          <w:rFonts w:ascii="Nirmala UI" w:hAnsi="Nirmala UI" w:eastAsia="Nirmala UI" w:cs="Nirmala UI"/>
        </w:rPr>
        <w:t>बिबुंनि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बहिनानै</w:t>
      </w:r>
      <w:r>
        <w:rPr>
          <w:rFonts w:ascii="Times New Roman" w:hAnsi="Times New Roman" w:eastAsia="Times New Roman" w:cs="Times New Roman"/>
        </w:rPr>
        <w:t xml:space="preserve"> </w:t>
      </w:r>
      <w:r>
        <w:rPr>
          <w:rFonts w:ascii="Nirmala UI" w:hAnsi="Nirmala UI" w:eastAsia="Nirmala UI" w:cs="Nirmala UI"/>
        </w:rPr>
        <w:t>थागोन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कन्स्तान्टिनआ</w:t>
      </w:r>
      <w:r>
        <w:rPr>
          <w:rFonts w:ascii="Times New Roman" w:hAnsi="Times New Roman" w:eastAsia="Times New Roman" w:cs="Times New Roman"/>
        </w:rPr>
        <w:t xml:space="preserve"> 330 </w:t>
      </w:r>
      <w:r>
        <w:rPr>
          <w:rFonts w:ascii="Nirmala UI" w:hAnsi="Nirmala UI" w:eastAsia="Nirmala UI" w:cs="Nirmala UI"/>
        </w:rPr>
        <w:t>ख्रिस्टाब्दाव</w:t>
      </w:r>
      <w:r>
        <w:rPr>
          <w:rFonts w:ascii="Times New Roman" w:hAnsi="Times New Roman" w:eastAsia="Times New Roman" w:cs="Times New Roman"/>
        </w:rPr>
        <w:t xml:space="preserve"> </w:t>
      </w:r>
      <w:r>
        <w:rPr>
          <w:rFonts w:ascii="Nirmala UI" w:hAnsi="Nirmala UI" w:eastAsia="Nirmala UI" w:cs="Nirmala UI"/>
        </w:rPr>
        <w:t>पोपतंत्रखौ</w:t>
      </w:r>
      <w:r>
        <w:rPr>
          <w:rFonts w:ascii="Times New Roman" w:hAnsi="Times New Roman" w:eastAsia="Times New Roman" w:cs="Times New Roman"/>
        </w:rPr>
        <w:t xml:space="preserve"> </w:t>
      </w:r>
      <w:r>
        <w:rPr>
          <w:rFonts w:ascii="Nirmala UI" w:hAnsi="Nirmala UI" w:eastAsia="Nirmala UI" w:cs="Nirmala UI"/>
        </w:rPr>
        <w:t>उफा</w:t>
      </w:r>
      <w:r>
        <w:rPr>
          <w:rFonts w:ascii="Times New Roman" w:hAnsi="Times New Roman" w:eastAsia="Times New Roman" w:cs="Times New Roman"/>
        </w:rPr>
        <w:t xml:space="preserve"> </w:t>
      </w:r>
      <w:r>
        <w:rPr>
          <w:rFonts w:ascii="Nirmala UI" w:hAnsi="Nirmala UI" w:eastAsia="Nirmala UI" w:cs="Nirmala UI"/>
        </w:rPr>
        <w:t>थासारि</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जाथायफोरआ</w:t>
      </w:r>
      <w:r>
        <w:rPr>
          <w:rFonts w:ascii="Times New Roman" w:hAnsi="Times New Roman" w:eastAsia="Times New Roman" w:cs="Times New Roman"/>
        </w:rPr>
        <w:t xml:space="preserve"> </w:t>
      </w:r>
      <w:r>
        <w:rPr>
          <w:rFonts w:ascii="Nirmala UI" w:hAnsi="Nirmala UI" w:eastAsia="Nirmala UI" w:cs="Nirmala UI"/>
        </w:rPr>
        <w:t>इस्लामआ</w:t>
      </w:r>
      <w:r>
        <w:rPr>
          <w:rFonts w:ascii="Times New Roman" w:hAnsi="Times New Roman" w:eastAsia="Times New Roman" w:cs="Times New Roman"/>
        </w:rPr>
        <w:t xml:space="preserve"> </w:t>
      </w:r>
      <w:r>
        <w:rPr>
          <w:rFonts w:ascii="Nirmala UI" w:hAnsi="Nirmala UI" w:eastAsia="Nirmala UI" w:cs="Nirmala UI"/>
        </w:rPr>
        <w:t>मान्थ्रिखौ</w:t>
      </w:r>
      <w:r>
        <w:rPr>
          <w:rFonts w:ascii="Times New Roman" w:hAnsi="Times New Roman" w:eastAsia="Times New Roman" w:cs="Times New Roman"/>
        </w:rPr>
        <w:t xml:space="preserve"> </w:t>
      </w:r>
      <w:r>
        <w:rPr>
          <w:rFonts w:ascii="Nirmala UI" w:hAnsi="Nirmala UI" w:eastAsia="Nirmala UI" w:cs="Nirmala UI"/>
        </w:rPr>
        <w:t>आननाय</w:t>
      </w:r>
      <w:r>
        <w:rPr>
          <w:rFonts w:ascii="Times New Roman" w:hAnsi="Times New Roman" w:eastAsia="Times New Roman" w:cs="Times New Roman"/>
        </w:rPr>
        <w:t xml:space="preserve"> </w:t>
      </w:r>
      <w:r>
        <w:rPr>
          <w:rFonts w:ascii="Nirmala UI" w:hAnsi="Nirmala UI" w:eastAsia="Nirmala UI" w:cs="Nirmala UI"/>
        </w:rPr>
        <w:t>जुझारिनि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सोलायखौ</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जोंथायखौ</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एकजुटनि</w:t>
      </w:r>
      <w:r>
        <w:rPr>
          <w:rFonts w:ascii="Times New Roman" w:hAnsi="Times New Roman" w:eastAsia="Times New Roman" w:cs="Times New Roman"/>
        </w:rPr>
        <w:t xml:space="preserve"> </w:t>
      </w:r>
      <w:r>
        <w:rPr>
          <w:rFonts w:ascii="Nirmala UI" w:hAnsi="Nirmala UI" w:eastAsia="Nirmala UI" w:cs="Nirmala UI"/>
        </w:rPr>
        <w:t>एफर्टजोंनो</w:t>
      </w:r>
      <w:r>
        <w:rPr>
          <w:rFonts w:ascii="Times New Roman" w:hAnsi="Times New Roman" w:eastAsia="Times New Roman" w:cs="Times New Roman"/>
        </w:rPr>
        <w:t xml:space="preserve"> </w:t>
      </w:r>
      <w:r>
        <w:rPr>
          <w:rFonts w:ascii="Nirmala UI" w:hAnsi="Nirmala UI" w:eastAsia="Nirmala UI" w:cs="Nirmala UI"/>
        </w:rPr>
        <w:t>साधायनो</w:t>
      </w:r>
      <w:r>
        <w:rPr>
          <w:rFonts w:ascii="Times New Roman" w:hAnsi="Times New Roman" w:eastAsia="Times New Roman" w:cs="Times New Roman"/>
        </w:rPr>
        <w:t xml:space="preserve"> </w:t>
      </w:r>
      <w:r>
        <w:rPr>
          <w:rFonts w:ascii="Nirmala UI" w:hAnsi="Nirmala UI" w:eastAsia="Nirmala UI" w:cs="Nirmala UI"/>
        </w:rPr>
        <w:t>हायोमोन</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थिननो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बेखायनो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अधिकारनि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नुजाथिनो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स्टेट्सआ</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जस्टिनियानआ</w:t>
      </w:r>
      <w:r>
        <w:rPr>
          <w:rFonts w:ascii="Times New Roman" w:hAnsi="Times New Roman" w:eastAsia="Times New Roman" w:cs="Times New Roman"/>
        </w:rPr>
        <w:t xml:space="preserve"> 533 </w:t>
      </w:r>
      <w:r>
        <w:rPr>
          <w:rFonts w:ascii="Nirmala UI" w:hAnsi="Nirmala UI" w:eastAsia="Nirmala UI" w:cs="Nirmala UI"/>
        </w:rPr>
        <w:t>ख्रिस्टाब्दाव</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चर्चखौ</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अधिकारखौ</w:t>
      </w:r>
      <w:r>
        <w:rPr>
          <w:rFonts w:ascii="Times New Roman" w:hAnsi="Times New Roman" w:eastAsia="Times New Roman" w:cs="Times New Roman"/>
        </w:rPr>
        <w:t xml:space="preserve"> </w:t>
      </w:r>
      <w:r>
        <w:rPr>
          <w:rFonts w:ascii="Nirmala UI" w:hAnsi="Nirmala UI" w:eastAsia="Nirmala UI" w:cs="Nirmala UI"/>
        </w:rPr>
        <w:t>दिहुनदोंमोन</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बुरजायनि</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आवफेर</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स्टेट्सआ</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मिलिटारि</w:t>
      </w:r>
      <w:r>
        <w:rPr>
          <w:rFonts w:ascii="Times New Roman" w:hAnsi="Times New Roman" w:eastAsia="Times New Roman" w:cs="Times New Roman"/>
        </w:rPr>
        <w:t xml:space="preserve"> </w:t>
      </w:r>
      <w:r>
        <w:rPr>
          <w:rFonts w:ascii="Nirmala UI" w:hAnsi="Nirmala UI" w:eastAsia="Nirmala UI" w:cs="Nirmala UI"/>
        </w:rPr>
        <w:t>बाहादुरिजों</w:t>
      </w:r>
      <w:r>
        <w:rPr>
          <w:rFonts w:ascii="Times New Roman" w:hAnsi="Times New Roman" w:eastAsia="Times New Roman" w:cs="Times New Roman"/>
        </w:rPr>
        <w:t xml:space="preserve"> </w:t>
      </w:r>
      <w:r>
        <w:rPr>
          <w:rFonts w:ascii="Nirmala UI" w:hAnsi="Nirmala UI" w:eastAsia="Nirmala UI" w:cs="Nirmala UI"/>
        </w:rPr>
        <w:t>फृथिविखौ</w:t>
      </w:r>
      <w:r>
        <w:rPr>
          <w:rFonts w:ascii="Times New Roman" w:hAnsi="Times New Roman" w:eastAsia="Times New Roman" w:cs="Times New Roman"/>
        </w:rPr>
        <w:t xml:space="preserve"> </w:t>
      </w:r>
      <w:r>
        <w:rPr>
          <w:rFonts w:ascii="Nirmala UI" w:hAnsi="Nirmala UI" w:eastAsia="Nirmala UI" w:cs="Nirmala UI"/>
        </w:rPr>
        <w:t>बोरैथिनानै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मानहोनो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क्लोभिसआ</w:t>
      </w:r>
      <w:r>
        <w:rPr>
          <w:rFonts w:ascii="Times New Roman" w:hAnsi="Times New Roman" w:eastAsia="Times New Roman" w:cs="Times New Roman"/>
        </w:rPr>
        <w:t xml:space="preserve"> 496 </w:t>
      </w:r>
      <w:r>
        <w:rPr>
          <w:rFonts w:ascii="Nirmala UI" w:hAnsi="Nirmala UI" w:eastAsia="Nirmala UI" w:cs="Nirmala UI"/>
        </w:rPr>
        <w:t>ख्रिस्टाब्दाव</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चर्चनि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खालामदोंमोन।</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w:t>
      </w:r>
      <w:r>
        <w:rPr>
          <w:rFonts w:ascii="Nirmala UI" w:hAnsi="Nirmala UI" w:eastAsia="Nirmala UI" w:cs="Nirmala UI"/>
        </w:rPr>
        <w:t>थारटिननि</w:t>
      </w:r>
      <w:r>
        <w:rPr>
          <w:rFonts w:ascii="Times New Roman" w:hAnsi="Times New Roman" w:eastAsia="Times New Roman" w:cs="Times New Roman"/>
        </w:rPr>
        <w:t xml:space="preserve"> </w:t>
      </w:r>
      <w:r>
        <w:rPr>
          <w:rFonts w:ascii="Nirmala UI" w:hAnsi="Nirmala UI" w:eastAsia="Nirmala UI" w:cs="Nirmala UI"/>
        </w:rPr>
        <w:t>बर्स</w:t>
      </w:r>
      <w:r>
        <w:rPr>
          <w:rFonts w:ascii="Times New Roman" w:hAnsi="Times New Roman" w:eastAsia="Times New Roman" w:cs="Times New Roman"/>
        </w:rPr>
        <w:t xml:space="preserve"> </w:t>
      </w:r>
      <w:r>
        <w:rPr>
          <w:rFonts w:ascii="Nirmala UI" w:hAnsi="Nirmala UI" w:eastAsia="Nirmala UI" w:cs="Nirmala UI"/>
        </w:rPr>
        <w:t>दुइनि</w:t>
      </w:r>
      <w:r>
        <w:rPr>
          <w:rFonts w:ascii="Times New Roman" w:hAnsi="Times New Roman" w:eastAsia="Times New Roman" w:cs="Times New Roman"/>
        </w:rPr>
        <w:t xml:space="preserve"> </w:t>
      </w:r>
      <w:r>
        <w:rPr>
          <w:rFonts w:ascii="Nirmala UI" w:hAnsi="Nirmala UI" w:eastAsia="Nirmala UI" w:cs="Nirmala UI"/>
        </w:rPr>
        <w:t>बुरजाय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आवफेर</w:t>
      </w:r>
      <w:r>
        <w:rPr>
          <w:rFonts w:ascii="Times New Roman" w:hAnsi="Times New Roman" w:eastAsia="Times New Roman" w:cs="Times New Roman"/>
        </w:rPr>
        <w:t xml:space="preserve"> </w:t>
      </w:r>
      <w:r>
        <w:rPr>
          <w:rFonts w:ascii="Nirmala UI" w:hAnsi="Nirmala UI" w:eastAsia="Nirmala UI" w:cs="Nirmala UI"/>
        </w:rPr>
        <w:t>जागायगोन।</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 det sin kraft og sin trone og stor myndighet. Åpenbaringen 13:2.</w:t>
      </w:r>
    </w:p>
    <w:p>
      <w:pPr>
        <w:pStyle w:val="ArticleBody"/>
        <w:jc w:val="left"/>
      </w:pPr>
      <w:r>
        <w:rPr>
          <w:rFonts w:ascii="Times New Roman" w:hAnsi="Times New Roman" w:eastAsia="Times New Roman" w:cs="Times New Roman"/>
        </w:rPr>
        <w:t>Une fois l’image érigée, alors les rois de la terre, qui auront été irrités par les attaques de l’islam, reconnaîtront que l’« opprobre » universel contre l’islam, dont on se sera servi pour faire naître l’image mondiale de la bête, n’était pas l’« opprobre » qui préoccupait réellement le « homme de péché » (Jézabel). Trop tard, le monde découvrira que Jézabel ne se soucie aucunement de l’islam, mais que son cœur désire tuer Élie, comme Hérodiade tua Jean-Baptiste.</w:t>
      </w:r>
    </w:p>
    <w:p>
      <w:pPr>
        <w:pStyle w:val="ArticleBody"/>
        <w:jc w:val="left"/>
      </w:pPr>
      <w:r>
        <w:rPr>
          <w:rFonts w:ascii="Times New Roman" w:hAnsi="Times New Roman" w:eastAsia="Times New Roman" w:cs="Times New Roman"/>
        </w:rPr>
        <w:t>“</w:t>
      </w:r>
      <w:r>
        <w:rPr>
          <w:rFonts w:ascii="Nirmala UI" w:hAnsi="Nirmala UI" w:eastAsia="Nirmala UI" w:cs="Nirmala UI"/>
        </w:rPr>
        <w:t>ඥානය</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මනස</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ඥානවන්තයන්ගේ</w:t>
      </w:r>
      <w:r>
        <w:rPr>
          <w:rFonts w:ascii="Times New Roman" w:hAnsi="Times New Roman" w:eastAsia="Times New Roman" w:cs="Times New Roman"/>
        </w:rPr>
        <w:t xml:space="preserve"> </w:t>
      </w:r>
      <w:r>
        <w:rPr>
          <w:rFonts w:ascii="Nirmala UI" w:hAnsi="Nirmala UI" w:eastAsia="Nirmala UI" w:cs="Nirmala UI"/>
        </w:rPr>
        <w:t>මනස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w:t>
      </w:r>
      <w:r>
        <w:rPr>
          <w:rFonts w:ascii="Nirmala UI" w:hAnsi="Nirmala UI" w:eastAsia="Nirmala UI" w:cs="Nirmala UI"/>
        </w:rPr>
        <w:t>ඥානවන්තයෝ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මඳක්</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තැනැන්වහන්සේ</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එළිදරව්ව</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උපදින</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තේරුම්ගන්නා</w:t>
      </w:r>
      <w:r>
        <w:rPr>
          <w:rFonts w:ascii="Times New Roman" w:hAnsi="Times New Roman" w:eastAsia="Times New Roman" w:cs="Times New Roman"/>
        </w:rPr>
        <w:t xml:space="preserve"> </w:t>
      </w:r>
      <w:r>
        <w:rPr>
          <w:rFonts w:ascii="Nirmala UI" w:hAnsi="Nirmala UI" w:eastAsia="Nirmala UI" w:cs="Nirmala UI"/>
        </w:rPr>
        <w:t>අයයි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hij zeide tot mij: Verzegel de woorden der profetie van dit boek niet, want de tijd is nabij. Wie onrecht doet, dat hij nog meer onrecht doe; en wie vuil is, dat hij nog vuiler worde; en wie rechtvaardig is, dat hij nog meer rechtvaardig zij; en wie heilig is, dat hij nog meer geheiligd worde. Openbaring 22:10, 11.</w:t>
      </w:r>
    </w:p>
    <w:p>
      <w:pPr>
        <w:pStyle w:val="ArticleBody"/>
        <w:jc w:val="left"/>
      </w:pPr>
      <w:r>
        <w:rPr>
          <w:rFonts w:ascii="Times New Roman" w:hAnsi="Times New Roman" w:eastAsia="Times New Roman" w:cs="Times New Roman"/>
        </w:rPr>
        <w:t>Les « sept têtes sont sept montagnes, sur lesquelles la femme est assise », ce qui représente la vérité selon laquelle la papauté régnera à la fois sur l’Église et sur l’État. Les symboles ont plus d’une signification, et ils doivent être définis et compris d’après le contexte du passage où ils sont présentés. L’argument est avancé que ce verset identifie les têtes comme étant les montagnes ; dès lors, quelle justification y aurait-il à établir une distinction entre les têtes (l’art de gouverner l’État) et les montagnes (le gouvernement ecclésiastique) ? Cette distinction est établie dans les chapitres sept et huit de Daniel. Au chapitre sept, la Rome païenne et la Rome papale sont toutes deux identifiées comme étant « différentes » des bêtes qui les ont précédées.</w:t>
      </w:r>
    </w:p>
    <w:p>
      <w:pPr>
        <w:pStyle w:val="ArticleBody"/>
        <w:jc w:val="left"/>
      </w:pPr>
      <w:r>
        <w:rPr>
          <w:rFonts w:ascii="Times New Roman" w:hAnsi="Times New Roman" w:eastAsia="Times New Roman" w:cs="Times New Roman"/>
        </w:rPr>
        <w:t>Ngati ndima ya chisanu ndi chiwiri yaikidwa pa ndima ya chisanu ndi chitatu (mzere pa mzere), timapeza mu ndima ya chisanu ndi chitatu nyanga yaing’ono ya Roma, ikugwedera pakati pa mwamuna, mkazi, mwamuna, mkazi. Chizindikiro chimodzi (nyanga yaing’ono) chimene chimaimira maulamuliro awiri. M’ndima zimenezo, nyanga ndi ufumu, ndipo ufumu ulinso mutu. Mu ndima ya chisanu ndi chitatu, nyanga yaing’ono imaimira maufumu awiri, ufumu wachinayi ndi wachisanu wa uneneri wa Baibulo. Nyanga yaing’ono mwachizindikiro imaimira maufumu awiri, ndipo maufumu awiri amene imaayimira ndi maufumu amene amadziwitsa kuphatikizana kwa ukatswiri wa boma ndi ukatswiri wa mpingo. Mitu isanu ndi iwiri, imene ilinso mapiri asanu ndi awiri, imaimira maufumu awiri, ndipo ufumu umodzi ndi ukatswiri wa mpingo ndipo winawo ndi ukatswiri wa boma.</w:t>
      </w:r>
    </w:p>
    <w:p>
      <w:pPr>
        <w:pStyle w:val="ArticleBody"/>
        <w:jc w:val="left"/>
      </w:pP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ဤပရောဖက်ပြုသဘောသင်္ကေတအတွက်</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သက်သေခံချက်တစ်ရပ်လည်း</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မီလာရိုက်များက</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စတုတ္ထနိုင်ငံတော်ဟု</w:t>
      </w:r>
      <w:r>
        <w:rPr>
          <w:rFonts w:ascii="Times New Roman" w:hAnsi="Times New Roman" w:eastAsia="Times New Roman" w:cs="Times New Roman"/>
        </w:rPr>
        <w:t xml:space="preserve"> </w:t>
      </w:r>
      <w:r>
        <w:rPr>
          <w:rFonts w:ascii="Myanmar Text" w:hAnsi="Myanmar Text" w:eastAsia="Myanmar Text" w:cs="Myanmar Text"/>
        </w:rPr>
        <w:t>နားလည်ခဲ့ကြသော</w:t>
      </w:r>
      <w:r>
        <w:rPr>
          <w:rFonts w:ascii="Times New Roman" w:hAnsi="Times New Roman" w:eastAsia="Times New Roman" w:cs="Times New Roman"/>
        </w:rPr>
        <w:t xml:space="preserve"> </w:t>
      </w:r>
      <w:r>
        <w:rPr>
          <w:rFonts w:ascii="Myanmar Text" w:hAnsi="Myanmar Text" w:eastAsia="Myanmar Text" w:cs="Myanmar Text"/>
        </w:rPr>
        <w:t>နောက်ဆုံးနိုင်ငံတော်ကို</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မြေစေးဖြင့်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မြေစေးကို</w:t>
      </w:r>
      <w:r>
        <w:rPr>
          <w:rFonts w:ascii="Times New Roman" w:hAnsi="Times New Roman" w:eastAsia="Times New Roman" w:cs="Times New Roman"/>
        </w:rPr>
        <w:t xml:space="preserve"> </w:t>
      </w:r>
      <w:r>
        <w:rPr>
          <w:rFonts w:ascii="Myanmar Text" w:hAnsi="Myanmar Text" w:eastAsia="Myanmar Text" w:cs="Myanmar Text"/>
        </w:rPr>
        <w:t>ပေါင်းစပ်ထားသော်လည်း</w:t>
      </w:r>
      <w:r>
        <w:rPr>
          <w:rFonts w:ascii="Times New Roman" w:hAnsi="Times New Roman" w:eastAsia="Times New Roman" w:cs="Times New Roman"/>
        </w:rPr>
        <w:t xml:space="preserve"> </w:t>
      </w:r>
      <w:r>
        <w:rPr>
          <w:rFonts w:ascii="Myanmar Text" w:hAnsi="Myanmar Text" w:eastAsia="Myanmar Text" w:cs="Myanmar Text"/>
        </w:rPr>
        <w:t>အမှန်အားဖြင့်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မြေစေးနှင့်</w:t>
      </w:r>
      <w:r>
        <w:rPr>
          <w:rFonts w:ascii="Times New Roman" w:hAnsi="Times New Roman" w:eastAsia="Times New Roman" w:cs="Times New Roman"/>
        </w:rPr>
        <w:t xml:space="preserve"> </w:t>
      </w:r>
      <w:r>
        <w:rPr>
          <w:rFonts w:ascii="Myanmar Text" w:hAnsi="Myanmar Text" w:eastAsia="Myanmar Text" w:cs="Myanmar Text"/>
        </w:rPr>
        <w:t>မပေါင်းစည်းတတ်ပေ။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မှတ်ချက်ပြုရာ၌၊</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ချိုငယ်နှင့်၊</w:t>
      </w:r>
      <w:r>
        <w:rPr>
          <w:rFonts w:ascii="Times New Roman" w:hAnsi="Times New Roman" w:eastAsia="Times New Roman" w:cs="Times New Roman"/>
        </w:rPr>
        <w:t xml:space="preserve"> </w:t>
      </w:r>
      <w:r>
        <w:rPr>
          <w:rFonts w:ascii="Myanmar Text" w:hAnsi="Myanmar Text" w:eastAsia="Myanmar Text" w:cs="Myanmar Text"/>
        </w:rPr>
        <w:t>တောင်များလည်း</w:t>
      </w:r>
      <w:r>
        <w:rPr>
          <w:rFonts w:ascii="Times New Roman" w:hAnsi="Times New Roman" w:eastAsia="Times New Roman" w:cs="Times New Roman"/>
        </w:rPr>
        <w:t xml:space="preserve"> </w:t>
      </w:r>
      <w:r>
        <w:rPr>
          <w:rFonts w:ascii="Myanmar Text" w:hAnsi="Myanmar Text" w:eastAsia="Myanmar Text" w:cs="Myanmar Text"/>
        </w:rPr>
        <w:t>ဖြစ်ကြသော</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ဦးခေါင်းများက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ဘာသာရေးအာဏာရေးနှင့်</w:t>
      </w:r>
      <w:r>
        <w:rPr>
          <w:rFonts w:ascii="Times New Roman" w:hAnsi="Times New Roman" w:eastAsia="Times New Roman" w:cs="Times New Roman"/>
        </w:rPr>
        <w:t xml:space="preserve"> </w:t>
      </w:r>
      <w:r>
        <w:rPr>
          <w:rFonts w:ascii="Myanmar Text" w:hAnsi="Myanmar Text" w:eastAsia="Myanmar Text" w:cs="Myanmar Text"/>
        </w:rPr>
        <w:t>နိုင်ငံရေးအာဏာရေးတို့၏</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Scripture"/>
        <w:jc w:val="left"/>
      </w:pPr>
      <w:r>
        <w:rPr>
          <w:rFonts w:ascii="Times New Roman" w:hAnsi="Times New Roman" w:eastAsia="Times New Roman" w:cs="Times New Roman"/>
        </w:rPr>
        <w:t>«Nous sommes parvenus à un temps où l’œuvre sacrée de Dieu est représentée par les pieds de la statue, dans lesquels le fer était mêlé à l’argile bourbeuse. Dieu a un peuple, un peuple choisi, dont le discernement doit être sanctifié, qui ne doit pas devenir profane en posant sur le fondement du bois, du foin et du chaume. Toute âme qui est fidèle aux commandements de Dieu verra que le trait distinctif de notre foi est le sabbat du septième jour. Si le gouvernement honorait le sabbat comme Dieu l’a commandé, il se tiendrait dans la force de Dieu et dans la défense de la foi qui a été une fois pour toutes transmise aux saints. Mais les hommes d’État soutiendront le faux sabbat, et ils mêleront leur foi religieuse à l’observance de cet enfant de la papauté, le plaçant au-dessus du sabbat que le Seigneur a sanctifié et béni, l’ayant mis à part pour que l’homme le garde saint, comme un signe entre Lui et Son peuple pendant mille générations. Le mélange de l’art ecclésiastique et de l’art politique est représenté par le fer et l’argile. Cette union affaiblit toute la puissance des Églises. Le fait d’investir l’Église de la puissance de l’État produira de mauvais résultats. Les hommes ont presque dépassé le point de la longanimité de Dieu. Ils ont engagé leur force dans la politique, et se sont unis à la papauté. Mais le temps viendra où Dieu punira ceux qui ont annulé Sa loi, et leur œuvre mauvaise retombera sur eux-mêmes.» The Seventh-day Adventist Bible Commentary, volume 4, 1168, 1169.</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“Na scena która przedstawia dzieło Chrystusa dla nas oraz stanowcze oskarżenie Szatana przeciwko nam, Jozue stoi jako arcykapłan i zanosi prośbę w imieniu ludu Bożego, zachowującego Jego przykazania. Jednocześnie Szatan przedstawia lud Boży jako wielkich grzeszników i przedkłada przed Bogiem wykaz grzechów, do których przez całe ich życie kusił ich, aby je popełniali, i nalega, aby z powodu ich przestępstw zostali wydani w jego ręce na zagładę. Utrzymuje, że nie powinni być chronieni przez usługujących aniołów przed sprzysiężeniem zła. Jest pełen gniewu, ponieważ nie może związać ludu Bożego w snopy razem ze światem, aby uzyskać od niego całkowitą uległość. Królowie i władcy, i zwierzchnicy nałożyli na siebie znamię antychrysta i są przedstawieni jako smok, który idzie, aby prowadzić wojnę ze świętymi — z tymi, którzy zachowują przykazania Boże i mają wiarę Jezusa. W swojej nieprzyjaźni przeciwko ludowi Bożemu okazują się także winnymi wyboru Barabasza zamiast Chrystusa.”</w:t>
      </w:r>
    </w:p>
    <w:p>
      <w:pPr>
        <w:pStyle w:val="ArticleScripture"/>
        <w:jc w:val="left"/>
      </w:pPr>
      <w:r>
        <w:rPr>
          <w:rFonts w:ascii="Times New Roman" w:hAnsi="Times New Roman" w:eastAsia="Times New Roman" w:cs="Times New Roman"/>
        </w:rPr>
        <w:t>«خدا با جهان منازعه‌ای دارد. هنگامی که دادگاه داوری برپا شود و کتاب‌ها گشوده گردد، او حسابی هولناک برای رسیدگی دارد؛ حسابی که اگر مردمان به‌واسطهٔ فریب‌ها و اغواهای شیطانی کور و افسون‌زده نبودند، همین اکنون جهان را به ترس و لرزه می‌افکند. خدا جهان را برای مرگ پسر یگانه‌اش به حساب خواهد کشید؛ همان کسی که جهان، به هر معنای واقعی، او را از نو مصلوب کرده و در آزار قوم او در معرض رسوایی آشکار قرار داده است. جهان مسیح را در شخص مقدسین او رد کرده است، و پیام‌های او را با رد کردن پیام‌های انبیا، رسولان، و پیام‌آوران او نپذیرفته است. آنان کسانی را که همکاران مسیح بوده‌اند رد کرده‌اند، و برای این امر باید حساب پس بدهند.»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tom Daniel — nimba hīdowi nā nīmbari bakwai da bakwai</dc:title>
  <dc:subject>Révélation des secrets prophétiques de l’Apocalypse : un voyage à travers les prophéties de la fin des temps</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