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soixante</w:t>
      </w:r>
    </w:p>
    <w:p>
      <w:pPr>
        <w:pStyle w:val="ArticleSubtitle"/>
        <w:jc w:val="left"/>
      </w:pPr>
      <w:r>
        <w:rPr>
          <w:rFonts w:ascii="Arial" w:hAnsi="Arial" w:eastAsia="Arial" w:cs="Arial"/>
        </w:rPr>
        <w:t>Prière de Daniel et le secret du huitième royaume : une révélation des derniers jours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Dans les chapitres dix-sept et dix-huit de l’Apocalypse, un ange présente à Jean la vision du jugement de la papauté. Dans l’exposé de son jugement final, les royaumes de la prophétie biblique sont représentés.</w:t>
      </w:r>
    </w:p>
    <w:p>
      <w:pPr>
        <w:pStyle w:val="ArticleScripture"/>
        <w:jc w:val="left"/>
      </w:pPr>
      <w:r>
        <w:rPr>
          <w:rFonts w:ascii="Times New Roman" w:hAnsi="Times New Roman" w:eastAsia="Times New Roman" w:cs="Times New Roman"/>
        </w:rPr>
        <w:t>Et voici l’intelligence qui a de la sagesse. Les sept têtes sont sept montagnes, sur lesquelles la femme est assise. Ce sont aussi sept rois : cinq sont tombés, un est, l’autre n’est pas encore venu ; et quand il sera venu, il doit demeurer peu de temps. Et la bête qui était, et qui n’est plus, est elle-même un huitième roi, et elle est du nombre des sept, et elle va à la perdition. Apocalypse 17:9–11.</w:t>
      </w:r>
    </w:p>
    <w:p>
      <w:pPr>
        <w:pStyle w:val="ArticleBody"/>
        <w:jc w:val="left"/>
      </w:pPr>
      <w:r>
        <w:rPr>
          <w:rFonts w:ascii="Times New Roman" w:hAnsi="Times New Roman" w:eastAsia="Times New Roman" w:cs="Times New Roman"/>
        </w:rPr>
        <w:t>Johan alikuwa amehamishwa kiroho hadi mwaka wa 1798, ambapo anaelekezwa kwamba zile vichwa saba juu ya mnyama aliyembeba yule mwanamke wa kipapa zilikuwa wafalme saba. Mfalme ni ufalme, na ufalme pia ni kichwa katika unabii wa Biblia. Katika mwaka wa 1798, falme tano zilikuwa zimeanguka na mmoja alikuwa akitawala wakati huo. Ufalme wa saba ulikuwa bado wa wakati ujao, nao uliwakilishwa na wafalme kumi. Kisha Johan aliarifiwa kwamba ufalme wa nane ulikuwa mnyama wa kipapa, ambaye alikuwa miongoni mwa wale saba. Upapa ulikuwa ufalme wa tano, nao ulikuwa umepata jeraha la mauti, hivyo basi jeraha lake la mauti litakapoponywa, ndipo unakuwa kichwa cha nane kilicho miongoni mwa vile saba.</w:t>
      </w:r>
    </w:p>
    <w:p>
      <w:pPr>
        <w:pStyle w:val="ArticleBody"/>
        <w:jc w:val="left"/>
      </w:pPr>
      <w:r>
        <w:rPr>
          <w:rFonts w:ascii="Times New Roman" w:hAnsi="Times New Roman" w:eastAsia="Times New Roman" w:cs="Times New Roman"/>
        </w:rPr>
        <w:t>Sa Daniel dos, ang unang apat na kaharian ay ang Babilonia, Medo-Persia, Gresya, at Roma. Ang apat na literal na kahariang iyon ay kumakatawan din sa apat na espirituwal na kaharian, at sama-sama nilang tinutukoy ang walong hari, o mga ulo, ng Apocalipsis disisiyete, sapagkat laging inilalarawan ni Jesus ang wakas ng isang bagay sa pamamagitan ng pasimula ng isang bagay. Ang Daniel kabanata dos ang unang pagbanggit sa mga kaharian ng hula sa Biblia, at ang Apocalipsis disisiyete ang huli, kaya kinakailangang magkaayon ang mga ito, sapagkat ang Dios ay hindi kailanman nagbabago.</w:t>
      </w:r>
    </w:p>
    <w:p>
      <w:pPr>
        <w:pStyle w:val="ArticleBody"/>
        <w:jc w:val="left"/>
      </w:pPr>
      <w:r>
        <w:rPr>
          <w:rFonts w:ascii="Times New Roman" w:hAnsi="Times New Roman" w:eastAsia="Times New Roman" w:cs="Times New Roman"/>
        </w:rPr>
        <w:t>Pfalz la quinta reginanza che era cadida nel 1798 era Babilonia spirituala, il papato. La sesta reginanza che era al potere nel 1798 era il regno a due corna che era stato prefigurato dal regno a due corna dei Medi e dei Persiani. La settima reginanza, che consiste di dieci re, i quali nel 1798 non erano ancora venuti, è il governo mondiale unico, che era stato prefigurato dalla Grecia, il governo mondiale unico di Alessandro il Grande. L’ottava testa, che era delle sette, era la quinta reginanza che aveva ricevuto una ferita mortale, eppure visse di nuovo quando la ferita mortale fu guarita.</w:t>
      </w:r>
    </w:p>
    <w:p>
      <w:pPr>
        <w:pStyle w:val="ArticleBody"/>
        <w:jc w:val="left"/>
      </w:pPr>
      <w:r>
        <w:rPr>
          <w:rFonts w:ascii="Times New Roman" w:hAnsi="Times New Roman" w:eastAsia="Times New Roman" w:cs="Times New Roman"/>
        </w:rPr>
        <w:t>Le jugement de la grande prostituée a lieu à l’« heure » de la crise de la loi du dimanche, c’est-à-dire durant une période de temps qui commence avec la loi du dimanche aux États-Unis et se poursuit au cours de l’histoire jusqu’à la clôture du temps de grâce pour l’humanité. En cette « heure », qui dans Daniel est désignée comme « aux jours de ces rois », Dieu établira Son royaume. En cette « heure », la pluie de l’arrière-saison est en train d’être déversée.</w:t>
      </w:r>
    </w:p>
    <w:p>
      <w:pPr>
        <w:pStyle w:val="ArticleScripture"/>
        <w:jc w:val="left"/>
      </w:pPr>
      <w:r>
        <w:rPr>
          <w:rFonts w:ascii="Times New Roman" w:hAnsi="Times New Roman" w:eastAsia="Times New Roman" w:cs="Times New Roman"/>
        </w:rPr>
        <w:t>“Mvua ya mwisho inawajia wale walio safi—wakati huo wote wataipokea kama ilivyokuwa hapo awali.</w:t>
      </w:r>
    </w:p>
    <w:p>
      <w:pPr>
        <w:pStyle w:val="ArticleScripture"/>
        <w:jc w:val="left"/>
      </w:pPr>
      <w:r>
        <w:rPr>
          <w:rFonts w:ascii="Times New Roman" w:hAnsi="Times New Roman" w:eastAsia="Times New Roman" w:cs="Times New Roman"/>
        </w:rPr>
        <w:t>« Lorsque les quatre anges lâcheront prise, le Christ établira Son royaume. Nul ne recevra la pluie de l’arrière-saison, sinon ceux qui font tout ce qu’ils peuvent. » Spalding and Magan, 3.</w:t>
      </w:r>
    </w:p>
    <w:p>
      <w:pPr>
        <w:pStyle w:val="ArticleBody"/>
        <w:jc w:val="left"/>
      </w:pPr>
      <w:r>
        <w:rPr>
          <w:rFonts w:ascii="Times New Roman" w:hAnsi="Times New Roman" w:eastAsia="Times New Roman" w:cs="Times New Roman"/>
        </w:rPr>
        <w:t>Kumiminayo ang pagbubuhos ng huling ulan, sapagkat ito’y tumutugma sa paghuhukom, at ang paghuhukom ay umuunlad nang sunud-sunod. Naunawaan ng mga Millerita na sila’y nabubuhay sa mga paa ng larawan sa Daniel kabanata dalawa. Pinaniwalaan nilang ang Roma ang huling makalupang kaharian, at tama sila, ngunit may hangganan ang kanilang pagkaunawa.</w:t>
      </w:r>
    </w:p>
    <w:p>
      <w:pPr>
        <w:pStyle w:val="ArticleBody"/>
        <w:jc w:val="left"/>
      </w:pPr>
      <w:r>
        <w:rPr>
          <w:rFonts w:ascii="Times New Roman" w:hAnsi="Times New Roman" w:eastAsia="Times New Roman" w:cs="Times New Roman"/>
        </w:rPr>
        <w:t>« Les jours de ces rois » se trouvent bien dans l’histoire du royaume de Rome, mais il ne s’agit pas de l’histoire de la Rome païenne ni de la Rome papale ; il s’agit de l’histoire de la Rome moderne. Les millérites ont considéré la Rome païenne et la Rome papale comme un seul royaume, et, ce faisant, ils ont utilisé un passage du livre d’Ézéchiel concernant le dernier roi de Juda (Sédécias) pour soutenir leur compréhension.</w:t>
      </w:r>
    </w:p>
    <w:p>
      <w:pPr>
        <w:pStyle w:val="ArticleScripture"/>
        <w:jc w:val="left"/>
      </w:pPr>
      <w:r>
        <w:rPr>
          <w:rFonts w:ascii="Times New Roman" w:hAnsi="Times New Roman" w:eastAsia="Times New Roman" w:cs="Times New Roman"/>
        </w:rPr>
        <w:t>Na wewe, mkuu mchafu, mwovu wa Israeli, ambaye siku yako imefika, wakati ambapo uovu utafikia mwisho, Bwana MUNGU asema hivi: Ondoa kilemba, na vua taji; hali hii haitakuwa kama ilivyokuwa: mtukuze yeye aliye chini, na mnyenyekeze yeye aliye juu. Nitapindua, nitapindua, nitapindua jambo hili; nalo halitakuwapo tena, mpaka atakapokuja yeye ambaye haki yake ni hiyo; nami nitampa yeye. Ezekieli 21:25–27.</w:t>
      </w:r>
    </w:p>
    <w:p>
      <w:pPr>
        <w:pStyle w:val="ArticleBody"/>
        <w:jc w:val="left"/>
      </w:pPr>
      <w:r>
        <w:rPr>
          <w:rFonts w:ascii="Malgun Gothic" w:hAnsi="Malgun Gothic" w:eastAsia="Malgun Gothic" w:cs="Malgun Gothic"/>
        </w:rPr>
        <w:t>복</w:t>
      </w:r>
      <w:r>
        <w:rPr>
          <w:rFonts w:ascii="Times New Roman" w:hAnsi="Times New Roman" w:eastAsia="Times New Roman" w:cs="Times New Roman"/>
        </w:rPr>
        <w:t xml:space="preserve"> </w:t>
      </w:r>
      <w:r>
        <w:rPr>
          <w:rFonts w:ascii="Nirmala UI" w:hAnsi="Nirmala UI" w:eastAsia="Nirmala UI" w:cs="Nirmala UI"/>
        </w:rPr>
        <w:t>থেকে</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엎어짐</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당할</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왕국이</w:t>
      </w:r>
      <w:r>
        <w:rPr>
          <w:rFonts w:ascii="Times New Roman" w:hAnsi="Times New Roman" w:eastAsia="Times New Roman" w:cs="Times New Roman"/>
        </w:rPr>
        <w:t xml:space="preserve"> </w:t>
      </w:r>
      <w:r>
        <w:rPr>
          <w:rFonts w:ascii="Malgun Gothic" w:hAnsi="Malgun Gothic" w:eastAsia="Malgun Gothic" w:cs="Malgun Gothic"/>
        </w:rPr>
        <w:t>있게</w:t>
      </w:r>
      <w:r>
        <w:rPr>
          <w:rFonts w:ascii="Times New Roman" w:hAnsi="Times New Roman" w:eastAsia="Times New Roman" w:cs="Times New Roman"/>
        </w:rPr>
        <w:t xml:space="preserve"> </w:t>
      </w:r>
      <w:r>
        <w:rPr>
          <w:rFonts w:ascii="Malgun Gothic" w:hAnsi="Malgun Gothic" w:eastAsia="Malgun Gothic" w:cs="Malgun Gothic"/>
        </w:rPr>
        <w:t>되며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다스릴</w:t>
      </w:r>
      <w:r>
        <w:rPr>
          <w:rFonts w:ascii="Times New Roman" w:hAnsi="Times New Roman" w:eastAsia="Times New Roman" w:cs="Times New Roman"/>
        </w:rPr>
        <w:t xml:space="preserve"> “</w:t>
      </w:r>
      <w:r>
        <w:rPr>
          <w:rFonts w:ascii="Malgun Gothic" w:hAnsi="Malgun Gothic" w:eastAsia="Malgun Gothic" w:cs="Malgun Gothic"/>
        </w:rPr>
        <w:t>권리가</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그리스도에게로</w:t>
      </w:r>
      <w:r>
        <w:rPr>
          <w:rFonts w:ascii="Times New Roman" w:hAnsi="Times New Roman" w:eastAsia="Times New Roman" w:cs="Times New Roman"/>
        </w:rPr>
        <w:t xml:space="preserve"> </w:t>
      </w:r>
      <w:r>
        <w:rPr>
          <w:rFonts w:ascii="Malgun Gothic" w:hAnsi="Malgun Gothic" w:eastAsia="Malgun Gothic" w:cs="Malgun Gothic"/>
        </w:rPr>
        <w:t>이르게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바빌론과</w:t>
      </w:r>
      <w:r>
        <w:rPr>
          <w:rFonts w:ascii="Times New Roman" w:hAnsi="Times New Roman" w:eastAsia="Times New Roman" w:cs="Times New Roman"/>
        </w:rPr>
        <w:t xml:space="preserve"> </w:t>
      </w:r>
      <w:r>
        <w:rPr>
          <w:rFonts w:ascii="Malgun Gothic" w:hAnsi="Malgun Gothic" w:eastAsia="Malgun Gothic" w:cs="Malgun Gothic"/>
        </w:rPr>
        <w:t>메대</w:t>
      </w:r>
      <w:r>
        <w:rPr>
          <w:rFonts w:ascii="Times New Roman" w:hAnsi="Times New Roman" w:eastAsia="Times New Roman" w:cs="Times New Roman"/>
        </w:rPr>
        <w:t>-</w:t>
      </w:r>
      <w:r>
        <w:rPr>
          <w:rFonts w:ascii="Malgun Gothic" w:hAnsi="Malgun Gothic" w:eastAsia="Malgun Gothic" w:cs="Malgun Gothic"/>
        </w:rPr>
        <w:t>바사와</w:t>
      </w:r>
      <w:r>
        <w:rPr>
          <w:rFonts w:ascii="Times New Roman" w:hAnsi="Times New Roman" w:eastAsia="Times New Roman" w:cs="Times New Roman"/>
        </w:rPr>
        <w:t xml:space="preserve"> </w:t>
      </w:r>
      <w:r>
        <w:rPr>
          <w:rFonts w:ascii="Malgun Gothic" w:hAnsi="Malgun Gothic" w:eastAsia="Malgun Gothic" w:cs="Malgun Gothic"/>
        </w:rPr>
        <w:t>헬라는</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무너지고</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왕국에</w:t>
      </w:r>
      <w:r>
        <w:rPr>
          <w:rFonts w:ascii="Times New Roman" w:hAnsi="Times New Roman" w:eastAsia="Times New Roman" w:cs="Times New Roman"/>
        </w:rPr>
        <w:t xml:space="preserve"> </w:t>
      </w:r>
      <w:r>
        <w:rPr>
          <w:rFonts w:ascii="Malgun Gothic" w:hAnsi="Malgun Gothic" w:eastAsia="Malgun Gothic" w:cs="Malgun Gothic"/>
        </w:rPr>
        <w:t>이르게</w:t>
      </w:r>
      <w:r>
        <w:rPr>
          <w:rFonts w:ascii="Times New Roman" w:hAnsi="Times New Roman" w:eastAsia="Times New Roman" w:cs="Times New Roman"/>
        </w:rPr>
        <w:t xml:space="preserve"> </w:t>
      </w:r>
      <w:r>
        <w:rPr>
          <w:rFonts w:ascii="Malgun Gothic" w:hAnsi="Malgun Gothic" w:eastAsia="Malgun Gothic" w:cs="Malgun Gothic"/>
        </w:rPr>
        <w:t>되며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넷째</w:t>
      </w:r>
      <w:r>
        <w:rPr>
          <w:rFonts w:ascii="Times New Roman" w:hAnsi="Times New Roman" w:eastAsia="Times New Roman" w:cs="Times New Roman"/>
        </w:rPr>
        <w:t xml:space="preserve"> </w:t>
      </w:r>
      <w:r>
        <w:rPr>
          <w:rFonts w:ascii="Malgun Gothic" w:hAnsi="Malgun Gothic" w:eastAsia="Malgun Gothic" w:cs="Malgun Gothic"/>
        </w:rPr>
        <w:t>왕국의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그리스도께서</w:t>
      </w:r>
      <w:r>
        <w:rPr>
          <w:rFonts w:ascii="Times New Roman" w:hAnsi="Times New Roman" w:eastAsia="Times New Roman" w:cs="Times New Roman"/>
        </w:rPr>
        <w:t xml:space="preserve"> </w:t>
      </w:r>
      <w:r>
        <w:rPr>
          <w:rFonts w:ascii="Malgun Gothic" w:hAnsi="Malgun Gothic" w:eastAsia="Malgun Gothic" w:cs="Malgun Gothic"/>
        </w:rPr>
        <w:t>오셔서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왕국을</w:t>
      </w:r>
      <w:r>
        <w:rPr>
          <w:rFonts w:ascii="Times New Roman" w:hAnsi="Times New Roman" w:eastAsia="Times New Roman" w:cs="Times New Roman"/>
        </w:rPr>
        <w:t xml:space="preserve"> </w:t>
      </w:r>
      <w:r>
        <w:rPr>
          <w:rFonts w:ascii="Malgun Gothic" w:hAnsi="Malgun Gothic" w:eastAsia="Malgun Gothic" w:cs="Malgun Gothic"/>
        </w:rPr>
        <w:t>세우실</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행하셨다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«Во главе тех, кто стремительно вёл народ к гибели, стоял Седекия, их царь. Совершенно отвергнув советы Господа, данные через пророков, забыв долг благодарности, который он был обязан Навуходоносору, нарушив своё торжественное клятвенное обещание верности, данное во имя Господа Бога Израилева, царь Иудеи восстал против пророков, против своего благодетеля и против своего Бога. В тщеславии собственной мудрости он обратился за помощью к древнему врагу благоденствия Израиля, «посылая послов своих в Египет, чтобы дали ему коней и много народа».</w:t>
      </w:r>
    </w:p>
    <w:p>
      <w:pPr>
        <w:pStyle w:val="ArticleScripture"/>
        <w:jc w:val="left"/>
      </w:pPr>
      <w:r>
        <w:rPr>
          <w:rFonts w:ascii="Times New Roman" w:hAnsi="Times New Roman" w:eastAsia="Times New Roman" w:cs="Times New Roman"/>
        </w:rPr>
        <w:t>“‘</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सफल</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नीचता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विश्वासघात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निकलेगा</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तोड़कर</w:t>
      </w:r>
      <w:r>
        <w:rPr>
          <w:rFonts w:ascii="Times New Roman" w:hAnsi="Times New Roman" w:eastAsia="Times New Roman" w:cs="Times New Roman"/>
        </w:rPr>
        <w:t xml:space="preserve"> </w:t>
      </w:r>
      <w:r>
        <w:rPr>
          <w:rFonts w:ascii="Nirmala UI" w:hAnsi="Nirmala UI" w:eastAsia="Nirmala UI" w:cs="Nirmala UI"/>
        </w:rPr>
        <w:t>छुड़ाया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शपथ</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शपथ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तोड़ा</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विशाल</w:t>
      </w:r>
      <w:r>
        <w:rPr>
          <w:rFonts w:ascii="Times New Roman" w:hAnsi="Times New Roman" w:eastAsia="Times New Roman" w:cs="Times New Roman"/>
        </w:rPr>
        <w:t xml:space="preserve"> </w:t>
      </w:r>
      <w:r>
        <w:rPr>
          <w:rFonts w:ascii="Nirmala UI" w:hAnsi="Nirmala UI" w:eastAsia="Nirmala UI" w:cs="Nirmala UI"/>
        </w:rPr>
        <w:t>जनसमूह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सकेगा</w:t>
      </w:r>
      <w:r>
        <w:rPr>
          <w:rFonts w:ascii="Times New Roman" w:hAnsi="Times New Roman" w:eastAsia="Times New Roman" w:cs="Times New Roman"/>
        </w:rPr>
        <w:t xml:space="preserve">: …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तोड़कर</w:t>
      </w:r>
      <w:r>
        <w:rPr>
          <w:rFonts w:ascii="Times New Roman" w:hAnsi="Times New Roman" w:eastAsia="Times New Roman" w:cs="Times New Roman"/>
        </w:rPr>
        <w:t xml:space="preserve"> </w:t>
      </w:r>
      <w:r>
        <w:rPr>
          <w:rFonts w:ascii="Nirmala UI" w:hAnsi="Nirmala UI" w:eastAsia="Nirmala UI" w:cs="Nirmala UI"/>
        </w:rPr>
        <w:t>शपथ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तिरस्कार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सकेगा।</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17:15–18</w:t>
      </w:r>
      <w:r>
        <w:rPr>
          <w:rFonts w:ascii="Nirmala UI" w:hAnsi="Nirmala UI" w:eastAsia="Nirmala UI" w:cs="Nirmala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അശുദ്ധ</w:t>
      </w:r>
      <w:r>
        <w:rPr>
          <w:rFonts w:ascii="Times New Roman" w:hAnsi="Times New Roman" w:eastAsia="Times New Roman" w:cs="Times New Roman"/>
        </w:rPr>
        <w:t xml:space="preserve"> </w:t>
      </w:r>
      <w:r>
        <w:rPr>
          <w:rFonts w:ascii="Nirmala UI" w:hAnsi="Nirmala UI" w:eastAsia="Nirmala UI" w:cs="Nirmala UI"/>
        </w:rPr>
        <w:t>ദുഷ്ടപ്രഭുവിന്നു</w:t>
      </w:r>
      <w:r>
        <w:rPr>
          <w:rFonts w:ascii="Times New Roman" w:hAnsi="Times New Roman" w:eastAsia="Times New Roman" w:cs="Times New Roman"/>
        </w:rPr>
        <w:t xml:space="preserve">’ </w:t>
      </w:r>
      <w:r>
        <w:rPr>
          <w:rFonts w:ascii="Nirmala UI" w:hAnsi="Nirmala UI" w:eastAsia="Nirmala UI" w:cs="Nirmala UI"/>
        </w:rPr>
        <w:t>അന്തിമ</w:t>
      </w:r>
      <w:r>
        <w:rPr>
          <w:rFonts w:ascii="Times New Roman" w:hAnsi="Times New Roman" w:eastAsia="Times New Roman" w:cs="Times New Roman"/>
        </w:rPr>
        <w:t xml:space="preserve"> </w:t>
      </w:r>
      <w:r>
        <w:rPr>
          <w:rFonts w:ascii="Nirmala UI" w:hAnsi="Nirmala UI" w:eastAsia="Nirmala UI" w:cs="Nirmala UI"/>
        </w:rPr>
        <w:t>വിധിദിനം</w:t>
      </w:r>
      <w:r>
        <w:rPr>
          <w:rFonts w:ascii="Times New Roman" w:hAnsi="Times New Roman" w:eastAsia="Times New Roman" w:cs="Times New Roman"/>
        </w:rPr>
        <w:t xml:space="preserve"> </w:t>
      </w:r>
      <w:r>
        <w:rPr>
          <w:rFonts w:ascii="Nirmala UI" w:hAnsi="Nirmala UI" w:eastAsia="Nirmala UI" w:cs="Nirmala UI"/>
        </w:rPr>
        <w:t>വന്നിരുന്നു</w:t>
      </w:r>
      <w:r>
        <w:rPr>
          <w:rFonts w:ascii="Times New Roman" w:hAnsi="Times New Roman" w:eastAsia="Times New Roman" w:cs="Times New Roman"/>
        </w:rPr>
        <w:t>. ‘</w:t>
      </w:r>
      <w:r>
        <w:rPr>
          <w:rFonts w:ascii="Nirmala UI" w:hAnsi="Nirmala UI" w:eastAsia="Nirmala UI" w:cs="Nirmala UI"/>
        </w:rPr>
        <w:t>കിരീടബന്ധം</w:t>
      </w:r>
      <w:r>
        <w:rPr>
          <w:rFonts w:ascii="Times New Roman" w:hAnsi="Times New Roman" w:eastAsia="Times New Roman" w:cs="Times New Roman"/>
        </w:rPr>
        <w:t xml:space="preserve"> </w:t>
      </w:r>
      <w:r>
        <w:rPr>
          <w:rFonts w:ascii="Nirmala UI" w:hAnsi="Nirmala UI" w:eastAsia="Nirmala UI" w:cs="Nirmala UI"/>
        </w:rPr>
        <w:t>നീക്കിക്കളക</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കർത്താവു</w:t>
      </w:r>
      <w:r>
        <w:rPr>
          <w:rFonts w:ascii="Times New Roman" w:hAnsi="Times New Roman" w:eastAsia="Times New Roman" w:cs="Times New Roman"/>
        </w:rPr>
        <w:t xml:space="preserve"> </w:t>
      </w:r>
      <w:r>
        <w:rPr>
          <w:rFonts w:ascii="Nirmala UI" w:hAnsi="Nirmala UI" w:eastAsia="Nirmala UI" w:cs="Nirmala UI"/>
        </w:rPr>
        <w:t>വിധിച്ചു</w:t>
      </w:r>
      <w:r>
        <w:rPr>
          <w:rFonts w:ascii="Times New Roman" w:hAnsi="Times New Roman" w:eastAsia="Times New Roman" w:cs="Times New Roman"/>
        </w:rPr>
        <w:t>, ‘</w:t>
      </w:r>
      <w:r>
        <w:rPr>
          <w:rFonts w:ascii="Nirmala UI" w:hAnsi="Nirmala UI" w:eastAsia="Nirmala UI" w:cs="Nirmala UI"/>
        </w:rPr>
        <w:t>കിരീടം</w:t>
      </w:r>
      <w:r>
        <w:rPr>
          <w:rFonts w:ascii="Times New Roman" w:hAnsi="Times New Roman" w:eastAsia="Times New Roman" w:cs="Times New Roman"/>
        </w:rPr>
        <w:t xml:space="preserve"> </w:t>
      </w:r>
      <w:r>
        <w:rPr>
          <w:rFonts w:ascii="Nirmala UI" w:hAnsi="Nirmala UI" w:eastAsia="Nirmala UI" w:cs="Nirmala UI"/>
        </w:rPr>
        <w:t>എടുത്തുകളക</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രാജ്യം</w:t>
      </w:r>
      <w:r>
        <w:rPr>
          <w:rFonts w:ascii="Times New Roman" w:hAnsi="Times New Roman" w:eastAsia="Times New Roman" w:cs="Times New Roman"/>
        </w:rPr>
        <w:t xml:space="preserve"> </w:t>
      </w:r>
      <w:r>
        <w:rPr>
          <w:rFonts w:ascii="Nirmala UI" w:hAnsi="Nirmala UI" w:eastAsia="Nirmala UI" w:cs="Nirmala UI"/>
        </w:rPr>
        <w:t>സ്ഥാപിക്കുന്നതുവരെ</w:t>
      </w:r>
      <w:r>
        <w:rPr>
          <w:rFonts w:ascii="Times New Roman" w:hAnsi="Times New Roman" w:eastAsia="Times New Roman" w:cs="Times New Roman"/>
        </w:rPr>
        <w:t xml:space="preserve"> </w:t>
      </w:r>
      <w:r>
        <w:rPr>
          <w:rFonts w:ascii="Nirmala UI" w:hAnsi="Nirmala UI" w:eastAsia="Nirmala UI" w:cs="Nirmala UI"/>
        </w:rPr>
        <w:t>യെഹൂദാവിന്നു</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രാജാവിനെ</w:t>
      </w:r>
      <w:r>
        <w:rPr>
          <w:rFonts w:ascii="Times New Roman" w:hAnsi="Times New Roman" w:eastAsia="Times New Roman" w:cs="Times New Roman"/>
        </w:rPr>
        <w:t xml:space="preserve"> </w:t>
      </w:r>
      <w:r>
        <w:rPr>
          <w:rFonts w:ascii="Nirmala UI" w:hAnsi="Nirmala UI" w:eastAsia="Nirmala UI" w:cs="Nirmala UI"/>
        </w:rPr>
        <w:t>ലഭിപ്പാൻ</w:t>
      </w:r>
      <w:r>
        <w:rPr>
          <w:rFonts w:ascii="Times New Roman" w:hAnsi="Times New Roman" w:eastAsia="Times New Roman" w:cs="Times New Roman"/>
        </w:rPr>
        <w:t xml:space="preserve"> </w:t>
      </w:r>
      <w:r>
        <w:rPr>
          <w:rFonts w:ascii="Nirmala UI" w:hAnsi="Nirmala UI" w:eastAsia="Nirmala UI" w:cs="Nirmala UI"/>
        </w:rPr>
        <w:t>അനുവദിക്കപ്പെടേണ്ടതില്ലായിരുന്നു</w:t>
      </w:r>
      <w:r>
        <w:rPr>
          <w:rFonts w:ascii="Times New Roman" w:hAnsi="Times New Roman" w:eastAsia="Times New Roman" w:cs="Times New Roman"/>
        </w:rPr>
        <w:t xml:space="preserve">. </w:t>
      </w:r>
      <w:r>
        <w:rPr>
          <w:rFonts w:ascii="Nirmala UI" w:hAnsi="Nirmala UI" w:eastAsia="Nirmala UI" w:cs="Nirmala UI"/>
        </w:rPr>
        <w:t>ദാവീദിന്റെ</w:t>
      </w:r>
      <w:r>
        <w:rPr>
          <w:rFonts w:ascii="Times New Roman" w:hAnsi="Times New Roman" w:eastAsia="Times New Roman" w:cs="Times New Roman"/>
        </w:rPr>
        <w:t xml:space="preserve"> </w:t>
      </w:r>
      <w:r>
        <w:rPr>
          <w:rFonts w:ascii="Nirmala UI" w:hAnsi="Nirmala UI" w:eastAsia="Nirmala UI" w:cs="Nirmala UI"/>
        </w:rPr>
        <w:t>ഗൃഹത്തിന്റെ</w:t>
      </w:r>
      <w:r>
        <w:rPr>
          <w:rFonts w:ascii="Times New Roman" w:hAnsi="Times New Roman" w:eastAsia="Times New Roman" w:cs="Times New Roman"/>
        </w:rPr>
        <w:t xml:space="preserve"> </w:t>
      </w:r>
      <w:r>
        <w:rPr>
          <w:rFonts w:ascii="Nirmala UI" w:hAnsi="Nirmala UI" w:eastAsia="Nirmala UI" w:cs="Nirmala UI"/>
        </w:rPr>
        <w:t>സിംഹാസനത്തെക്കുറിച്ചുള്ള</w:t>
      </w:r>
      <w:r>
        <w:rPr>
          <w:rFonts w:ascii="Times New Roman" w:hAnsi="Times New Roman" w:eastAsia="Times New Roman" w:cs="Times New Roman"/>
        </w:rPr>
        <w:t xml:space="preserve"> </w:t>
      </w:r>
      <w:r>
        <w:rPr>
          <w:rFonts w:ascii="Nirmala UI" w:hAnsi="Nirmala UI" w:eastAsia="Nirmala UI" w:cs="Nirmala UI"/>
        </w:rPr>
        <w:t>ദൈവിക</w:t>
      </w:r>
      <w:r>
        <w:rPr>
          <w:rFonts w:ascii="Times New Roman" w:hAnsi="Times New Roman" w:eastAsia="Times New Roman" w:cs="Times New Roman"/>
        </w:rPr>
        <w:t xml:space="preserve"> </w:t>
      </w:r>
      <w:r>
        <w:rPr>
          <w:rFonts w:ascii="Nirmala UI" w:hAnsi="Nirmala UI" w:eastAsia="Nirmala UI" w:cs="Nirmala UI"/>
        </w:rPr>
        <w:t>ആജ്ഞ</w:t>
      </w:r>
      <w:r>
        <w:rPr>
          <w:rFonts w:ascii="Times New Roman" w:hAnsi="Times New Roman" w:eastAsia="Times New Roman" w:cs="Times New Roman"/>
        </w:rPr>
        <w:t xml:space="preserve"> </w:t>
      </w:r>
      <w:r>
        <w:rPr>
          <w:rFonts w:ascii="Nirmala UI" w:hAnsi="Nirmala UI" w:eastAsia="Nirmala UI" w:cs="Nirmala UI"/>
        </w:rPr>
        <w:t>ഇപ്രകാരമായിരുന്നു</w:t>
      </w:r>
      <w:r>
        <w:rPr>
          <w:rFonts w:ascii="Times New Roman" w:hAnsi="Times New Roman" w:eastAsia="Times New Roman" w:cs="Times New Roman"/>
        </w:rPr>
        <w:t>: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മറിച്ചുകളയും</w:t>
      </w:r>
      <w:r>
        <w:rPr>
          <w:rFonts w:ascii="Times New Roman" w:hAnsi="Times New Roman" w:eastAsia="Times New Roman" w:cs="Times New Roman"/>
        </w:rPr>
        <w:t xml:space="preserve">, </w:t>
      </w:r>
      <w:r>
        <w:rPr>
          <w:rFonts w:ascii="Nirmala UI" w:hAnsi="Nirmala UI" w:eastAsia="Nirmala UI" w:cs="Nirmala UI"/>
        </w:rPr>
        <w:t>മറിച്ചുകളയും</w:t>
      </w:r>
      <w:r>
        <w:rPr>
          <w:rFonts w:ascii="Times New Roman" w:hAnsi="Times New Roman" w:eastAsia="Times New Roman" w:cs="Times New Roman"/>
        </w:rPr>
        <w:t xml:space="preserve">, </w:t>
      </w:r>
      <w:r>
        <w:rPr>
          <w:rFonts w:ascii="Nirmala UI" w:hAnsi="Nirmala UI" w:eastAsia="Nirmala UI" w:cs="Nirmala UI"/>
        </w:rPr>
        <w:t>മറിച്ചുകളയും</w:t>
      </w:r>
      <w:r>
        <w:rPr>
          <w:rFonts w:ascii="Times New Roman" w:hAnsi="Times New Roman" w:eastAsia="Times New Roman" w:cs="Times New Roman"/>
        </w:rPr>
        <w:t>’; ‘</w:t>
      </w:r>
      <w:r>
        <w:rPr>
          <w:rFonts w:ascii="Nirmala UI" w:hAnsi="Nirmala UI" w:eastAsia="Nirmala UI" w:cs="Nirmala UI"/>
        </w:rPr>
        <w:t>അവകാശമുള്ളവൻ</w:t>
      </w:r>
      <w:r>
        <w:rPr>
          <w:rFonts w:ascii="Times New Roman" w:hAnsi="Times New Roman" w:eastAsia="Times New Roman" w:cs="Times New Roman"/>
        </w:rPr>
        <w:t xml:space="preserve"> </w:t>
      </w:r>
      <w:r>
        <w:rPr>
          <w:rFonts w:ascii="Nirmala UI" w:hAnsi="Nirmala UI" w:eastAsia="Nirmala UI" w:cs="Nirmala UI"/>
        </w:rPr>
        <w:t>വരുവോളം</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ഉണ്ടാകയില്ല</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അവന്നു</w:t>
      </w:r>
      <w:r>
        <w:rPr>
          <w:rFonts w:ascii="Times New Roman" w:hAnsi="Times New Roman" w:eastAsia="Times New Roman" w:cs="Times New Roman"/>
        </w:rPr>
        <w:t xml:space="preserve"> </w:t>
      </w:r>
      <w:r>
        <w:rPr>
          <w:rFonts w:ascii="Nirmala UI" w:hAnsi="Nirmala UI" w:eastAsia="Nirmala UI" w:cs="Nirmala UI"/>
        </w:rPr>
        <w:t>കൊടുക്കും</w:t>
      </w:r>
      <w:r>
        <w:rPr>
          <w:rFonts w:ascii="Times New Roman" w:hAnsi="Times New Roman" w:eastAsia="Times New Roman" w:cs="Times New Roman"/>
        </w:rPr>
        <w:t xml:space="preserve">.’ </w:t>
      </w:r>
      <w:r>
        <w:rPr>
          <w:rFonts w:ascii="Nirmala UI" w:hAnsi="Nirmala UI" w:eastAsia="Nirmala UI" w:cs="Nirmala UI"/>
        </w:rPr>
        <w:t>യെഹെസ്കേൽ</w:t>
      </w:r>
      <w:r>
        <w:rPr>
          <w:rFonts w:ascii="Times New Roman" w:hAnsi="Times New Roman" w:eastAsia="Times New Roman" w:cs="Times New Roman"/>
        </w:rPr>
        <w:t xml:space="preserve"> 21:25–27.” </w:t>
      </w:r>
      <w:r>
        <w:rPr>
          <w:rFonts w:ascii="Nirmala UI" w:hAnsi="Nirmala UI" w:eastAsia="Nirmala UI" w:cs="Nirmala UI"/>
        </w:rPr>
        <w:t>പ്രവാചകന്മാരും</w:t>
      </w:r>
      <w:r>
        <w:rPr>
          <w:rFonts w:ascii="Times New Roman" w:hAnsi="Times New Roman" w:eastAsia="Times New Roman" w:cs="Times New Roman"/>
        </w:rPr>
        <w:t xml:space="preserve"> </w:t>
      </w:r>
      <w:r>
        <w:rPr>
          <w:rFonts w:ascii="Nirmala UI" w:hAnsi="Nirmala UI" w:eastAsia="Nirmala UI" w:cs="Nirmala UI"/>
        </w:rPr>
        <w:t>രാജാക്കന്മാരും</w:t>
      </w:r>
      <w:r>
        <w:rPr>
          <w:rFonts w:ascii="Times New Roman" w:hAnsi="Times New Roman" w:eastAsia="Times New Roman" w:cs="Times New Roman"/>
        </w:rPr>
        <w:t>, 450, 451.</w:t>
      </w:r>
    </w:p>
    <w:p>
      <w:pPr>
        <w:pStyle w:val="ArticleBody"/>
        <w:jc w:val="left"/>
      </w:pPr>
      <w:r>
        <w:rPr>
          <w:rFonts w:ascii="Times New Roman" w:hAnsi="Times New Roman" w:eastAsia="Times New Roman" w:cs="Times New Roman"/>
        </w:rPr>
        <w:t>میلر درست می‌گفت، اما فهم او محدود بود؛ زیرا پادشاهی‌ای که مسیح هنگامی که در میان آدمیان می‌زیست برپا کرد، پادشاهی نهایی زمینی نبود. پس از پادشاهی رومِ بت‌پرست، هنوز چهار پادشاه دیگر می‌بایست باشند. با این همه، مسیح بر صلیب پادشاهیِ «فیض» را برپا ساخت، اما آن پادشاهی نه در ایام ده پادشاهِ مکاشفه هفده برپا شد، و نه در دوران باران اخیر. پادشاهی‌ای که مسیح در روزهای آخر برپا می‌سازد، پادشاهیِ «جلال» اوست. خواهر وایت به‌طور مستقیم از هر دوی این پادشاهی‌ها سخن می‌گوید.</w:t>
      </w:r>
    </w:p>
    <w:p>
      <w:pPr>
        <w:pStyle w:val="ArticleBody"/>
        <w:jc w:val="left"/>
      </w:pPr>
      <w:r>
        <w:rPr>
          <w:rFonts w:ascii="Times New Roman" w:hAnsi="Times New Roman" w:eastAsia="Times New Roman" w:cs="Times New Roman"/>
        </w:rPr>
        <w:t>Les millérites comprirent que le Christ établit un royaume durant l’histoire du quatrième royaume, et ils avaient raison, mais leur compréhension était limitée. Dans l’histoire du quatrième royaume, le Christ établit le royaume de « grâce », et dans l’histoire du huitième royaume, Il établit son royaume de « gloire ». Dans l’époque où Il établit le royaume de « grâce », le Saint-Esprit fut répandu à la Pentecôte. La Pentecôte est une figure de l’effusion de la pluie de l’arrière-saison, dans l’histoire où Il établit son royaume de « gloire ».</w:t>
      </w:r>
    </w:p>
    <w:p>
      <w:pPr>
        <w:pStyle w:val="ArticleBody"/>
        <w:jc w:val="left"/>
      </w:pPr>
      <w:r>
        <w:rPr>
          <w:rFonts w:ascii="Times New Roman" w:hAnsi="Times New Roman" w:eastAsia="Times New Roman" w:cs="Times New Roman"/>
        </w:rPr>
        <w:t>Indzaba yePhentekhoste yayiyindzaba yekuvuka kwaKhristu ngelucobo. Indzaba yemvula yekugcina, lokungenani ngalokuncane, yindzaba yekuvuka lokungumfuziselo lokumelwe yiphazili yesiprofetho yekutsi lowo wesiphohlongo aphuma kulabayisikhombisa, lokugcwaliseka esilwaneni, kanye netimphondvo letimbili tesilwane semhlaba. Umbuso wesine newesiphohlongo kulapho Khristu amisa khona umbuso waKhe.</w:t>
      </w:r>
    </w:p>
    <w:p>
      <w:pPr>
        <w:pStyle w:val="ArticleScripture"/>
        <w:jc w:val="left"/>
      </w:pPr>
      <w:r>
        <w:rPr>
          <w:rFonts w:ascii="Times New Roman" w:hAnsi="Times New Roman" w:eastAsia="Times New Roman" w:cs="Times New Roman"/>
        </w:rPr>
        <w:t>Annonsen som var blitt kunngjort av disiplene i Herrens navn, var i enhver henseende korrekt, og begivenhetene som den pekte frem mot, fant allerede da sted. «Tiden er fullendt, og Guds rike er kommet nær,» hadde vært deres budskap. Ved utløpet av «tiden»—de sekstini ukene i Daniel 9, som skulle strekke seg frem til Messias, «Den Salvede»—hadde Kristus mottatt Åndens salvelse etter sin dåp ved Johannes i Jordan. Og «Guds rike», som de hadde forkynt var kommet nær, ble opprettet ved Kristi død. Dette riket var ikke, slik de var blitt lært å tro, et jordisk imperium. Heller ikke var det det fremtidige, udødelige riket som skal opprettes når «riket og herredømmet og storheten til rikene under hele himmelen skal gis til folket av Den Høyestes hellige;» det evige riket, hvor «alle herredømmer skal tjene og lyde Ham.» Daniel 7:27. Slik uttrykket «Guds rike» brukes i Bibelen, betegner det både nåderiket og herlighetsriket. Nåderiket fremstilles av Paulus i brevet til hebreerne. Etter å ha pekt på Kristus, den medlidende mellommann som er «rørt av følelsen av våre skrøpeligheter,» sier apostelen: «La oss derfor frimodig tre frem for nådens trone, for at vi kan få miskunn og finne nåde.» Hebreerne 4:15, 16. Nådens trone representerer nåderiket; for eksistensen av en trone innebærer eksistensen av et rike. I mange av sine lignelser bruker Kristus uttrykket «himmelriket» for å betegne den guddommelige nådes gjerning i menneskenes hjerter.</w:t>
      </w:r>
    </w:p>
    <w:p>
      <w:pPr>
        <w:pStyle w:val="ArticleScripture"/>
        <w:jc w:val="left"/>
      </w:pPr>
      <w:r>
        <w:rPr>
          <w:rFonts w:ascii="Times New Roman" w:hAnsi="Times New Roman" w:eastAsia="Times New Roman" w:cs="Times New Roman"/>
        </w:rPr>
        <w:t>«Այսպիսով, փառքի գահը ներկայացնում է փառքի արքայությունը, և այս արքայությանն է ակնարկվում Փրկչի հետևյալ խոսքերում. «Երբ մարդու Որդին գա Իր փառքով, և բոլոր սուրբ հրեշտակները՝ Նրա հետ, այն ժամանակ Նա պիտի նստի Իր փառքի գահի վրա, և Նրա առաջ պիտի հավաքվեն բոլոր ազգերը»։ Մատթեոս 25:31, 32։ Այս արքայությունը դեռ ապագայի բան է։ Այն չի հաստատվելու մինչև Քրիստոսի երկրորդ գալուստը»։</w:t>
      </w:r>
    </w:p>
    <w:p>
      <w:pPr>
        <w:pStyle w:val="ArticleScripture"/>
        <w:jc w:val="left"/>
      </w:pPr>
      <w:r>
        <w:rPr>
          <w:rFonts w:ascii="Times New Roman" w:hAnsi="Times New Roman" w:eastAsia="Times New Roman" w:cs="Times New Roman"/>
        </w:rPr>
        <w:t>“Lè wayòm gras la te etabli tousuit apre tonbe lòm, lè yo te prepare yon plan pou redanmsyon ras koupab la. Lè sa a, li te egziste nan desizyon ak nan pwomès Bondye; e atravè lafwa, lèzòm te kapab vin sijè li yo. Men, li pa t etabli an reyalite jouk lanmò Kris la. Menm apre Sovè a te antre nan misyon li sou tè a, li menm ki te fatige akòz tèt di ak engratitid lèzòm, li te kapab fè bak devan sakrifis Kalvè a. Nan Jetsemane, gode lapenn nan t ap tranble nan men li. Menm lè sa a, li te kapab siye swe san an sou fwon li epi kite ras koupab la peri nan inikite li. Si li te fè sa, pa t ap ka gen okenn redanmsyon pou lèzòm ki te tonbe yo. Men, lè Sovè a te bay lavi li, epi ak dènye souf li li te rele: ‘Sa fini,’ lè sa a akonplisman plan redanmsyon an te vin asire. Pwomès sali ki te fèt ak pè pechè a nan Edenn lan te ratifye. Wayòm gras la, ki te deja egziste pa pwomès Bondye, te etabli lè sa a.”</w:t>
      </w:r>
    </w:p>
    <w:p>
      <w:pPr>
        <w:pStyle w:val="ArticleScripture"/>
        <w:jc w:val="left"/>
      </w:pPr>
      <w:r>
        <w:rPr>
          <w:rFonts w:ascii="Times New Roman" w:hAnsi="Times New Roman" w:eastAsia="Times New Roman" w:cs="Times New Roman"/>
        </w:rPr>
        <w:t>“Na yango, liwa ya Klisto—likambo yango moko oyo bayekoli bamonaki lokola kobebisama ya nsuka ya elikya na bango—ezalaki nde oyo ekomisaki yango ya solo mpo na libela. Atako ememelaki bango mawa makasi ya bolongi te, ezalaki nsuka ya bilembeteli oyo elakisaki ete kondima na bango ezalaki sembo. Likambo oyo etondisaki bango na kolela mpe na kozanga elikya ezalaki nde oyo efungolaki ekuke ya elikya mpo na mwana nyonso ya Adama, mpe oyo kati na yango nde bomoi ya mikolo mizali koya mpe esengo ya seko ya banso ya sembo ya Nzambe na bileko nyonso esangisamaki.”</w:t>
      </w:r>
    </w:p>
    <w:p>
      <w:pPr>
        <w:pStyle w:val="ArticleScripture"/>
        <w:jc w:val="left"/>
      </w:pPr>
      <w:r>
        <w:rPr>
          <w:rFonts w:ascii="Times New Roman" w:hAnsi="Times New Roman" w:eastAsia="Times New Roman" w:cs="Times New Roman"/>
        </w:rPr>
        <w:t>«Бесконайин рәһим-шәпқәтниң мәхсәтләр өз әмәлгә ешишигә йетип келиватқан еди, һәтта шагиртларниң үмидсизлиниши арқилиқму. Уларниң қәлблири “инсан һеч қачан бундақ сөзлигән әмәс” дәп ейтилған Униң тәлиминиң илаһий меһри-шәпқити вә қудрити билән җәлип қилинған болсиму, уларниң Әйсаға болған муһәббитиниң сап алтиниға дунявий ғурур вә шәхсий мәнпәәтпәрвәрликниң әрзан қорутмиси арилишип қалған еди. Һәтта Пасха өйидә, шу тәнтәнилик саәттә, уларниң Устази аллиқачан Гетсиманиниң сийисиға кирип бериватқан чағда, уларниң арисида “қайсисиниң әң улуқ дәп саналиши керәклики тоғрилиқ талаш” болди. Луқа 22:24. Уларниң көз алди тәхт, таҗ вә шан-шөһрәт билән толған еди, амма уларниң дәл алдида бағниң шәрмәндилиги вә азаби, сот мәһкимиси, Голгофа һейқи турған еди. Дәл уларниң қәлб ғурури, дунявий шан-шөһрәткә болған тәшналиғи уларни өз дәвриниң сахта тәлимини шундақ чиң тутувелишқа, вә Қутқузғучиниң Өз падишалиғиниң һәқиқий тәбиитини көрситип, Өзиниң азаби вә өлүмигә ишарә қилған сөзлиригә бепәрва қарап өтүшкә елип кәлгән еди. Бу хаталиқлар болса, уларни түзитиш үчүн йол қоюлған, өткүр, әмма зөрүр болған синаққа елип кәлди. Шагиртлар өз хәвәрлириниң мәнасини хаталиқ чүшәнгән вә өзлириниң күтүшлирини әмәлгә ашмиған болса-тму, улар өзлиригә Худаниң бәргән агаһландурушини вәз қилған еди, вә Рәб уларниң етиқадини мукапатлап, итаитини шәрәпләйдиған еди. Тирилгән Рәббиниң шанлиқ хуш хәвирини барлиқ милләтләргә җакарлаш хизмити уларға тапшурулидиған еди. Уларға өзлиригә шундақ аччиқ көрүнгән бу кәчмиш дәл шу хизмәт үчүн тәйярлиқ болуши үчүн йол қоюлған еди.» The Great Controversy, 347, 348.</w:t>
      </w:r>
    </w:p>
    <w:p>
      <w:pPr>
        <w:pStyle w:val="ArticleBody"/>
        <w:jc w:val="left"/>
      </w:pPr>
      <w:r>
        <w:rPr>
          <w:rFonts w:ascii="Times New Roman" w:hAnsi="Times New Roman" w:eastAsia="Times New Roman" w:cs="Times New Roman"/>
        </w:rPr>
        <w:t>Nan kit Apokalips la, “lespri ki gen sajès la” konte “nimewo yon moun”, epi li rekonèt ke “moun” nan se tou uityèm wayòm nan, ki soti nan sèt yo. “Moun peche a” se tèt uityèm wayòm nan ki ap domine sou wa yo ak machann latè yo; se avèk li sèt legliz yo mete tèt yo ansanm pou yo evite wont pèsekisyon an, e se li ki chita sou anpil dlo.</w:t>
      </w:r>
    </w:p>
    <w:p>
      <w:pPr>
        <w:pStyle w:val="ArticleScripture"/>
        <w:jc w:val="left"/>
      </w:pPr>
      <w:r>
        <w:rPr>
          <w:rFonts w:ascii="Times New Roman" w:hAnsi="Times New Roman" w:eastAsia="Times New Roman" w:cs="Times New Roman"/>
        </w:rPr>
        <w:t>Na kamaambia, Yale maji uliyoyaona, ambapo yule kahaba ameketi, ni watu, na makutano, na mataifa, na lugha. Ufunuo 17:15.</w:t>
      </w:r>
    </w:p>
    <w:p>
      <w:pPr>
        <w:pStyle w:val="ArticleBody"/>
        <w:jc w:val="left"/>
      </w:pPr>
      <w:r>
        <w:rPr>
          <w:rFonts w:ascii="Times New Roman" w:hAnsi="Times New Roman" w:eastAsia="Times New Roman" w:cs="Times New Roman"/>
        </w:rPr>
        <w:t>“umuntu w’icyaha” ategeka isi ya politiki, iy’ifaranga, iy’idini, n’iy’ubutegetsi bwa gisivili, kandi ategeka abantu bose, keretse abanesheje ya nyamaswa, n’igishushanyo cyayo, n’ikimenyetso cyayo, n’umubare w’izina ryayo.</w:t>
      </w:r>
    </w:p>
    <w:p>
      <w:pPr>
        <w:pStyle w:val="ArticleScripture"/>
        <w:jc w:val="left"/>
      </w:pPr>
      <w:r>
        <w:rPr>
          <w:rFonts w:ascii="Times New Roman" w:hAnsi="Times New Roman" w:eastAsia="Times New Roman" w:cs="Times New Roman"/>
        </w:rPr>
        <w:t>Et je vis comme une mer de verre mêlée de feu; et ceux qui avaient remporté la victoire sur la bête, et sur son image, et sur sa marque, et sur le nombre de son nom, se tenaient sur la mer de verre, ayant les harpes de Dieu. Et ils chantent le cantique de Moïse, serviteur de Dieu, et le cantique de l’Agneau, en disant: Grandes et merveilleuses sont tes œuvres, Seigneur Dieu Tout-Puissant; justes et véritables sont tes voies, ô Roi des saints. Apocalypse 15:2, 3.</w:t>
      </w:r>
    </w:p>
    <w:p>
      <w:pPr>
        <w:pStyle w:val="ArticleBody"/>
        <w:jc w:val="left"/>
      </w:pPr>
      <w:r>
        <w:rPr>
          <w:rFonts w:ascii="Times New Roman" w:hAnsi="Times New Roman" w:eastAsia="Times New Roman" w:cs="Times New Roman"/>
        </w:rPr>
        <w:t>«أُولُو الْحِكْمَةِ» الذين يفهمون «ازْدِيَادَ الْمَعْرِفَةِ»، حين يُفْتَحُ خَتْمُ رؤيا يسوع المسيح، هم الذين لهم «فَهْمٌ» ويَحْسُبُونَ «عَدَدَ الْوَحْشِ، فَإِنَّهُ عَدَدُ إِنْسَانٍ، وَعَدَدُهُ سِتُّ مِئَةٍ وَسِتَّةٌ وَسِتُّونَ». وذلك «الفَهْمُ» يمثّل جزءًا من عملية الامتحان ذات المراحل الثلاث التي تقع دائمًا حين يفكّ يسوع ختم نبوءة. ولهذا يُذْكَرُ أنهم قد «غَلَبُوا» «عَدَدَ اسْمِهِ».</w:t>
      </w:r>
    </w:p>
    <w:p>
      <w:pPr>
        <w:pStyle w:val="ArticleBody"/>
        <w:jc w:val="left"/>
      </w:pPr>
      <w:r>
        <w:rPr>
          <w:rFonts w:ascii="Times New Roman" w:hAnsi="Times New Roman" w:eastAsia="Times New Roman" w:cs="Times New Roman"/>
        </w:rPr>
        <w:t>Pour obtenir la victoire, il faut passer une épreuve, et ceux qui sont « sages » et « intelligents » remportent la victoire associée au nombre 666; et le verset indique aussi qu’il y a huit royaumes, et que le huitième est issu des sept. Ce « secret » est représenté dans le chapitre deux de Daniel, car la prière de Daniel visait à comprendre « le secret ». La révélation selon laquelle il y a huit royaumes, que le huitième est issu des sept, et que le nombre de ce royaume est 666, est le secret que Daniel est représenté comme obtenant par sa prière, et Daniel représente les « sages » du peuple de Dieu dans les derniers jours.</w:t>
      </w:r>
    </w:p>
    <w:p>
      <w:pPr>
        <w:pStyle w:val="ArticleBody"/>
        <w:jc w:val="left"/>
      </w:pPr>
      <w:r>
        <w:rPr>
          <w:rFonts w:ascii="Times New Roman" w:hAnsi="Times New Roman" w:eastAsia="Times New Roman" w:cs="Times New Roman"/>
        </w:rPr>
        <w:t>Daniel représente les « sages » des derniers jours à qui le secret de Daniel deux a été descellé; et ce secret est la révélation que la dernière et la première référence aux royaumes de la prophétie biblique est qu’il y a huit royaumes dans l’image. Cette révélation confirme la compréhension millérite du chapitre deux de Daniel, mais elle resplendit dix fois plus intensément, une fois qu’elle est reconnue. Son éclat, étant dix fois plus vif, représente une épreuve sur laquelle les « sages » remportent la victoire; car le huitième royaume, qui procède des sept, est aussi le sixième royaume, lequel est une union triple du dragon, de la bête et du faux prophète. Ainsi, le dragon, la bête et le faux prophète sont tous le sixième royaume, et ensemble ils représentent 666.</w:t>
      </w:r>
    </w:p>
    <w:p>
      <w:pPr>
        <w:pStyle w:val="ArticleBody"/>
        <w:jc w:val="left"/>
      </w:pPr>
      <w:r>
        <w:rPr>
          <w:rFonts w:ascii="Times New Roman" w:hAnsi="Times New Roman" w:eastAsia="Times New Roman" w:cs="Times New Roman"/>
        </w:rPr>
        <w:t>Nabucodonosor fue probado por la revelación de Daniel capítulo dos, y no pasó la prueba. En Daniel dos, Daniel representa a los “sabios” que pasan la prueba del secreto de la imagen. Nabucodonosor, en el capítulo tres, representa a los impíos que no pasan esa misma prueba. Nabucodonosor, como el primer rey del primer reino, representa al último rey del último reino. Por lo tanto, representa al “hombre de pecado”, el hombre de la profecía del cual se apoderan las siete iglesias. El hombre fue creado en el sexto día, y por lo tanto el número seis es el número de la humanidad. El número de Nabucodonosor es seis. Nabucodonosor no pasó la prueba del número 666, y representó a los impíos de los postreros días. Como símbolo del hombre de pecado, su número es seis.</w:t>
      </w:r>
    </w:p>
    <w:p>
      <w:pPr>
        <w:pStyle w:val="ArticleScripture"/>
        <w:jc w:val="left"/>
      </w:pPr>
      <w:r>
        <w:rPr>
          <w:rFonts w:ascii="Times New Roman" w:hAnsi="Times New Roman" w:eastAsia="Times New Roman" w:cs="Times New Roman"/>
        </w:rPr>
        <w:t>Nebukadnezari, mbreti, bëri një shëmbëlltyrë prej ari, lartësia e së cilës ishte gjashtëdhjetë kubitë dhe gjerësia e saj gjashtë kubitë; ai e ngriti atë në fushën e Durës, në krahinën e Babilonisë. Danieli 3:1.</w:t>
      </w:r>
    </w:p>
    <w:p>
      <w:pPr>
        <w:pStyle w:val="ArticleBody"/>
        <w:jc w:val="left"/>
      </w:pPr>
      <w:r>
        <w:rPr>
          <w:rFonts w:ascii="Times New Roman" w:hAnsi="Times New Roman" w:eastAsia="Times New Roman" w:cs="Times New Roman"/>
        </w:rPr>
        <w:t>Tsheenam kaahsihtsik daawashiihtik pakiiw, aniin eko niiyaanan pakiiw kaahsihtsik; Nebuchadnezzar omaa ozhitoon, awiya kaate eyaad gagwejimowin gagwezhiganong niizhwaaswiens six. Mii i’iw onjii-binaakizid ezhi-giizhaad bangii dibishkoo awaasibii’igan noongom maanda ogii-nagamon noongom chapter two, miinawaa niiswi gagweginwaamiziwinan maanda awaasibii’igan, ishkwaa gagwe-gikendaman ezhi-ayaad Nebuchadnezzar gagwezhiganong six, mii i’iw gagwe-izhichigewin six, six, six.</w:t>
      </w:r>
    </w:p>
    <w:p>
      <w:pPr>
        <w:pStyle w:val="ArticleBody"/>
        <w:jc w:val="left"/>
      </w:pPr>
      <w:r>
        <w:rPr>
          <w:rFonts w:ascii="Times New Roman" w:hAnsi="Times New Roman" w:eastAsia="Times New Roman" w:cs="Times New Roman"/>
        </w:rPr>
        <w:t>Mākou e hoʻomau i kēia haʻawina ma ka ʻatikala aʻe.</w:t>
      </w:r>
    </w:p>
    <w:p>
      <w:pPr>
        <w:pStyle w:val="ArticleScripture"/>
        <w:jc w:val="left"/>
      </w:pPr>
      <w:r>
        <w:rPr>
          <w:rFonts w:ascii="Times New Roman" w:hAnsi="Times New Roman" w:eastAsia="Times New Roman" w:cs="Times New Roman"/>
        </w:rPr>
        <w:t>"</w:t>
      </w:r>
      <w:r>
        <w:rPr>
          <w:rFonts w:ascii="Nirmala UI" w:hAnsi="Nirmala UI" w:eastAsia="Nirmala UI" w:cs="Nirmala UI"/>
        </w:rPr>
        <w:t>प्रभुत्व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राजवंश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शक्तिशाली</w:t>
      </w:r>
      <w:r>
        <w:rPr>
          <w:rFonts w:ascii="Times New Roman" w:hAnsi="Times New Roman" w:eastAsia="Times New Roman" w:cs="Times New Roman"/>
        </w:rPr>
        <w:t xml:space="preserve"> </w:t>
      </w:r>
      <w:r>
        <w:rPr>
          <w:rFonts w:ascii="Nirmala UI" w:hAnsi="Nirmala UI" w:eastAsia="Nirmala UI" w:cs="Nirmala UI"/>
        </w:rPr>
        <w:t>शासक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भुजबल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असीम</w:t>
      </w:r>
      <w:r>
        <w:rPr>
          <w:rFonts w:ascii="Times New Roman" w:hAnsi="Times New Roman" w:eastAsia="Times New Roman" w:cs="Times New Roman"/>
        </w:rPr>
        <w:t xml:space="preserve"> </w:t>
      </w:r>
      <w:r>
        <w:rPr>
          <w:rFonts w:ascii="Nirmala UI" w:hAnsi="Nirmala UI" w:eastAsia="Nirmala UI" w:cs="Nirmala UI"/>
        </w:rPr>
        <w:t>महत्त्वाकांक्षा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स्वार्थी</w:t>
      </w:r>
      <w:r>
        <w:rPr>
          <w:rFonts w:ascii="Times New Roman" w:hAnsi="Times New Roman" w:eastAsia="Times New Roman" w:cs="Times New Roman"/>
        </w:rPr>
        <w:t xml:space="preserve"> </w:t>
      </w:r>
      <w:r>
        <w:rPr>
          <w:rFonts w:ascii="Nirmala UI" w:hAnsi="Nirmala UI" w:eastAsia="Nirmala UI" w:cs="Nirmala UI"/>
        </w:rPr>
        <w:t>अभिमान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उत्साह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परामर्श</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सम्बद्ध</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व्यवस्थाओं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भूलकर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भूलकर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सेवक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लज्जाजनक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प्रभुता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भूलकर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w:t>
      </w:r>
      <w:r>
        <w:rPr>
          <w:rFonts w:ascii="Nirmala UI" w:hAnsi="Nirmala UI" w:eastAsia="Nirmala UI" w:cs="Nirmala UI"/>
        </w:rPr>
        <w:t>मंत्रियों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सम्भव</w:t>
      </w:r>
      <w:r>
        <w:rPr>
          <w:rFonts w:ascii="Times New Roman" w:hAnsi="Times New Roman" w:eastAsia="Times New Roman" w:cs="Times New Roman"/>
        </w:rPr>
        <w:t xml:space="preserve"> </w:t>
      </w:r>
      <w:r>
        <w:rPr>
          <w:rFonts w:ascii="Nirmala UI" w:hAnsi="Nirmala UI" w:eastAsia="Nirmala UI" w:cs="Nirmala UI"/>
        </w:rPr>
        <w:t>उपाय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सर्वोच्च</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सार्वभौमिक</w:t>
      </w:r>
      <w:r>
        <w:rPr>
          <w:rFonts w:ascii="Times New Roman" w:hAnsi="Times New Roman" w:eastAsia="Times New Roman" w:cs="Times New Roman"/>
        </w:rPr>
        <w:t xml:space="preserve"> </w:t>
      </w:r>
      <w:r>
        <w:rPr>
          <w:rFonts w:ascii="Nirmala UI" w:hAnsi="Nirmala UI" w:eastAsia="Nirmala UI" w:cs="Nirmala UI"/>
        </w:rPr>
        <w:t>निष्ठा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करेंगे।</w:t>
      </w:r>
    </w:p>
    <w:p>
      <w:pPr>
        <w:pStyle w:val="ArticleScripture"/>
        <w:jc w:val="left"/>
      </w:pPr>
      <w:r>
        <w:rPr>
          <w:rFonts w:ascii="Times New Roman" w:hAnsi="Times New Roman" w:eastAsia="Times New Roman" w:cs="Times New Roman"/>
        </w:rPr>
        <w:t>“Le symbole par lequel Dieu avait révélé au roi et au peuple son dessein à l’égard des nations de la terre devait maintenant être mis au service de la glorification de la puissance humaine. L’interprétation de Daniel devait être rejetée et oubliée; la vérité devait être mal interprétée et mal appliquée. Le symbole conçu par le Ciel pour dévoiler à l’esprit des hommes d’importants événements de l’avenir devait être utilisé pour entraver la diffusion de la connaissance que Dieu désirait voir le monde recevoir. Ainsi, par les inventions d’hommes ambitieux, Satan cherchait à faire échec au dessein divin pour la race humaine. L’ennemi du genre humain savait que la vérité, sans aucun mélange d’erreur, est une puissance capable de sauver avec force; mais que, lorsqu’elle est employée pour exalter le moi et favoriser les desseins des hommes, elle devient une puissance pour le mal.”</w:t>
      </w:r>
    </w:p>
    <w:p>
      <w:pPr>
        <w:pStyle w:val="ArticleScripture"/>
        <w:jc w:val="left"/>
      </w:pPr>
      <w:r>
        <w:rPr>
          <w:rFonts w:ascii="Times New Roman" w:hAnsi="Times New Roman" w:eastAsia="Times New Roman" w:cs="Times New Roman"/>
        </w:rPr>
        <w:t>“ff”</w:t>
      </w:r>
      <w:r>
        <w:rPr>
          <w:rFonts w:ascii="Nirmala UI" w:hAnsi="Nirmala UI" w:eastAsia="Nirmala UI" w:cs="Nirmala UI"/>
        </w:rPr>
        <w:t>માંથી</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સમૃદ્ધ</w:t>
      </w:r>
      <w:r>
        <w:rPr>
          <w:rFonts w:ascii="Times New Roman" w:hAnsi="Times New Roman" w:eastAsia="Times New Roman" w:cs="Times New Roman"/>
        </w:rPr>
        <w:t xml:space="preserve"> </w:t>
      </w:r>
      <w:r>
        <w:rPr>
          <w:rFonts w:ascii="Nirmala UI" w:hAnsi="Nirmala UI" w:eastAsia="Nirmala UI" w:cs="Nirmala UI"/>
        </w:rPr>
        <w:t>ખજાનાની</w:t>
      </w:r>
      <w:r>
        <w:rPr>
          <w:rFonts w:ascii="Times New Roman" w:hAnsi="Times New Roman" w:eastAsia="Times New Roman" w:cs="Times New Roman"/>
        </w:rPr>
        <w:t xml:space="preserve"> </w:t>
      </w:r>
      <w:r>
        <w:rPr>
          <w:rFonts w:ascii="Nirmala UI" w:hAnsi="Nirmala UI" w:eastAsia="Nirmala UI" w:cs="Nirmala UI"/>
        </w:rPr>
        <w:t>ભંડારશાળામાંથી</w:t>
      </w:r>
      <w:r>
        <w:rPr>
          <w:rFonts w:ascii="Times New Roman" w:hAnsi="Times New Roman" w:eastAsia="Times New Roman" w:cs="Times New Roman"/>
        </w:rPr>
        <w:t xml:space="preserve"> </w:t>
      </w:r>
      <w:r>
        <w:rPr>
          <w:rFonts w:ascii="Nirmala UI" w:hAnsi="Nirmala UI" w:eastAsia="Nirmala UI" w:cs="Nirmala UI"/>
        </w:rPr>
        <w:t>નેબૂખાદનેઝરે</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વિશાળ</w:t>
      </w:r>
      <w:r>
        <w:rPr>
          <w:rFonts w:ascii="Times New Roman" w:hAnsi="Times New Roman" w:eastAsia="Times New Roman" w:cs="Times New Roman"/>
        </w:rPr>
        <w:t xml:space="preserve"> </w:t>
      </w:r>
      <w:r>
        <w:rPr>
          <w:rFonts w:ascii="Nirmala UI" w:hAnsi="Nirmala UI" w:eastAsia="Nirmala UI" w:cs="Nirmala UI"/>
        </w:rPr>
        <w:t>સુવર્ણ</w:t>
      </w:r>
      <w:r>
        <w:rPr>
          <w:rFonts w:ascii="Times New Roman" w:hAnsi="Times New Roman" w:eastAsia="Times New Roman" w:cs="Times New Roman"/>
        </w:rPr>
        <w:t xml:space="preserve"> </w:t>
      </w:r>
      <w:r>
        <w:rPr>
          <w:rFonts w:ascii="Nirmala UI" w:hAnsi="Nirmala UI" w:eastAsia="Nirmala UI" w:cs="Nirmala UI"/>
        </w:rPr>
        <w:t>મૂર્તિ</w:t>
      </w:r>
      <w:r>
        <w:rPr>
          <w:rFonts w:ascii="Times New Roman" w:hAnsi="Times New Roman" w:eastAsia="Times New Roman" w:cs="Times New Roman"/>
        </w:rPr>
        <w:t xml:space="preserve"> </w:t>
      </w:r>
      <w:r>
        <w:rPr>
          <w:rFonts w:ascii="Nirmala UI" w:hAnsi="Nirmala UI" w:eastAsia="Nirmala UI" w:cs="Nirmala UI"/>
        </w:rPr>
        <w:t>બનાવડાવી</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સામાન્ય</w:t>
      </w:r>
      <w:r>
        <w:rPr>
          <w:rFonts w:ascii="Times New Roman" w:hAnsi="Times New Roman" w:eastAsia="Times New Roman" w:cs="Times New Roman"/>
        </w:rPr>
        <w:t xml:space="preserve"> </w:t>
      </w:r>
      <w:r>
        <w:rPr>
          <w:rFonts w:ascii="Nirmala UI" w:hAnsi="Nirmala UI" w:eastAsia="Nirmala UI" w:cs="Nirmala UI"/>
        </w:rPr>
        <w:t>લાક્ષણિકતાઓમાં</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દર્શનમાં</w:t>
      </w:r>
      <w:r>
        <w:rPr>
          <w:rFonts w:ascii="Times New Roman" w:hAnsi="Times New Roman" w:eastAsia="Times New Roman" w:cs="Times New Roman"/>
        </w:rPr>
        <w:t xml:space="preserve"> </w:t>
      </w:r>
      <w:r>
        <w:rPr>
          <w:rFonts w:ascii="Nirmala UI" w:hAnsi="Nirmala UI" w:eastAsia="Nirmala UI" w:cs="Nirmala UI"/>
        </w:rPr>
        <w:t>જોવામાં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મૂર્તિ</w:t>
      </w:r>
      <w:r>
        <w:rPr>
          <w:rFonts w:ascii="Times New Roman" w:hAnsi="Times New Roman" w:eastAsia="Times New Roman" w:cs="Times New Roman"/>
        </w:rPr>
        <w:t xml:space="preserve"> </w:t>
      </w:r>
      <w:r>
        <w:rPr>
          <w:rFonts w:ascii="Nirmala UI" w:hAnsi="Nirmala UI" w:eastAsia="Nirmala UI" w:cs="Nirmala UI"/>
        </w:rPr>
        <w:t>જેવી</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ફક્ત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રચનામાં</w:t>
      </w:r>
      <w:r>
        <w:rPr>
          <w:rFonts w:ascii="Times New Roman" w:hAnsi="Times New Roman" w:eastAsia="Times New Roman" w:cs="Times New Roman"/>
        </w:rPr>
        <w:t xml:space="preserve"> </w:t>
      </w:r>
      <w:r>
        <w:rPr>
          <w:rFonts w:ascii="Nirmala UI" w:hAnsi="Nirmala UI" w:eastAsia="Nirmala UI" w:cs="Nirmala UI"/>
        </w:rPr>
        <w:t>ઉપયોગમાં</w:t>
      </w:r>
      <w:r>
        <w:rPr>
          <w:rFonts w:ascii="Times New Roman" w:hAnsi="Times New Roman" w:eastAsia="Times New Roman" w:cs="Times New Roman"/>
        </w:rPr>
        <w:t xml:space="preserve"> </w:t>
      </w:r>
      <w:r>
        <w:rPr>
          <w:rFonts w:ascii="Nirmala UI" w:hAnsi="Nirmala UI" w:eastAsia="Nirmala UI" w:cs="Nirmala UI"/>
        </w:rPr>
        <w:t>લેવાયેલા</w:t>
      </w:r>
      <w:r>
        <w:rPr>
          <w:rFonts w:ascii="Times New Roman" w:hAnsi="Times New Roman" w:eastAsia="Times New Roman" w:cs="Times New Roman"/>
        </w:rPr>
        <w:t xml:space="preserve"> </w:t>
      </w:r>
      <w:r>
        <w:rPr>
          <w:rFonts w:ascii="Nirmala UI" w:hAnsi="Nirmala UI" w:eastAsia="Nirmala UI" w:cs="Nirmala UI"/>
        </w:rPr>
        <w:t>પદાર્થના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મુદ્દામાં</w:t>
      </w:r>
      <w:r>
        <w:rPr>
          <w:rFonts w:ascii="Times New Roman" w:hAnsi="Times New Roman" w:eastAsia="Times New Roman" w:cs="Times New Roman"/>
        </w:rPr>
        <w:t xml:space="preserve"> </w:t>
      </w:r>
      <w:r>
        <w:rPr>
          <w:rFonts w:ascii="Nirmala UI" w:hAnsi="Nirmala UI" w:eastAsia="Nirmala UI" w:cs="Nirmala UI"/>
        </w:rPr>
        <w:t>ભિન્ન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મૂર્તિપૂજક</w:t>
      </w:r>
      <w:r>
        <w:rPr>
          <w:rFonts w:ascii="Times New Roman" w:hAnsi="Times New Roman" w:eastAsia="Times New Roman" w:cs="Times New Roman"/>
        </w:rPr>
        <w:t xml:space="preserve"> </w:t>
      </w:r>
      <w:r>
        <w:rPr>
          <w:rFonts w:ascii="Nirmala UI" w:hAnsi="Nirmala UI" w:eastAsia="Nirmala UI" w:cs="Nirmala UI"/>
        </w:rPr>
        <w:t>દેવતાઓના</w:t>
      </w:r>
      <w:r>
        <w:rPr>
          <w:rFonts w:ascii="Times New Roman" w:hAnsi="Times New Roman" w:eastAsia="Times New Roman" w:cs="Times New Roman"/>
        </w:rPr>
        <w:t xml:space="preserve"> </w:t>
      </w:r>
      <w:r>
        <w:rPr>
          <w:rFonts w:ascii="Nirmala UI" w:hAnsi="Nirmala UI" w:eastAsia="Nirmala UI" w:cs="Nirmala UI"/>
        </w:rPr>
        <w:t>ભવ્ય</w:t>
      </w:r>
      <w:r>
        <w:rPr>
          <w:rFonts w:ascii="Times New Roman" w:hAnsi="Times New Roman" w:eastAsia="Times New Roman" w:cs="Times New Roman"/>
        </w:rPr>
        <w:t xml:space="preserve"> </w:t>
      </w:r>
      <w:r>
        <w:rPr>
          <w:rFonts w:ascii="Nirmala UI" w:hAnsi="Nirmala UI" w:eastAsia="Nirmala UI" w:cs="Nirmala UI"/>
        </w:rPr>
        <w:t>પ્રતિનિધાનોમાં</w:t>
      </w:r>
      <w:r>
        <w:rPr>
          <w:rFonts w:ascii="Times New Roman" w:hAnsi="Times New Roman" w:eastAsia="Times New Roman" w:cs="Times New Roman"/>
        </w:rPr>
        <w:t xml:space="preserve"> </w:t>
      </w:r>
      <w:r>
        <w:rPr>
          <w:rFonts w:ascii="Nirmala UI" w:hAnsi="Nirmala UI" w:eastAsia="Nirmala UI" w:cs="Nirmala UI"/>
        </w:rPr>
        <w:t>પરિચિત</w:t>
      </w:r>
      <w:r>
        <w:rPr>
          <w:rFonts w:ascii="Times New Roman" w:hAnsi="Times New Roman" w:eastAsia="Times New Roman" w:cs="Times New Roman"/>
        </w:rPr>
        <w:t xml:space="preserve"> </w:t>
      </w:r>
      <w:r>
        <w:rPr>
          <w:rFonts w:ascii="Nirmala UI" w:hAnsi="Nirmala UI" w:eastAsia="Nirmala UI" w:cs="Nirmala UI"/>
        </w:rPr>
        <w:t>રહેલા</w:t>
      </w:r>
      <w:r>
        <w:rPr>
          <w:rFonts w:ascii="Times New Roman" w:hAnsi="Times New Roman" w:eastAsia="Times New Roman" w:cs="Times New Roman"/>
        </w:rPr>
        <w:t xml:space="preserve"> </w:t>
      </w:r>
      <w:r>
        <w:rPr>
          <w:rFonts w:ascii="Nirmala UI" w:hAnsi="Nirmala UI" w:eastAsia="Nirmala UI" w:cs="Nirmala UI"/>
        </w:rPr>
        <w:t>કલ્દીઓએ</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કદી</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તેજોમય</w:t>
      </w:r>
      <w:r>
        <w:rPr>
          <w:rFonts w:ascii="Times New Roman" w:hAnsi="Times New Roman" w:eastAsia="Times New Roman" w:cs="Times New Roman"/>
        </w:rPr>
        <w:t xml:space="preserve"> </w:t>
      </w:r>
      <w:r>
        <w:rPr>
          <w:rFonts w:ascii="Nirmala UI" w:hAnsi="Nirmala UI" w:eastAsia="Nirmala UI" w:cs="Nirmala UI"/>
        </w:rPr>
        <w:t>પ્રતિમાની</w:t>
      </w:r>
      <w:r>
        <w:rPr>
          <w:rFonts w:ascii="Times New Roman" w:hAnsi="Times New Roman" w:eastAsia="Times New Roman" w:cs="Times New Roman"/>
        </w:rPr>
        <w:t xml:space="preserve"> </w:t>
      </w:r>
      <w:r>
        <w:rPr>
          <w:rFonts w:ascii="Nirmala UI" w:hAnsi="Nirmala UI" w:eastAsia="Nirmala UI" w:cs="Nirmala UI"/>
        </w:rPr>
        <w:t>જેટલી</w:t>
      </w:r>
      <w:r>
        <w:rPr>
          <w:rFonts w:ascii="Times New Roman" w:hAnsi="Times New Roman" w:eastAsia="Times New Roman" w:cs="Times New Roman"/>
        </w:rPr>
        <w:t xml:space="preserve"> </w:t>
      </w:r>
      <w:r>
        <w:rPr>
          <w:rFonts w:ascii="Nirmala UI" w:hAnsi="Nirmala UI" w:eastAsia="Nirmala UI" w:cs="Nirmala UI"/>
        </w:rPr>
        <w:t>પ્રભાવશાળી</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મહિમામય</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વસ્તુ</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ઊંચાઈ</w:t>
      </w:r>
      <w:r>
        <w:rPr>
          <w:rFonts w:ascii="Times New Roman" w:hAnsi="Times New Roman" w:eastAsia="Times New Roman" w:cs="Times New Roman"/>
        </w:rPr>
        <w:t xml:space="preserve"> </w:t>
      </w:r>
      <w:r>
        <w:rPr>
          <w:rFonts w:ascii="Nirmala UI" w:hAnsi="Nirmala UI" w:eastAsia="Nirmala UI" w:cs="Nirmala UI"/>
        </w:rPr>
        <w:t>સાઠ</w:t>
      </w:r>
      <w:r>
        <w:rPr>
          <w:rFonts w:ascii="Times New Roman" w:hAnsi="Times New Roman" w:eastAsia="Times New Roman" w:cs="Times New Roman"/>
        </w:rPr>
        <w:t xml:space="preserve"> </w:t>
      </w:r>
      <w:r>
        <w:rPr>
          <w:rFonts w:ascii="Nirmala UI" w:hAnsi="Nirmala UI" w:eastAsia="Nirmala UI" w:cs="Nirmala UI"/>
        </w:rPr>
        <w:t>હાથ</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પહોળાઈ</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હાથ</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આશ્ચર્યજનક</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ભૂમિમાં</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મૂર્તિપૂજા</w:t>
      </w:r>
      <w:r>
        <w:rPr>
          <w:rFonts w:ascii="Times New Roman" w:hAnsi="Times New Roman" w:eastAsia="Times New Roman" w:cs="Times New Roman"/>
        </w:rPr>
        <w:t xml:space="preserve"> </w:t>
      </w:r>
      <w:r>
        <w:rPr>
          <w:rFonts w:ascii="Nirmala UI" w:hAnsi="Nirmala UI" w:eastAsia="Nirmala UI" w:cs="Nirmala UI"/>
        </w:rPr>
        <w:t>સર્વત્ર</w:t>
      </w:r>
      <w:r>
        <w:rPr>
          <w:rFonts w:ascii="Times New Roman" w:hAnsi="Times New Roman" w:eastAsia="Times New Roman" w:cs="Times New Roman"/>
        </w:rPr>
        <w:t xml:space="preserve"> </w:t>
      </w:r>
      <w:r>
        <w:rPr>
          <w:rFonts w:ascii="Nirmala UI" w:hAnsi="Nirmala UI" w:eastAsia="Nirmala UI" w:cs="Nirmala UI"/>
        </w:rPr>
        <w:t>પ્રચલિત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દુરાના</w:t>
      </w:r>
      <w:r>
        <w:rPr>
          <w:rFonts w:ascii="Times New Roman" w:hAnsi="Times New Roman" w:eastAsia="Times New Roman" w:cs="Times New Roman"/>
        </w:rPr>
        <w:t xml:space="preserve"> </w:t>
      </w:r>
      <w:r>
        <w:rPr>
          <w:rFonts w:ascii="Nirmala UI" w:hAnsi="Nirmala UI" w:eastAsia="Nirmala UI" w:cs="Nirmala UI"/>
        </w:rPr>
        <w:t>સમતળ</w:t>
      </w:r>
      <w:r>
        <w:rPr>
          <w:rFonts w:ascii="Times New Roman" w:hAnsi="Times New Roman" w:eastAsia="Times New Roman" w:cs="Times New Roman"/>
        </w:rPr>
        <w:t xml:space="preserve"> </w:t>
      </w:r>
      <w:r>
        <w:rPr>
          <w:rFonts w:ascii="Nirmala UI" w:hAnsi="Nirmala UI" w:eastAsia="Nirmala UI" w:cs="Nirmala UI"/>
        </w:rPr>
        <w:t>પ્રદેશમાં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સુંદર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અમૂલ્ય</w:t>
      </w:r>
      <w:r>
        <w:rPr>
          <w:rFonts w:ascii="Times New Roman" w:hAnsi="Times New Roman" w:eastAsia="Times New Roman" w:cs="Times New Roman"/>
        </w:rPr>
        <w:t xml:space="preserve"> </w:t>
      </w:r>
      <w:r>
        <w:rPr>
          <w:rFonts w:ascii="Nirmala UI" w:hAnsi="Nirmala UI" w:eastAsia="Nirmala UI" w:cs="Nirmala UI"/>
        </w:rPr>
        <w:t>પ્રતિમા</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બેબીલોનની</w:t>
      </w:r>
      <w:r>
        <w:rPr>
          <w:rFonts w:ascii="Times New Roman" w:hAnsi="Times New Roman" w:eastAsia="Times New Roman" w:cs="Times New Roman"/>
        </w:rPr>
        <w:t xml:space="preserve"> </w:t>
      </w:r>
      <w:r>
        <w:rPr>
          <w:rFonts w:ascii="Nirmala UI" w:hAnsi="Nirmala UI" w:eastAsia="Nirmala UI" w:cs="Nirmala UI"/>
        </w:rPr>
        <w:t>મહિમા</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વૈભવશાળી</w:t>
      </w:r>
      <w:r>
        <w:rPr>
          <w:rFonts w:ascii="Times New Roman" w:hAnsi="Times New Roman" w:eastAsia="Times New Roman" w:cs="Times New Roman"/>
        </w:rPr>
        <w:t xml:space="preserve"> </w:t>
      </w:r>
      <w:r>
        <w:rPr>
          <w:rFonts w:ascii="Nirmala UI" w:hAnsi="Nirmala UI" w:eastAsia="Nirmala UI" w:cs="Nirmala UI"/>
        </w:rPr>
        <w:t>શક્તિનું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પૂજાના</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સમર્પિત</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અનુરૂપ</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તેવી</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વ્યવસ્થા</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આજ્ઞાપત્ર</w:t>
      </w:r>
      <w:r>
        <w:rPr>
          <w:rFonts w:ascii="Times New Roman" w:hAnsi="Times New Roman" w:eastAsia="Times New Roman" w:cs="Times New Roman"/>
        </w:rPr>
        <w:t xml:space="preserve"> </w:t>
      </w:r>
      <w:r>
        <w:rPr>
          <w:rFonts w:ascii="Nirmala UI" w:hAnsi="Nirmala UI" w:eastAsia="Nirmala UI" w:cs="Nirmala UI"/>
        </w:rPr>
        <w:t>પ્રસિદ્ધ</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પ્રતિષ્ઠાના</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સૌએ</w:t>
      </w:r>
      <w:r>
        <w:rPr>
          <w:rFonts w:ascii="Times New Roman" w:hAnsi="Times New Roman" w:eastAsia="Times New Roman" w:cs="Times New Roman"/>
        </w:rPr>
        <w:t xml:space="preserve"> </w:t>
      </w:r>
      <w:r>
        <w:rPr>
          <w:rFonts w:ascii="Nirmala UI" w:hAnsi="Nirmala UI" w:eastAsia="Nirmala UI" w:cs="Nirmala UI"/>
        </w:rPr>
        <w:t>પ્રતિમાના</w:t>
      </w:r>
      <w:r>
        <w:rPr>
          <w:rFonts w:ascii="Times New Roman" w:hAnsi="Times New Roman" w:eastAsia="Times New Roman" w:cs="Times New Roman"/>
        </w:rPr>
        <w:t xml:space="preserve"> </w:t>
      </w:r>
      <w:r>
        <w:rPr>
          <w:rFonts w:ascii="Nirmala UI" w:hAnsi="Nirmala UI" w:eastAsia="Nirmala UI" w:cs="Nirmala UI"/>
        </w:rPr>
        <w:t>સમક્ષ</w:t>
      </w:r>
      <w:r>
        <w:rPr>
          <w:rFonts w:ascii="Times New Roman" w:hAnsi="Times New Roman" w:eastAsia="Times New Roman" w:cs="Times New Roman"/>
        </w:rPr>
        <w:t xml:space="preserve"> </w:t>
      </w:r>
      <w:r>
        <w:rPr>
          <w:rFonts w:ascii="Nirmala UI" w:hAnsi="Nirmala UI" w:eastAsia="Nirmala UI" w:cs="Nirmala UI"/>
        </w:rPr>
        <w:t>નમન</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બેબીલોની</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પ્રત્યે</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સર્વોચ્ચ</w:t>
      </w:r>
      <w:r>
        <w:rPr>
          <w:rFonts w:ascii="Times New Roman" w:hAnsi="Times New Roman" w:eastAsia="Times New Roman" w:cs="Times New Roman"/>
        </w:rPr>
        <w:t xml:space="preserve"> </w:t>
      </w:r>
      <w:r>
        <w:rPr>
          <w:rFonts w:ascii="Nirmala UI" w:hAnsi="Nirmala UI" w:eastAsia="Nirmala UI" w:cs="Nirmala UI"/>
        </w:rPr>
        <w:t>વફાદારી</w:t>
      </w:r>
      <w:r>
        <w:rPr>
          <w:rFonts w:ascii="Times New Roman" w:hAnsi="Times New Roman" w:eastAsia="Times New Roman" w:cs="Times New Roman"/>
        </w:rPr>
        <w:t xml:space="preserve"> </w:t>
      </w:r>
      <w:r>
        <w:rPr>
          <w:rFonts w:ascii="Nirmala UI" w:hAnsi="Nirmala UI" w:eastAsia="Nirmala UI" w:cs="Nirmala UI"/>
        </w:rPr>
        <w:t>દર્શાવવી</w:t>
      </w:r>
      <w:r>
        <w:rPr>
          <w:rFonts w:ascii="Times New Roman" w:hAnsi="Times New Roman" w:eastAsia="Times New Roman" w:cs="Times New Roman"/>
        </w:rPr>
        <w:t>.” Prophets and Kings,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soixante</dc:title>
  <dc:subject>Prière de Daniel et le secret du huitième royaume : une révélation des derniers jours</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