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 et un</w:t>
      </w:r>
    </w:p>
    <w:p>
      <w:pPr>
        <w:pStyle w:val="ArticleSubtitle"/>
        <w:jc w:val="left"/>
      </w:pPr>
      <w:r>
        <w:rPr>
          <w:rFonts w:ascii="Arial" w:hAnsi="Arial" w:eastAsia="Arial" w:cs="Arial"/>
        </w:rPr>
        <w:t>Dévoiler la tapisserie prophétique : comprendre les visions de Daniel, l’alliance et le temps du scellement dans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vint à Daniel au chapitre neuf pour lui donner l’intelligence et la compréhension des deux visions qui avaient été présentées au chapitre huit.</w:t>
      </w:r>
    </w:p>
    <w:p>
      <w:pPr>
        <w:pStyle w:val="ArticleScripture"/>
        <w:jc w:val="left"/>
      </w:pPr>
      <w:r>
        <w:rPr>
          <w:rFonts w:ascii="Times New Roman" w:hAnsi="Times New Roman" w:eastAsia="Times New Roman" w:cs="Times New Roman"/>
        </w:rPr>
        <w:t>Sa punong sinagdan siya mitug-an kanako, ug nakigsulti kanako, ug miingon, O Daniel, karon mianhi ako aron hatagan ikaw ug kaalam ug salabutan. Sa sinugdanan sa imong mga pangamuyo migula ang sugo, ug mianhi ako aron ipakita kini kanimo; kay ikaw hilabihang hinigugma: busa sabta ang butang, ug pamalandonga ang panan-awon. Daniel 9:22, 23.</w:t>
      </w:r>
    </w:p>
    <w:p>
      <w:pPr>
        <w:pStyle w:val="ArticleBody"/>
        <w:jc w:val="left"/>
      </w:pP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የሚያስፈልገውን</w:t>
      </w:r>
      <w:r>
        <w:rPr>
          <w:rFonts w:ascii="Times New Roman" w:hAnsi="Times New Roman" w:eastAsia="Times New Roman" w:cs="Times New Roman"/>
        </w:rPr>
        <w:t xml:space="preserve"> “</w:t>
      </w:r>
      <w:r>
        <w:rPr>
          <w:rFonts w:ascii="Ebrima" w:hAnsi="Ebrima" w:eastAsia="Ebrima" w:cs="Ebrima"/>
        </w:rPr>
        <w:t>መረዳት</w:t>
      </w:r>
      <w:r>
        <w:rPr>
          <w:rFonts w:ascii="Times New Roman" w:hAnsi="Times New Roman" w:eastAsia="Times New Roman" w:cs="Times New Roman"/>
        </w:rPr>
        <w:t xml:space="preserve">” </w:t>
      </w:r>
      <w:r>
        <w:rPr>
          <w:rFonts w:ascii="Ebrima" w:hAnsi="Ebrima" w:eastAsia="Ebrima" w:cs="Ebrima"/>
        </w:rPr>
        <w:t>እንዲኖረው፣</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ነገሩን</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እንዲያስተውል</w:t>
      </w:r>
      <w:r>
        <w:rPr>
          <w:rFonts w:ascii="Times New Roman" w:hAnsi="Times New Roman" w:eastAsia="Times New Roman" w:cs="Times New Roman"/>
        </w:rPr>
        <w:t xml:space="preserve"> </w:t>
      </w:r>
      <w:r>
        <w:rPr>
          <w:rFonts w:ascii="Ebrima" w:hAnsi="Ebrima" w:eastAsia="Ebrima" w:cs="Ebrima"/>
        </w:rPr>
        <w:t>ነገረው።</w:t>
      </w:r>
      <w:r>
        <w:rPr>
          <w:rFonts w:ascii="Times New Roman" w:hAnsi="Times New Roman" w:eastAsia="Times New Roman" w:cs="Times New Roman"/>
        </w:rPr>
        <w:t xml:space="preserve"> “</w:t>
      </w:r>
      <w:r>
        <w:rPr>
          <w:rFonts w:ascii="Ebrima" w:hAnsi="Ebrima" w:eastAsia="Ebrima" w:cs="Ebrima"/>
        </w:rPr>
        <w:t>ነገሩ</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መቅደሱና</w:t>
      </w:r>
      <w:r>
        <w:rPr>
          <w:rFonts w:ascii="Times New Roman" w:hAnsi="Times New Roman" w:eastAsia="Times New Roman" w:cs="Times New Roman"/>
        </w:rPr>
        <w:t xml:space="preserve"> </w:t>
      </w:r>
      <w:r>
        <w:rPr>
          <w:rFonts w:ascii="Ebrima" w:hAnsi="Ebrima" w:eastAsia="Ebrima" w:cs="Ebrima"/>
        </w:rPr>
        <w:t>ሰራዊቱ</w:t>
      </w:r>
      <w:r>
        <w:rPr>
          <w:rFonts w:ascii="Times New Roman" w:hAnsi="Times New Roman" w:eastAsia="Times New Roman" w:cs="Times New Roman"/>
        </w:rPr>
        <w:t xml:space="preserve"> </w:t>
      </w:r>
      <w:r>
        <w:rPr>
          <w:rFonts w:ascii="Ebrima" w:hAnsi="Ebrima" w:eastAsia="Ebrima" w:cs="Ebrima"/>
        </w:rPr>
        <w:t>መረገጥ</w:t>
      </w:r>
      <w:r>
        <w:rPr>
          <w:rFonts w:ascii="Times New Roman" w:hAnsi="Times New Roman" w:eastAsia="Times New Roman" w:cs="Times New Roman"/>
        </w:rPr>
        <w:t xml:space="preserve"> </w:t>
      </w:r>
      <w:r>
        <w:rPr>
          <w:rFonts w:ascii="Ebrima" w:hAnsi="Ebrima" w:eastAsia="Ebrima" w:cs="Ebrima"/>
        </w:rPr>
        <w:t>የተመለከተው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ራእዩ</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የጥቅምት</w:t>
      </w:r>
      <w:r>
        <w:rPr>
          <w:rFonts w:ascii="Times New Roman" w:hAnsi="Times New Roman" w:eastAsia="Times New Roman" w:cs="Times New Roman"/>
        </w:rPr>
        <w:t xml:space="preserve"> 22 </w:t>
      </w:r>
      <w:r>
        <w:rPr>
          <w:rFonts w:ascii="Ebrima" w:hAnsi="Ebrima" w:eastAsia="Ebrima" w:cs="Ebrima"/>
        </w:rPr>
        <w:t>ቀን</w:t>
      </w:r>
      <w:r>
        <w:rPr>
          <w:rFonts w:ascii="Times New Roman" w:hAnsi="Times New Roman" w:eastAsia="Times New Roman" w:cs="Times New Roman"/>
        </w:rPr>
        <w:t xml:space="preserve"> 1844 </w:t>
      </w:r>
      <w:r>
        <w:rPr>
          <w:rFonts w:ascii="Ebrima" w:hAnsi="Ebrima" w:eastAsia="Ebrima" w:cs="Ebrima"/>
        </w:rPr>
        <w:t>መታየትን</w:t>
      </w:r>
      <w:r>
        <w:rPr>
          <w:rFonts w:ascii="Times New Roman" w:hAnsi="Times New Roman" w:eastAsia="Times New Roman" w:cs="Times New Roman"/>
        </w:rPr>
        <w:t xml:space="preserve"> </w:t>
      </w:r>
      <w:r>
        <w:rPr>
          <w:rFonts w:ascii="Ebrima" w:hAnsi="Ebrima" w:eastAsia="Ebrima" w:cs="Ebrima"/>
        </w:rPr>
        <w:t>የሚመለከተው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ዋይትም</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የሰባውን</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ምርኮኝነትና</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መቶውን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ለማስተዋል</w:t>
      </w:r>
      <w:r>
        <w:rPr>
          <w:rFonts w:ascii="Times New Roman" w:hAnsi="Times New Roman" w:eastAsia="Times New Roman" w:cs="Times New Roman"/>
        </w:rPr>
        <w:t xml:space="preserve"> </w:t>
      </w:r>
      <w:r>
        <w:rPr>
          <w:rFonts w:ascii="Ebrima" w:hAnsi="Ebrima" w:eastAsia="Ebrima" w:cs="Ebrima"/>
        </w:rPr>
        <w:t>እየፈለገ</w:t>
      </w:r>
      <w:r>
        <w:rPr>
          <w:rFonts w:ascii="Times New Roman" w:hAnsi="Times New Roman" w:eastAsia="Times New Roman" w:cs="Times New Roman"/>
        </w:rPr>
        <w:t xml:space="preserve"> </w:t>
      </w:r>
      <w:r>
        <w:rPr>
          <w:rFonts w:ascii="Ebrima" w:hAnsi="Ebrima" w:eastAsia="Ebrima" w:cs="Ebrima"/>
        </w:rPr>
        <w:t>እንደነበር</w:t>
      </w:r>
      <w:r>
        <w:rPr>
          <w:rFonts w:ascii="Times New Roman" w:hAnsi="Times New Roman" w:eastAsia="Times New Roman" w:cs="Times New Roman"/>
        </w:rPr>
        <w:t xml:space="preserve"> </w:t>
      </w:r>
      <w:r>
        <w:rPr>
          <w:rFonts w:ascii="Ebrima" w:hAnsi="Ebrima" w:eastAsia="Ebrima" w:cs="Ebrima"/>
        </w:rPr>
        <w:t>በምትነግረን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በተለይ</w:t>
      </w:r>
      <w:r>
        <w:rPr>
          <w:rFonts w:ascii="Times New Roman" w:hAnsi="Times New Roman" w:eastAsia="Times New Roman" w:cs="Times New Roman"/>
        </w:rPr>
        <w:t xml:space="preserve"> </w:t>
      </w:r>
      <w:r>
        <w:rPr>
          <w:rFonts w:ascii="Ebrima" w:hAnsi="Ebrima" w:eastAsia="Ebrima" w:cs="Ebrima"/>
        </w:rPr>
        <w:t>ታጠናክራለች።</w:t>
      </w:r>
      <w:r>
        <w:rPr>
          <w:rFonts w:ascii="Times New Roman" w:hAnsi="Times New Roman" w:eastAsia="Times New Roman" w:cs="Times New Roman"/>
        </w:rPr>
        <w:t xml:space="preserve"> </w:t>
      </w:r>
      <w:r>
        <w:rPr>
          <w:rFonts w:ascii="Ebrima" w:hAnsi="Ebrima" w:eastAsia="Ebrima" w:cs="Ebrima"/>
        </w:rPr>
        <w:t>ሰባው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ነገሩ</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የለየው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ራእዩ</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መቶው</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የሁለት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መቶውን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በሚሰጥበት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ጠቢባን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ጠቢባኑ</w:t>
      </w:r>
      <w:r>
        <w:rPr>
          <w:rFonts w:ascii="Times New Roman" w:hAnsi="Times New Roman" w:eastAsia="Times New Roman" w:cs="Times New Roman"/>
        </w:rPr>
        <w:t xml:space="preserve">” </w:t>
      </w:r>
      <w:r>
        <w:rPr>
          <w:rFonts w:ascii="Ebrima" w:hAnsi="Ebrima" w:eastAsia="Ebrima" w:cs="Ebrima"/>
        </w:rPr>
        <w:t>በገብርኤል</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ነገሩን</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ያስተውላሉ፤</w:t>
      </w:r>
      <w:r>
        <w:rPr>
          <w:rFonts w:ascii="Times New Roman" w:hAnsi="Times New Roman" w:eastAsia="Times New Roman" w:cs="Times New Roman"/>
        </w:rPr>
        <w:t xml:space="preserve"> </w:t>
      </w:r>
      <w:r>
        <w:rPr>
          <w:rFonts w:ascii="Ebrima" w:hAnsi="Ebrima" w:eastAsia="Ebrima" w:cs="Ebrima"/>
        </w:rPr>
        <w:t>ክፉዎች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አያስተውሉም።</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ነገሩን</w:t>
      </w:r>
      <w:r>
        <w:rPr>
          <w:rFonts w:ascii="Times New Roman" w:hAnsi="Times New Roman" w:eastAsia="Times New Roman" w:cs="Times New Roman"/>
        </w:rPr>
        <w:t>”</w:t>
      </w:r>
      <w:r>
        <w:rPr>
          <w:rFonts w:ascii="Ebrima" w:hAnsi="Ebrima" w:eastAsia="Ebrima" w:cs="Ebrima"/>
        </w:rPr>
        <w:t>ና</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ተረድተው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በተወሰነ</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ብቻ።</w:t>
      </w:r>
    </w:p>
    <w:p>
      <w:pPr>
        <w:pStyle w:val="ArticleBody"/>
        <w:jc w:val="left"/>
      </w:pPr>
      <w:r>
        <w:rPr>
          <w:rFonts w:ascii="Times New Roman" w:hAnsi="Times New Roman" w:eastAsia="Times New Roman" w:cs="Times New Roman"/>
        </w:rPr>
        <w:t>Les quatre cent quatre-vingt-dix années de temps probatoire constituaient une période fondée sur quatre cent quatre-vingt-dix années de rébellion contre l’alliance des « sept temps » représentée dans Lévitique vingt-cinq et vingt-six. Les soixante-dix années de captivité étaient la somme de toutes les années durant lesquelles il ne fut pas permis au pays de jouir de son repos.</w:t>
      </w:r>
    </w:p>
    <w:p>
      <w:pPr>
        <w:pStyle w:val="ArticleBody"/>
        <w:jc w:val="left"/>
      </w:pPr>
      <w:r>
        <w:rPr>
          <w:rFonts w:ascii="Times New Roman" w:hAnsi="Times New Roman" w:eastAsia="Times New Roman" w:cs="Times New Roman"/>
        </w:rPr>
        <w:t>A semana em que Cristo confirmou a aliança com muitos foi uma ilustração da contenda da sua aliança, representada por dois períodos de mil duzentos e sessenta dias. Essa semana profética foi dividida pela cruz, que tipifica o selo de Deus.</w:t>
      </w:r>
    </w:p>
    <w:p>
      <w:pPr>
        <w:pStyle w:val="ArticleScripture"/>
        <w:jc w:val="left"/>
      </w:pPr>
      <w:r>
        <w:rPr>
          <w:rFonts w:ascii="Times New Roman" w:hAnsi="Times New Roman" w:eastAsia="Times New Roman" w:cs="Times New Roman"/>
        </w:rPr>
        <w:t>« Le sceau du Dieu vivant, qui est placé sur le front de son peuple, qu’est-il donc ? C’est une marque que les anges peuvent lire, mais non les yeux humains ; car l’ange destructeur doit voir cette marque de rédemption. L’intelligence a discerné le signe de la croix du Calvaire chez les fils et les filles adoptifs du Seigneur. Le péché de la transgression de la loi de Dieu est ôté. Ils sont revêtus du vêtement de noces et sont obéissants et fidèles à tous les commandements de Dieu. » Manuscript Releases, volume 21, 52.</w:t>
      </w:r>
    </w:p>
    <w:p>
      <w:pPr>
        <w:pStyle w:val="ArticleBody"/>
        <w:jc w:val="left"/>
      </w:pPr>
      <w:r>
        <w:rPr>
          <w:rFonts w:ascii="Times New Roman" w:hAnsi="Times New Roman" w:eastAsia="Times New Roman" w:cs="Times New Roman"/>
        </w:rPr>
        <w:t>Cette semaine préfigurait deux périodes de douze cent soixante années, divisées à la loi dominicale de 538, (la marque de la bête) au cours desquelles le paganisme, puis le papisme, foulèrent aux pieds le sanctuaire et l’armée. Pendant douze cent soixante jours, Christ rendit son témoignage; puis, pendant encore douze cent soixante jours, Christ rendit le même témoignage par l’intermédiaire de ses disciples. Pendant douze cent soixante années, Satan rendit son témoignage par le paganisme; puis, pendant encore douze cent soixante années, Satan rendit son témoignage par l’intermédiaire de la papauté.</w:t>
      </w:r>
    </w:p>
    <w:p>
      <w:pPr>
        <w:pStyle w:val="ArticleBody"/>
        <w:jc w:val="left"/>
      </w:pPr>
      <w:r>
        <w:rPr>
          <w:rFonts w:ascii="Times New Roman" w:hAnsi="Times New Roman" w:eastAsia="Times New Roman" w:cs="Times New Roman"/>
        </w:rPr>
        <w:t>L’alliance qui, par la désobéissance de l’ancien Israël, devint la « querelle » de Dieu, était l’alliance de Lévitique, chapitre vingt-cinq, qui exposait le repos de la terre et le jubilé qui devait être célébré tous les quarante-neuf ans.</w:t>
      </w:r>
    </w:p>
    <w:p>
      <w:pPr>
        <w:pStyle w:val="ArticleScripture"/>
        <w:jc w:val="left"/>
      </w:pPr>
      <w:r>
        <w:rPr>
          <w:rFonts w:ascii="Times New Roman" w:hAnsi="Times New Roman" w:eastAsia="Times New Roman" w:cs="Times New Roman"/>
        </w:rPr>
        <w:t>اور خداوند در کوه سینا به موسی گفت: «بنی‌اسرائیل را خطاب کرده، به ایشان بگو: چون به زمینی که من به شما می‌دهم داخل شوید، آن زمین برای خداوند سَبَّتی نگاه خواهد داشت. شش سال مزرعهٔ خود را بکار، و شش سال تاکستان خود را هَرَس کن، و محصول آن را جمع‌آوری نما؛ اما در سال هفتم، برای زمین سَبَّتِ آرامی خواهد بود، سَبَّتی برای خداوند: نه مزرعهٔ خود را بکار، و نه تاکستان خود را هَرَس کن. آنچه از محصول تو خودبه‌خود بروید درو مکن، و انگورهای تاکِ هرس‌ناشدهٔ خود را جمع مکن، زیرا آن سال، سالِ آرام برای زمین است. و سَبَّتِ زمین برای شما خوراک خواهد بود: برای تو، و برای غلامت، و برای کنیزت، و برای مزدورت، و برای غریبِ مقیم نزد تو؛ و برای چارپایانت، و برای حیواناتی که در زمین تو هستند، تمامی حاصل آن خوراک خواهد بود. و برای خود هفت سَبَّتِ سال‌ها را بشمار، هفت بار هفت سال؛ و ایامِ هفت سَبَّتِ سال‌ها برای تو چهل‌ونه سال خواهد بود. آنگاه در روز دهمِ ماه هفتم، شیپورِ یوبیل را به صدا درآور؛ در روز کفاره، شیپور را در تمامی زمین خود به صدا درآورید. و سال پنجاهم را تقدیس نمایید، و در سراسر آن زمین، برای همهٔ ساکنانش آزادی را اعلام کنید: آن برای شما یوبیل خواهد بود؛ و هر کس به مِلک خود بازخواهد گشت، و هر کس به خاندان خود بازخواهد گشت. آن سال پنجاهم برای شما یوبیل خواهد بود: نه بکارید، و نه آنچه در آن خودبه‌خود می‌روید درو کنید، و نه انگورهای تاکِ هرس‌ناشدهٔ آن را جمع نمایید. زیرا آن یوبیل است؛ برای شما مقدس خواهد بود: محصول آن را از صحرا خواهید خورد. در سالِ این یوبیل، هر کس به مِلک خود بازخواهد گشت.» لاویان 25:1–13.</w:t>
      </w:r>
    </w:p>
    <w:p>
      <w:pPr>
        <w:pStyle w:val="ArticleBody"/>
        <w:jc w:val="left"/>
      </w:pPr>
      <w:r>
        <w:rPr>
          <w:rFonts w:ascii="Times New Roman" w:hAnsi="Times New Roman" w:eastAsia="Times New Roman" w:cs="Times New Roman"/>
        </w:rPr>
        <w:t>Pra de premye peryòd pwofesi de mil twasan ane a, menm jan ak semèn Kris la te konfime alyans lan ak katsan katreven-dis ane yo, li asosye dirèkteman ak “sèt fwa” Levitik chapit vennsenk ak vennsis yo.</w:t>
      </w:r>
    </w:p>
    <w:p>
      <w:pPr>
        <w:pStyle w:val="ArticleScripture"/>
        <w:jc w:val="left"/>
      </w:pPr>
      <w:r>
        <w:rPr>
          <w:rFonts w:ascii="Times New Roman" w:hAnsi="Times New Roman" w:eastAsia="Times New Roman" w:cs="Times New Roman"/>
        </w:rPr>
        <w:t>Sache donc et comprends que, depuis le moment où la parole a annoncé que Jérusalem sera rebâtie jusqu’au Messie, le Chef, il y a sept semaines et soixante-deux semaines; la place sera rétablie et les fossés reconstruits, même en des temps de détresse. Daniel 9:2.</w:t>
      </w:r>
    </w:p>
    <w:p>
      <w:pPr>
        <w:pStyle w:val="ArticleBody"/>
        <w:jc w:val="left"/>
      </w:pPr>
      <w:r>
        <w:rPr>
          <w:rFonts w:ascii="Times New Roman" w:hAnsi="Times New Roman" w:eastAsia="Times New Roman" w:cs="Times New Roman"/>
        </w:rPr>
        <w:t>Enam puluh sembilan minggu yang dimulai pada tahun 457 SM membawa Anda kepada baptisan Kristus, dan kepada permulaan minggu di mana Ia meneguhkan perjanjian, yaitu perjanjian “perselisihan” Allah. Namun ada satu minggu dari minggu-minggu (empat puluh sembilan tahun) yang dipisahkan dari enam puluh sembilan minggu itu oleh frasa “tujuh minggu, dan enam puluh dua minggu.” Mulai dari tahun 457 SM, akan ada empat puluh sembilan tahun, suatu rujukan yang jelas kepada perjanjian dalam Imamat pasal dua puluh lima, dan kepada perayaan Yobel. Empat puluh sembilan tahun itu bukan hanya lambang dari siklus-siklus Yobel, melainkan juga dari Pentakosta, yang adalah hari kelima puluh yang mengikuti empat puluh sembilan hari dari hari raya minggu-minggu.</w:t>
      </w:r>
    </w:p>
    <w:p>
      <w:pPr>
        <w:pStyle w:val="ArticleBody"/>
        <w:jc w:val="left"/>
      </w:pPr>
      <w:r>
        <w:rPr>
          <w:rFonts w:ascii="Times New Roman" w:hAnsi="Times New Roman" w:eastAsia="Times New Roman" w:cs="Times New Roman"/>
        </w:rPr>
        <w:t>Ny afọ iri anọ na itoolu mbụ n’ime afọ puku abụọ na narị atọ ahụ, afọ narị anọ na iri itoolu ahụ, na izu ahụ e ji kwado ọgbụgba ndụ ahụ, ha niile jikọtara kpọmkwem na afọ puku abụọ na narị ise na iri abụọ ahụ, nke e sere dị ka “oge asaa,” n’ime Levitikọs iri abụọ na isii. Akụkụ ọ bụla nke amụma afọ puku abụọ na narị atọ ahụ jikọtara kpọmkwem na “oge asaa” ahụ nke Adventism wepụrụ n’akụkụ ma jụ na 1863. “Oge asaa” ahụ bụ akara nke ọgbụgba ndụ jubili, ma n’ihi nke a kwa, a ghaghịkwa ịrịba ama na mgbe afọ puku abụọ na narị atọ ahụ gwụsịrị n’October 22, 1844, n’otu aka ahụ kwa, afọ puku abụọ na narị ise na iri abụọ ahụ gwụsịrị n’ụbọchị ahụ n’onwe ya, n’ihi na Mozis dere n’ime Levitikọs isi nke iri abụọ na ise:</w:t>
      </w:r>
    </w:p>
    <w:p>
      <w:pPr>
        <w:pStyle w:val="ArticleScripture"/>
        <w:jc w:val="left"/>
      </w:pPr>
      <w:r>
        <w:rPr>
          <w:rFonts w:ascii="Times New Roman" w:hAnsi="Times New Roman" w:eastAsia="Times New Roman" w:cs="Times New Roman"/>
        </w:rPr>
        <w:t>Nendzi u ta tivalela tisabata ta malembe nkombo, nkombo kan’we nkombo; kutani nkarhi wa tisabata ta malembe nkombo wu ta va eka wena malembe ya mune wa makume ni nhungu. Kutani u ta endla leswaku mhalamhala ya Yubili yi biwa hi siku ra vukhume ra n’hweti ya vunkombo; hi siku ra ku rivaleriwa ka swidyoho mi ta endla leswaku mhalamhala yi biwa etikweni ra n’wina hinkwaro. Levitika 25:8, 9.</w:t>
      </w:r>
    </w:p>
    <w:p>
      <w:pPr>
        <w:pStyle w:val="ArticleBody"/>
        <w:jc w:val="left"/>
      </w:pPr>
      <w:r>
        <w:rPr>
          <w:rFonts w:ascii="Times New Roman" w:hAnsi="Times New Roman" w:eastAsia="Times New Roman" w:cs="Times New Roman"/>
        </w:rPr>
        <w:t>ہر نبوّتی مدّت، جو تئیس سو برسوں کے اندر واقع ہے، براہِ راست احبار چھبیس کی “سات بار” کے ساتھ مربوط ہے، اُس دن سمیت جس دن دونوں نبوّتی ادوار اختتام کو پہنچے۔ پہلے اُنچاس برسوں نے یروشلیم کی از سرِ نو تعمیر اور بحالی کے اُس کام کی نشان دہی کی جو اُس وقت تک تکمیل کو پہنچنا تھا جب خدا کے لوگ بابل سے نکل آئیں۔ ہیکل تیسرے فرمان سے پہلے مکمل ہو چکی تھی، جس طرح میلری تحریک کی ہیکل بھی تیسرے فرشتے کے پہنچنے سے پہلے مکمل ہو چکی تھی۔ تاہم 457 ق م کے بعد، “بازار” کو اب بھی “دوبارہ تعمیر کیا جانا” تھا، اور “فصیل” کو بھی، “مصیبت کے وقتوں میں۔” یسوع، الفا اور اومیگا ہونے کے سبب، ہمیشہ کسی چیز کے انجام کو اُس چیز کے آغاز کے ذریعے واضح کرتا ہے، اور 22 اکتوبر 1844 کے بعد میلری پیروکاروں کو “بازار” اور “فصیل” کو “مصیبت کے وقتوں میں” مکمل کرنا تھا۔</w:t>
      </w:r>
    </w:p>
    <w:p>
      <w:pPr>
        <w:pStyle w:val="ArticleBody"/>
        <w:jc w:val="left"/>
      </w:pPr>
      <w:r>
        <w:rPr>
          <w:rFonts w:ascii="Times New Roman" w:hAnsi="Times New Roman" w:eastAsia="Times New Roman" w:cs="Times New Roman"/>
        </w:rPr>
        <w:t>Siostra White utożsamia dosłowny mur ochronny wokół Jerozolimy z symbolem prawa Bożego, a bezpośrednio po 22 października 1844 roku wierni zostali poprowadzeni do niebiańskiej świątyni i rozpoznali prawo Boże (mur). Aby rozpoznać prawo Boże, włącznie z sabatem, milleryci zostali poprowadzeni z powrotem do przymierza starożytnego Izraela. Odbudowa dosłownej „ulicy” jest tą odbudową, która dokonała się duchowo, gdy milleryci powrócili do Jeremiaszowych „starych ścieżek”. „Czasy ucisku”, które miały przypadać na okres ustanawiania muru i ulicy, miały się wypełnić po roku 1844, a wojna secesyjna, która wówczas się zbliżała i wkrótce miała się rozpocząć w tej właśnie historii, przedstawiała owe czasy ucisku.</w:t>
      </w:r>
    </w:p>
    <w:p>
      <w:pPr>
        <w:pStyle w:val="ArticleBody"/>
        <w:jc w:val="left"/>
      </w:pPr>
      <w:r>
        <w:rPr>
          <w:rFonts w:ascii="Times New Roman" w:hAnsi="Times New Roman" w:eastAsia="Times New Roman" w:cs="Times New Roman"/>
        </w:rPr>
        <w:t>Եթե նրանք հավատարիմ լինեին, կհասնեին հոբելյանի խորհրդանշական հիսուներորդ տարուն (որտեղ ստրուկներն ազատ են արձակվում), որը ներկայացված էր նաև Պենտեկոստեի հիսուներորդ օրով (որտեղ ազատագրման լուրը գնում է ամբողջ աշխարհին)։ Բայց 1844 թվականից հետո մեծամասնությունը հակադրվեց Շաբաթի լույսին, և 1863 թվականին նրանք նույնպես մերժեցին Մովսեսի լուրը («յոթ ժամանակները»), որը նրանց էր փոխանցվել Եղիայի (William Miller) միջոցով։ Այլ խոսքով՝ նրանք շեղվեցին «փողոցից» (հին շավիղներից), որը կոչված էին վերականգնելու և որով պետք է ընթանային։</w:t>
      </w:r>
    </w:p>
    <w:p>
      <w:pPr>
        <w:pStyle w:val="ArticleBody"/>
        <w:jc w:val="left"/>
      </w:pPr>
      <w:r>
        <w:rPr>
          <w:rFonts w:ascii="Times New Roman" w:hAnsi="Times New Roman" w:eastAsia="Times New Roman" w:cs="Times New Roman"/>
        </w:rPr>
        <w:t>Yesu daima huonyesha mwisho kwa mwanzo, na wakati mfano wa wanawali kumi unaporudiwa katika siku za mwisho, kazi ya kuurejesha Yerusalemu inapaswa tena kutimizwa. “Barabara na ukuta” vitajengwa katika “nyakati za taabu”. Sasa tunaingia katika nyakati hizo za taabu. Oktoba 22, 1844, ni mfano wa sheria ya Jumapili inayokaribia upesi; kwa hiyo, wakati “saa ya tetemeko kuu la nchi,” ya Ufunuo kumi na moja itakapofika, barabara na ukuta vitajengwa katika nyakati za taabu. Sasa tutazitambulisha nyakati hizo za taabu kama “ghadhabu ya mataifa” inayozalishwa na vita vya Uislamu vinavyozidi kuongezeka.</w:t>
      </w:r>
    </w:p>
    <w:p>
      <w:pPr>
        <w:pStyle w:val="ArticleBody"/>
        <w:jc w:val="left"/>
      </w:pPr>
      <w:r>
        <w:rPr>
          <w:rFonts w:ascii="Times New Roman" w:hAnsi="Times New Roman" w:eastAsia="Times New Roman" w:cs="Times New Roman"/>
        </w:rPr>
        <w:t>I te explicationar lo que habeva essite scribite antea concernente un “tempore de tribulation,” illa dava un explication que es registrate in le libro Early Writings.</w:t>
      </w:r>
    </w:p>
    <w:p>
      <w:pPr>
        <w:pStyle w:val="ArticleScripture"/>
        <w:jc w:val="left"/>
      </w:pPr>
      <w:r>
        <w:rPr>
          <w:rFonts w:ascii="Times New Roman" w:hAnsi="Times New Roman" w:eastAsia="Times New Roman" w:cs="Times New Roman"/>
        </w:rPr>
        <w:t>«1. À la page 33, il est dit ce qui suit : “Je vis que le saint sabbat est, et sera, la muraille de séparation entre le véritable Israël de Dieu et les incrédules ; et que le sabbat est la grande question destinée à unir les cœurs des bien-aimés saints de Dieu, qui attendent. Je vis que Dieu a des enfants qui ne voient pas le sabbat et ne l’observent pas. Ils n’ont pas rejeté la lumière le concernant. Et au commencement du temps de détresse, nous fûmes remplis du Saint-Esprit lorsque nous sortîmes pour proclamer plus pleinement le sabbat.”»</w:t>
      </w:r>
    </w:p>
    <w:p>
      <w:pPr>
        <w:pStyle w:val="ArticleScripture"/>
        <w:jc w:val="left"/>
      </w:pPr>
      <w:r>
        <w:rPr>
          <w:rFonts w:ascii="Times New Roman" w:hAnsi="Times New Roman" w:eastAsia="Times New Roman" w:cs="Times New Roman"/>
        </w:rPr>
        <w:t>« Ta ngèl joxe ci 1847, bi ay mbokk yu néew rekk ci Advent di sàmm bésub noflaay, te ci ñoom it ay néew rekk a doon yaakaar ne sàmmam am na solo bu doy ngir ràññee askan wi Yàlla ak ñi dul gëm. Léegi, matug ta ngaa ngi tàmbalee feeñ. “Ndàqum jamono jooju ju metti,” bi fii ñu ko waxe, du jublu ci jamono bi mbugali yi di tàmbalee ñu sotti leen, waaye ci ab diir bu gàtt bu jiitu ngir ñu leen sotti, fekk Kirist nekk na ci Kër Yàlla ga sell ga. Ci jamono jooju, bi liggéeyu musal gi di jeex, njàqare dina dikk ci suuf si, te xeet yi dinañu mer, waaye dees na leen téye ba ñu bañ a tere liggéeyu malaaka bu ñetteel bi. Ci jamono jooju, “taw bu mujj ba,” walla yeesal gi jóge ci kanamu Boroom bi, dina dikk ngir may doole baat bu réy bu malaaka bu ñetteel bi, te waajal ñu sell ñi ngir ñu man a taxaw ci jamono bi dees di sotti juróom-ñaari mbugal yu mujj yi. » Early Writings, 85.</w:t>
      </w:r>
    </w:p>
    <w:p>
      <w:pPr>
        <w:pStyle w:val="ArticleBody"/>
        <w:jc w:val="left"/>
      </w:pP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ከመዘጋቱ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የሚቆጡበት፣</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የተከለከሉ</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የሚጠበቁበት</w:t>
      </w:r>
      <w:r>
        <w:rPr>
          <w:rFonts w:ascii="Times New Roman" w:hAnsi="Times New Roman" w:eastAsia="Times New Roman" w:cs="Times New Roman"/>
        </w:rPr>
        <w:t>” “</w:t>
      </w:r>
      <w:r>
        <w:rPr>
          <w:rFonts w:ascii="Ebrima" w:hAnsi="Ebrima" w:eastAsia="Ebrima" w:cs="Ebrima"/>
        </w:rPr>
        <w:t>አጭር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የአሕዛብ</w:t>
      </w:r>
      <w:r>
        <w:rPr>
          <w:rFonts w:ascii="Times New Roman" w:hAnsi="Times New Roman" w:eastAsia="Times New Roman" w:cs="Times New Roman"/>
        </w:rPr>
        <w:t xml:space="preserve"> </w:t>
      </w:r>
      <w:r>
        <w:rPr>
          <w:rFonts w:ascii="Ebrima" w:hAnsi="Ebrima" w:eastAsia="Ebrima" w:cs="Ebrima"/>
        </w:rPr>
        <w:t>መቆጣት</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E le nazioni si sono adirate, e la tua ira è giunta, e il tempo dei morti perché siano giudicati, e perché tu dia la ricompensa ai tuoi servi, i profeti, e ai santi, e a quelli che temono il tuo nome, piccoli e grandi; e perché tu distrugga quelli che distruggono la terra. Apocalisse 11:18.</w:t>
      </w:r>
    </w:p>
    <w:p>
      <w:pPr>
        <w:pStyle w:val="ArticleBody"/>
        <w:jc w:val="left"/>
      </w:pPr>
      <w:r>
        <w:rPr>
          <w:rFonts w:ascii="Times New Roman" w:hAnsi="Times New Roman" w:eastAsia="Times New Roman" w:cs="Times New Roman"/>
        </w:rPr>
        <w:t>Sœur White commente ce verset.</w:t>
      </w:r>
    </w:p>
    <w:p>
      <w:pPr>
        <w:pStyle w:val="ArticleScripture"/>
        <w:jc w:val="left"/>
      </w:pPr>
      <w:r>
        <w:rPr>
          <w:rFonts w:ascii="Times New Roman" w:hAnsi="Times New Roman" w:eastAsia="Times New Roman" w:cs="Times New Roman"/>
        </w:rPr>
        <w:t>“O ɗii ko tikinaaji leyyi, tikkere Allah, e waqtu ɓernde mumɓe deadɗe ɗee no feere e ceertu, gooto deɗɗan gooto; e ɗii ko Miikaa’el waɗaali ko ummii, e waqtu torraaji ndu welii ko hay gooto andaayi, ndee fuɗɗaali tawo. Leyyi ɗii no ngoni jooni e heɓde tikinaaji, kono nde Mawɗo Mawɓe meeɗen yaakiimo gollal Mum e suudu ceertu ndu, O umman, O ɓorna kolte vendetta, e ndeen balɗe jeegom sappo ɗee ɓurtata.”</w:t>
      </w:r>
    </w:p>
    <w:p>
      <w:pPr>
        <w:pStyle w:val="ArticleScripture"/>
        <w:jc w:val="left"/>
      </w:pPr>
      <w:r>
        <w:rPr>
          <w:rFonts w:ascii="Times New Roman" w:hAnsi="Times New Roman" w:eastAsia="Times New Roman" w:cs="Times New Roman"/>
        </w:rPr>
        <w:t>“Naona kwamba malaika wale wanne watazizuia pepo nne mpaka kazi ya Yesu itakapokamilika katika patakatifu, na ndipo mapigo saba ya mwisho yatakuja.” Early Writings, 36.</w:t>
      </w:r>
    </w:p>
    <w:p>
      <w:pPr>
        <w:pStyle w:val="ArticleBody"/>
        <w:jc w:val="left"/>
      </w:pPr>
      <w:r>
        <w:rPr>
          <w:rFonts w:ascii="Microsoft YaHei" w:hAnsi="Microsoft YaHei" w:eastAsia="Microsoft YaHei" w:cs="Microsoft YaHei"/>
        </w:rPr>
        <w:t>「諸国</w:t>
      </w:r>
      <w:r>
        <w:rPr>
          <w:rFonts w:ascii="MS Gothic" w:hAnsi="MS Gothic" w:eastAsia="MS Gothic" w:cs="MS Gothic"/>
        </w:rPr>
        <w:t>の</w:t>
      </w:r>
      <w:r>
        <w:rPr>
          <w:rFonts w:ascii="Microsoft YaHei" w:hAnsi="Microsoft YaHei" w:eastAsia="Microsoft YaHei" w:cs="Microsoft YaHei"/>
        </w:rPr>
        <w:t>怒</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、恩恵期間</w:t>
      </w:r>
      <w:r>
        <w:rPr>
          <w:rFonts w:ascii="MS Gothic" w:hAnsi="MS Gothic" w:eastAsia="MS Gothic" w:cs="MS Gothic"/>
        </w:rPr>
        <w:t>が</w:t>
      </w:r>
      <w:r>
        <w:rPr>
          <w:rFonts w:ascii="Microsoft YaHei" w:hAnsi="Microsoft YaHei" w:eastAsia="Microsoft YaHei" w:cs="Microsoft YaHei"/>
        </w:rPr>
        <w:t>閉</w:t>
      </w:r>
      <w:r>
        <w:rPr>
          <w:rFonts w:ascii="MS Gothic" w:hAnsi="MS Gothic" w:eastAsia="MS Gothic" w:cs="MS Gothic"/>
        </w:rPr>
        <w:t>じる</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起</w:t>
      </w:r>
      <w:r>
        <w:rPr>
          <w:rFonts w:ascii="MS Gothic" w:hAnsi="MS Gothic" w:eastAsia="MS Gothic" w:cs="MS Gothic"/>
        </w:rPr>
        <w:t>こる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怒</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が</w:t>
      </w:r>
      <w:r>
        <w:rPr>
          <w:rFonts w:ascii="Microsoft YaHei" w:hAnsi="Microsoft YaHei" w:eastAsia="Microsoft YaHei" w:cs="Microsoft YaHei"/>
        </w:rPr>
        <w:t>続</w:t>
      </w:r>
      <w:r>
        <w:rPr>
          <w:rFonts w:ascii="MS Gothic" w:hAnsi="MS Gothic" w:eastAsia="MS Gothic" w:cs="MS Gothic"/>
        </w:rPr>
        <w:t>くからである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怒</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恩恵期間</w:t>
      </w:r>
      <w:r>
        <w:rPr>
          <w:rFonts w:ascii="MS Gothic" w:hAnsi="MS Gothic" w:eastAsia="MS Gothic" w:cs="MS Gothic"/>
        </w:rPr>
        <w:t>が</w:t>
      </w:r>
      <w:r>
        <w:rPr>
          <w:rFonts w:ascii="Microsoft YaHei" w:hAnsi="Microsoft YaHei" w:eastAsia="Microsoft YaHei" w:cs="Microsoft YaHei"/>
        </w:rPr>
        <w:t>閉</w:t>
      </w:r>
      <w:r>
        <w:rPr>
          <w:rFonts w:ascii="MS Gothic" w:hAnsi="MS Gothic" w:eastAsia="MS Gothic" w:cs="MS Gothic"/>
        </w:rPr>
        <w:t>じる</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起</w:t>
      </w:r>
      <w:r>
        <w:rPr>
          <w:rFonts w:ascii="MS Gothic" w:hAnsi="MS Gothic" w:eastAsia="MS Gothic" w:cs="MS Gothic"/>
        </w:rPr>
        <w:t>こり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「死者</w:t>
      </w:r>
      <w:r>
        <w:rPr>
          <w:rFonts w:ascii="MS Gothic" w:hAnsi="MS Gothic" w:eastAsia="MS Gothic" w:cs="MS Gothic"/>
        </w:rPr>
        <w:t>を</w:t>
      </w:r>
      <w:r>
        <w:rPr>
          <w:rFonts w:ascii="Microsoft YaHei" w:hAnsi="Microsoft YaHei" w:eastAsia="Microsoft YaHei" w:cs="Microsoft YaHei"/>
        </w:rPr>
        <w:t>裁</w:t>
      </w:r>
      <w:r>
        <w:rPr>
          <w:rFonts w:ascii="MS Gothic" w:hAnsi="MS Gothic" w:eastAsia="MS Gothic" w:cs="MS Gothic"/>
        </w:rPr>
        <w:t>く</w:t>
      </w:r>
      <w:r>
        <w:rPr>
          <w:rFonts w:ascii="Microsoft YaHei" w:hAnsi="Microsoft YaHei" w:eastAsia="Microsoft YaHei" w:cs="Microsoft YaHei"/>
        </w:rPr>
        <w:t>時」</w:t>
      </w:r>
      <w:r>
        <w:rPr>
          <w:rFonts w:ascii="MS Gothic" w:hAnsi="MS Gothic" w:eastAsia="MS Gothic" w:cs="MS Gothic"/>
        </w:rPr>
        <w:t>は</w:t>
      </w:r>
      <w:r>
        <w:rPr>
          <w:rFonts w:ascii="Microsoft YaHei" w:hAnsi="Microsoft YaHei" w:eastAsia="Microsoft YaHei" w:cs="Microsoft YaHei"/>
        </w:rPr>
        <w:t>千年期</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行</w:t>
      </w:r>
      <w:r>
        <w:rPr>
          <w:rFonts w:ascii="MS Gothic" w:hAnsi="MS Gothic" w:eastAsia="MS Gothic" w:cs="MS Gothic"/>
        </w:rPr>
        <w:t>われる</w:t>
      </w:r>
      <w:r>
        <w:rPr>
          <w:rFonts w:ascii="Microsoft YaHei" w:hAnsi="Microsoft YaHei" w:eastAsia="Microsoft YaHei" w:cs="Microsoft YaHei"/>
        </w:rPr>
        <w:t>裁</w:t>
      </w:r>
      <w:r>
        <w:rPr>
          <w:rFonts w:ascii="MS Gothic" w:hAnsi="MS Gothic" w:eastAsia="MS Gothic" w:cs="MS Gothic"/>
        </w:rPr>
        <w:t>きを</w:t>
      </w:r>
      <w:r>
        <w:rPr>
          <w:rFonts w:ascii="Microsoft YaHei" w:hAnsi="Microsoft YaHei" w:eastAsia="Microsoft YaHei" w:cs="Microsoft YaHei"/>
        </w:rPr>
        <w:t>指</w:t>
      </w:r>
      <w:r>
        <w:rPr>
          <w:rFonts w:ascii="MS Gothic" w:hAnsi="MS Gothic" w:eastAsia="MS Gothic" w:cs="MS Gothic"/>
        </w:rPr>
        <w:t>しており</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w:t>
      </w:r>
      <w:r>
        <w:rPr>
          <w:rFonts w:ascii="Microsoft YaHei" w:hAnsi="Microsoft YaHei" w:eastAsia="Microsoft YaHei" w:cs="Microsoft YaHei"/>
        </w:rPr>
        <w:t>死者</w:t>
      </w:r>
      <w:r>
        <w:rPr>
          <w:rFonts w:ascii="MS Gothic" w:hAnsi="MS Gothic" w:eastAsia="MS Gothic" w:cs="MS Gothic"/>
        </w:rPr>
        <w:t>の</w:t>
      </w:r>
      <w:r>
        <w:rPr>
          <w:rFonts w:ascii="Microsoft YaHei" w:hAnsi="Microsoft YaHei" w:eastAsia="Microsoft YaHei" w:cs="Microsoft YaHei"/>
        </w:rPr>
        <w:t>裁</w:t>
      </w:r>
      <w:r>
        <w:rPr>
          <w:rFonts w:ascii="MS Gothic" w:hAnsi="MS Gothic" w:eastAsia="MS Gothic" w:cs="MS Gothic"/>
        </w:rPr>
        <w:t>きを</w:t>
      </w:r>
      <w:r>
        <w:rPr>
          <w:rFonts w:ascii="Microsoft YaHei" w:hAnsi="Microsoft YaHei" w:eastAsia="Microsoft YaHei" w:cs="Microsoft YaHei"/>
        </w:rPr>
        <w:t>指</w:t>
      </w:r>
      <w:r>
        <w:rPr>
          <w:rFonts w:ascii="MS Gothic" w:hAnsi="MS Gothic" w:eastAsia="MS Gothic" w:cs="MS Gothic"/>
        </w:rPr>
        <w:t>すのではない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nikamwona malaika akishuka kutoka mbinguni, akiwa na ufunguo wa shimo lisilo na mwisho na mnyororo mkubwa mkononi mwake. Akamkamata yule joka, yule nyoka wa zamani, ambaye ni Ibilisi na Shetani, akamfunga kwa muda wa miaka elfu, akamtupa katika shimo lisilo na mwisho, akamfungia, akatia muhuri juu yake, asipate kuyadanganya mataifa tena, hata hiyo miaka elfu itakapotimia; na baada ya hayo imepasa afunguliwe kwa kitambo kidogo. Nami nikaona viti vya enzi, nao wakaketi juu yake, nao wakapewa hukumu; nami nikaziona roho za wale waliokatwa vichwa kwa ajili ya ushuhuda wa Yesu na kwa ajili ya neno la Mungu, na ambao hawakumsujudia yule mnyama, wala sanamu yake, wala hawakupokea alama yake katika vipaji vya nyuso zao, wala mikononi mwao; nao wakaishi na kutawala pamoja na Kristo muda wa miaka elfu. Ufunuo 20:1–4.</w:t>
      </w:r>
    </w:p>
    <w:p>
      <w:pPr>
        <w:pStyle w:val="ArticleBody"/>
        <w:jc w:val="left"/>
      </w:pPr>
      <w:r>
        <w:rPr>
          <w:rFonts w:ascii="Times New Roman" w:hAnsi="Times New Roman" w:eastAsia="Times New Roman" w:cs="Times New Roman"/>
        </w:rPr>
        <w:t>Le jugement qui est « donné aux » saints indique qu’ils exerceront le jugement sur les méchants durant le millénium, et non qu’ils seront jugés.</w:t>
      </w:r>
    </w:p>
    <w:p>
      <w:pPr>
        <w:pStyle w:val="ArticleScripture"/>
        <w:jc w:val="left"/>
      </w:pPr>
      <w:r>
        <w:rPr>
          <w:rFonts w:ascii="Times New Roman" w:hAnsi="Times New Roman" w:eastAsia="Times New Roman" w:cs="Times New Roman"/>
        </w:rPr>
        <w:t>“Le mille ans qui s’écoulent entre la première et la seconde résurrection sont le temps où se déroule le jugement des méchants. L’apôtre Paul désigne ce jugement comme un événement qui suit le second avènement. ‘Ne jugez de rien avant le temps, jusqu’à ce que le Seigneur soit venu, lui qui mettra en lumière les choses cachées des ténèbres, et manifestera les desseins des cœurs.’ 1 Corinthiens 4:5. Daniel déclare que, lorsque l’Ancien des jours vint, ‘le jugement fut donné aux saints du Très-Haut.’ Daniel 7:22. En ce temps-là, les justes règnent comme rois et sacrificateurs pour Dieu. Jean dit dans l’Apocalypse : ‘Je vis des trônes; et ils s’y assirent, et le jugement leur fut donné.’ ‘Ils seront sacrificateurs de Dieu et de Christ, et ils régneront avec lui mille ans.’ Apocalypse 20:4, 6. C’est alors que, selon la prédiction de Paul, ‘les saints jugeront le monde.’ 1 Corinthiens 6:2. Unis à Christ, ils jugent les méchants, comparant leurs actes avec le livre de la loi, la Bible, et décidant chaque cas selon les œuvres faites dans le corps. Alors la part de souffrance que les méchants doivent subir est mesurée selon leurs œuvres; et elle est inscrite vis-à-vis de leurs noms dans le livre de mort.”</w:t>
      </w:r>
    </w:p>
    <w:p>
      <w:pPr>
        <w:pStyle w:val="ArticleScripture"/>
        <w:jc w:val="left"/>
      </w:pPr>
      <w:r>
        <w:rPr>
          <w:rFonts w:ascii="Times New Roman" w:hAnsi="Times New Roman" w:eastAsia="Times New Roman" w:cs="Times New Roman"/>
        </w:rPr>
        <w:t>«Сатана, а также злые ангелы, будут судимы Христом и Его народом. Павел говорит: „Разве не знаете, что мы будем судить ангелов?“ Стих 3. И Иуда заявляет, что „ангелов, не сохранивших своего первоначального достоинства, но оставивших свое жилище, Он соблюдает в вечных узах, под мраком, на суд великого дня“. Иуд. 6.»</w:t>
      </w:r>
    </w:p>
    <w:p>
      <w:pPr>
        <w:pStyle w:val="ArticleScripture"/>
        <w:jc w:val="left"/>
      </w:pPr>
      <w:r>
        <w:rPr>
          <w:rFonts w:ascii="Times New Roman" w:hAnsi="Times New Roman" w:eastAsia="Times New Roman" w:cs="Times New Roman"/>
        </w:rPr>
        <w:t>“Na mwisho wa ile miaka elfu, ufufuo wa pili utafanyika. Ndipo waovu watafufuliwa kutoka kwa wafu na kusimama mbele za Mungu kwa ajili ya kutekelezwa kwa ‘hukumu iliyoandikwa.’ Hivyo mfunuaji, baada ya kueleza ufufuo wa wenye haki, asema: ‘Wafu waliosalia hawakuishi tena hata hiyo miaka elfu ilipokwisha.’ Ufunuo 20:5. Naye Isaya atangaza, kuhusu waovu: ‘Nao watakusanywa pamoja, kama wafungwa hukusanywa shimoni, nao watafungwa gerezani, na baada ya siku nyingi watapatiliwa.’ Isaya 24:22.” Pambano Kuu, 660, 661.</w:t>
      </w:r>
    </w:p>
    <w:p>
      <w:pPr>
        <w:pStyle w:val="ArticleBody"/>
        <w:jc w:val="left"/>
      </w:pPr>
      <w:r>
        <w:rPr>
          <w:rFonts w:ascii="Times New Roman" w:hAnsi="Times New Roman" w:eastAsia="Times New Roman" w:cs="Times New Roman"/>
        </w:rPr>
        <w:t>Na hiyo ni wazi kwamba “kukasirishwa kwa mataifa” kunarejelea “nyakati za taabu” zinazoujia ulimwengu kabla muda wa rehema haujafungwa, na kwamba wakati “mataifa yanapokasirishwa,” wakati huo huo “yanazuiliwa.”</w:t>
      </w:r>
    </w:p>
    <w:p>
      <w:pPr>
        <w:pStyle w:val="ArticleScripture"/>
        <w:jc w:val="left"/>
      </w:pPr>
      <w:r>
        <w:rPr>
          <w:rFonts w:ascii="Times New Roman" w:hAnsi="Times New Roman" w:eastAsia="Times New Roman" w:cs="Times New Roman"/>
        </w:rPr>
        <w:t>« Je vis que la colère des nations, la colère de Dieu, et le temps de juger les morts étaient séparés et distincts, l’un succédant à l’autre. » Early Writings, 36.</w:t>
      </w:r>
    </w:p>
    <w:p>
      <w:pPr>
        <w:pStyle w:val="ArticleBody"/>
        <w:jc w:val="left"/>
      </w:pPr>
      <w:r>
        <w:rPr>
          <w:rFonts w:ascii="Times New Roman" w:hAnsi="Times New Roman" w:eastAsia="Times New Roman" w:cs="Times New Roman"/>
        </w:rPr>
        <w:t>À l’époque où « les nations se sont irritées », la pluie de l’arrière-saison commence à tomber.</w:t>
      </w:r>
    </w:p>
    <w:p>
      <w:pPr>
        <w:pStyle w:val="ArticleScripture"/>
        <w:jc w:val="left"/>
      </w:pPr>
      <w:r>
        <w:rPr>
          <w:rFonts w:ascii="Times New Roman" w:hAnsi="Times New Roman" w:eastAsia="Times New Roman" w:cs="Times New Roman"/>
        </w:rPr>
        <w:t>“Wakati huo, kazi ya wokovu inapokaribia kufungwa, taabu itakuwa inakuja juu ya dunia, na mataifa yatakuwa yamekasirika, lakini yakidhibitiwa ili yasizuie kazi ya malaika wa tatu. Wakati huo ‘mvua ya mwisho,’ au kuburudishwa kutokako mbele za Bwana, itakuja, ili kuupa nguvu ule sauti kuu wa malaika wa tatu, na kuwaandaa watakatifu wasimame katika kipindi ambacho mapigo saba ya mwisho yatamwagwa.” Early Writings, 85.</w:t>
      </w:r>
    </w:p>
    <w:p>
      <w:pPr>
        <w:pStyle w:val="ArticleBody"/>
        <w:jc w:val="left"/>
      </w:pPr>
      <w:r>
        <w:rPr>
          <w:rFonts w:ascii="Times New Roman" w:hAnsi="Times New Roman" w:eastAsia="Times New Roman" w:cs="Times New Roman"/>
        </w:rPr>
        <w:t>Има един момент, когато „народите се разгневиха“, но същевременно са „възпирани“. Именно тогава Христос установява Своето царство на слава, защото Той установява Своето царство през времето на късния дъжд.</w:t>
      </w:r>
    </w:p>
    <w:p>
      <w:pPr>
        <w:pStyle w:val="ArticleScripture"/>
        <w:jc w:val="left"/>
      </w:pPr>
      <w:r>
        <w:rPr>
          <w:rFonts w:ascii="Times New Roman" w:hAnsi="Times New Roman" w:eastAsia="Times New Roman" w:cs="Times New Roman"/>
        </w:rPr>
        <w:t>“Le pluie de l’arrière-saison vient sur ceux qui sont purs — alors tous la recevront comme autrefois. ”</w:t>
      </w:r>
    </w:p>
    <w:p>
      <w:pPr>
        <w:pStyle w:val="ArticleScripture"/>
        <w:jc w:val="left"/>
      </w:pPr>
      <w:r>
        <w:rPr>
          <w:rFonts w:ascii="Times New Roman" w:hAnsi="Times New Roman" w:eastAsia="Times New Roman" w:cs="Times New Roman"/>
        </w:rPr>
        <w:t>“Fesili ʻae kau ʻāngelo ʻe fā, ʻe fokotuʻu ʻe Kalaisi Hono puleʻanga. ʻOku ʻikai ha taha te ne maʻu ʻa e ʻuha ki mui ni ka ko kinautolu pē ʻoku nau fai ʻa e meʻa kotoa pē ʻoku nau malava.” Spalding and Magan, 3.</w:t>
      </w:r>
    </w:p>
    <w:p>
      <w:pPr>
        <w:pStyle w:val="ArticleBody"/>
        <w:jc w:val="left"/>
      </w:pPr>
      <w:r>
        <w:rPr>
          <w:rFonts w:ascii="Times New Roman" w:hAnsi="Times New Roman" w:eastAsia="Times New Roman" w:cs="Times New Roman"/>
        </w:rPr>
        <w:t>Ang nakaraang dalawang sipi mula sa *Early Writings* ay nagpapakilala na kapag ang mga bansa ay nagagalit, at kasabay nito’y “pinipigil,” ang apat na anghel ay pumipigil sa apat na hangin. Samakatuwid, ang pagngangalit ng mga bansa ay inilalarawan bilang ang “apat na hangin.” Binanggit din niya na sa panahong pinipigil ng apat na anghel ang nagagalit na mga bansa, darating ang huling ulan. Ang yugto ng panahon na nagsisimula sa pagdating ng huling ulan, na siya ring panahon na ang mga bansa ay nagagalit, gayunma’y pinipigil, ay nagpapatuloy hanggang sa tumindig si Miguel at magsara ang panahon ng biyaya ng sangkatauhan. Ang yugtong iyon ng panahon ay ang panahong nagsasara na ang pagliligtas, at samakatuwid ay kumakatawan sa huling gawain ni Cristo sa Kabanal-banalang Dako, na kinikilala bilang yugto ng panahon na alinman sa pinapawi Niya ang mga kasalanan ng mga tao o ang kanilang mga pangalan mula sa mga aklat ng paghuhukom. Ang panahong iyon, kung kailan pinipigil ng mga anghel ang apat na hangin, ay ang panahon ng pagtatatak sa isang daan at apatnapu’t apat na libo.</w:t>
      </w:r>
    </w:p>
    <w:p>
      <w:pPr>
        <w:pStyle w:val="ArticleBody"/>
        <w:jc w:val="left"/>
      </w:pPr>
      <w:r>
        <w:rPr>
          <w:rFonts w:ascii="Times New Roman" w:hAnsi="Times New Roman" w:eastAsia="Times New Roman" w:cs="Times New Roman"/>
        </w:rPr>
        <w:t>ئىسلام ئۈچىنچى ۋاينىڭ «مىللەتلەرنى غەزەپلەندۈرىدىغان» كۈچىدۇر، ۋە ئۈچىنچى ۋاي 2001-يىلى 11-سېنتەبىردە يېتىپ كەلدى، ئەمما ئىسلام دەرھال «تۇتۇپ تۇرۇلدى». «شەرق شامىلى» ئىسلامنىڭ بىر سىمۋولىدۇر، ۋە ئىسائيا «شەرق شامىلى»نى خۇدا «توسۇپ تۇرىدىغان» (چەكلەيدىغان) «قاتتىق شامال» دەپ تونۇشتۇرىدۇ. ئىسلامنىڭ ئۇرۇشى قايتا-قايتا تۇغۇت ئاغرىقىدىكى بىر ئايال سۈپىتىدە تەسۋىرلىنىدۇ، چۈنكى ئۇ 2001-يىلى 11-سېنتەبىردە، ۋەھىي 18-بابتىكى قۇدرەتلىك پەرىشتە چۈشكەندە، نيۇ-يورك شەھىرىدىكى چوڭ ئىمارەتلەرنىڭ يىقىتىلىشى بىلەن بەلگىلەنگەن ھالدا باشلانغان، بارغانسېرى كۈچىيىدىغان بىر ئۇرۇشتۇر.</w:t>
      </w:r>
    </w:p>
    <w:p>
      <w:pPr>
        <w:pStyle w:val="ArticleScripture"/>
        <w:jc w:val="left"/>
      </w:pPr>
      <w:r>
        <w:rPr>
          <w:rFonts w:ascii="Times New Roman" w:hAnsi="Times New Roman" w:eastAsia="Times New Roman" w:cs="Times New Roman"/>
        </w:rPr>
        <w:t>«Відколи це з’явилося слово, нібито я заявила, що Нью-Йорк має бути змитий приливною хвилею? Цього я ніколи не говорила. Я сказала, коли дивилася на великі будівлі, що там піднімалися, поверх за поверхом: “Які жахливі сцени відбуватимуться, коли Господь повстане, щоб тяжко стрясти землю! Тоді сповняться слова Об’явлення 18:1–3”. Увесь вісімнадцятий розділ Об’явлення є застереженням щодо того, що надходить на землю. Але я не маю особливого світла стосовно того, що прийде на Нью-Йорк, окрім того, що знаю: одного дня великі тамтешні будівлі будуть повалені обертанням і перевертанням Божої сили. Із даного мені світла я знаю, що у світі є погибель. Одне слово від Господа, один дотик Його могутньої сили — і ці масивні споруди впадуть. Відбудуться сцени, страхітливості яких ми не можемо навіть уявити». Review and Herald, July 5, 1906.</w:t>
      </w:r>
    </w:p>
    <w:p>
      <w:pPr>
        <w:pStyle w:val="ArticleBody"/>
        <w:jc w:val="left"/>
      </w:pPr>
      <w:r>
        <w:rPr>
          <w:rFonts w:ascii="Times New Roman" w:hAnsi="Times New Roman" w:eastAsia="Times New Roman" w:cs="Times New Roman"/>
        </w:rPr>
        <w:t>Pada bagan 1843 dan 1850, Islam dilambangkan sebagai “kuda-kuda perang”. Dalam Wahyu pasal sembilan, ketika Islam pada Malapetaka pertama dan kedua dikemukakan, watak Islam dikenali melalui nama raja Islam.</w:t>
      </w:r>
    </w:p>
    <w:p>
      <w:pPr>
        <w:pStyle w:val="ArticleScripture"/>
        <w:jc w:val="left"/>
      </w:pPr>
      <w:r>
        <w:rPr>
          <w:rFonts w:ascii="Leelawadee UI" w:hAnsi="Leelawadee UI" w:eastAsia="Leelawadee UI" w:cs="Leelawadee UI"/>
        </w:rPr>
        <w:t>ពួកវាមានស្តេចគ្រប់គ្រងលើវា</w:t>
      </w:r>
      <w:r>
        <w:rPr>
          <w:rFonts w:ascii="Times New Roman" w:hAnsi="Times New Roman" w:eastAsia="Times New Roman" w:cs="Times New Roman"/>
        </w:rPr>
        <w:t xml:space="preserve"> </w:t>
      </w:r>
      <w:r>
        <w:rPr>
          <w:rFonts w:ascii="Leelawadee UI" w:hAnsi="Leelawadee UI" w:eastAsia="Leelawadee UI" w:cs="Leelawadee UI"/>
        </w:rPr>
        <w:t>គឺជាទេវទូតនៃអណ្តូងជម្រៅឥតបាត</w:t>
      </w:r>
      <w:r>
        <w:rPr>
          <w:rFonts w:ascii="Times New Roman" w:hAnsi="Times New Roman" w:eastAsia="Times New Roman" w:cs="Times New Roman"/>
        </w:rPr>
        <w:t xml:space="preserve"> </w:t>
      </w:r>
      <w:r>
        <w:rPr>
          <w:rFonts w:ascii="Leelawadee UI" w:hAnsi="Leelawadee UI" w:eastAsia="Leelawadee UI" w:cs="Leelawadee UI"/>
        </w:rPr>
        <w:t>ដែលមានឈ្មោះជាភាសាហេប្រឺថា</w:t>
      </w:r>
      <w:r>
        <w:rPr>
          <w:rFonts w:ascii="Times New Roman" w:hAnsi="Times New Roman" w:eastAsia="Times New Roman" w:cs="Times New Roman"/>
        </w:rPr>
        <w:t xml:space="preserve"> </w:t>
      </w:r>
      <w:r>
        <w:rPr>
          <w:rFonts w:ascii="Leelawadee UI" w:hAnsi="Leelawadee UI" w:eastAsia="Leelawadee UI" w:cs="Leelawadee UI"/>
        </w:rPr>
        <w:t>អាបាឌុន</w:t>
      </w:r>
      <w:r>
        <w:rPr>
          <w:rFonts w:ascii="Times New Roman" w:hAnsi="Times New Roman" w:eastAsia="Times New Roman" w:cs="Times New Roman"/>
        </w:rPr>
        <w:t xml:space="preserve"> </w:t>
      </w:r>
      <w:r>
        <w:rPr>
          <w:rFonts w:ascii="Leelawadee UI" w:hAnsi="Leelawadee UI" w:eastAsia="Leelawadee UI" w:cs="Leelawadee UI"/>
        </w:rPr>
        <w:t>ប៉ុន្តែក្នុងភាសាក្រិក</w:t>
      </w:r>
      <w:r>
        <w:rPr>
          <w:rFonts w:ascii="Times New Roman" w:hAnsi="Times New Roman" w:eastAsia="Times New Roman" w:cs="Times New Roman"/>
        </w:rPr>
        <w:t xml:space="preserve"> </w:t>
      </w:r>
      <w:r>
        <w:rPr>
          <w:rFonts w:ascii="Leelawadee UI" w:hAnsi="Leelawadee UI" w:eastAsia="Leelawadee UI" w:cs="Leelawadee UI"/>
        </w:rPr>
        <w:t>ឈ្មោះរបស់គាត់គឺ</w:t>
      </w:r>
      <w:r>
        <w:rPr>
          <w:rFonts w:ascii="Times New Roman" w:hAnsi="Times New Roman" w:eastAsia="Times New Roman" w:cs="Times New Roman"/>
        </w:rPr>
        <w:t xml:space="preserve"> </w:t>
      </w:r>
      <w:r>
        <w:rPr>
          <w:rFonts w:ascii="Leelawadee UI" w:hAnsi="Leelawadee UI" w:eastAsia="Leelawadee UI" w:cs="Leelawadee UI"/>
        </w:rPr>
        <w:t>អាប៉ុលល្យូន។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9:11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Aayaari nde, ko suraadi JEEGO e aayaari SAPPƊO E GO’O, hollata e annabaaku wonde, ko nde ndenaandi e Layli Kiitaaru Mawɗo (Ibraniyanko) walla e Layli Kiitaaru Kesum (Gereekanko), jeyaaɗo Islaama oo ko Abaddon walla Apollyon. Innde ɗiɗi ɗin firi “halkere e mayde”.</w:t>
      </w:r>
    </w:p>
    <w:p>
      <w:pPr>
        <w:pStyle w:val="ArticleScripture"/>
        <w:jc w:val="left"/>
      </w:pPr>
      <w:r>
        <w:rPr>
          <w:rFonts w:ascii="Times New Roman" w:hAnsi="Times New Roman" w:eastAsia="Times New Roman" w:cs="Times New Roman"/>
        </w:rPr>
        <w:t>« Les anges retiennent les quatre vents, représentés comme un cheval furieux cherchant à se déchaîner et à se précipiter sur toute la face de la terre, semant sur son passage la destruction et la mort. » Manuscript Releases, vol. 20, p. 217.</w:t>
      </w:r>
    </w:p>
    <w:p>
      <w:pPr>
        <w:pStyle w:val="ArticleBody"/>
        <w:jc w:val="left"/>
      </w:pPr>
      <w:r>
        <w:rPr>
          <w:rFonts w:ascii="Times New Roman" w:hAnsi="Times New Roman" w:eastAsia="Times New Roman" w:cs="Times New Roman"/>
        </w:rPr>
        <w:t>Jondin hanhathla li ang Bible hrilhlâwkna-a a hnuh hrehawm tak chu an ni; chu chu a chhûng atâna chhuak tûrin a hril a ni. Hrehawm tak hnuh hrilhlâwkna pakhat zînga chhinchhiahna chu, a tîrvin a thlep a ni mahse, a chhuak tûrin a hril a, khawvêl zawng zawng chunga “tihchhiatna leh thihna” a thlen tûr a ni.</w:t>
      </w:r>
    </w:p>
    <w:p>
      <w:pPr>
        <w:pStyle w:val="ArticleBody"/>
        <w:jc w:val="left"/>
      </w:pPr>
      <w:r>
        <w:rPr>
          <w:rFonts w:ascii="Times New Roman" w:hAnsi="Times New Roman" w:eastAsia="Times New Roman" w:cs="Times New Roman"/>
        </w:rPr>
        <w:t>Béhanzin mí be tó asubɔ nùkúnmɔ lɛ mɛ mɛ wɔn nù tɔ́.</w:t>
      </w:r>
    </w:p>
    <w:p>
      <w:pPr>
        <w:pStyle w:val="ArticleScripture"/>
        <w:jc w:val="left"/>
      </w:pPr>
      <w:r>
        <w:rPr>
          <w:rFonts w:ascii="Times New Roman" w:hAnsi="Times New Roman" w:eastAsia="Times New Roman" w:cs="Times New Roman"/>
        </w:rPr>
        <w:t>“Lanmùtù bu ìran Ọlọ́run ní ìmòye nípa ìparun tí ń bọ̀ wá sórí ẹgbẹẹgbẹ̀rún ìlú, tí ó sì ti fẹrẹ̀ jẹ́ pé a ti fi wọ́n fún ìbọ̀rìṣà! Ṣùgbọ́n ọ̀pọ̀ nínú àwọn tí ó yẹ kí wọ́n máa kéde òtítọ́ ni wọ́n ń fi ẹ̀sùn kàn, tí wọ́n sì ń dá àwọn arákùnrin wọn lẹ́bi. Nígbà tí agbára ìyípadà ti Ọlọ́run bá dé sórí àwọn ọkàn ènìyàn, ìyípadà tí ó ṣe kedere yóò wáyé. Àwọn ènìyàn kì yóò ní ìfẹ́ inú láti ṣàríwísí àti láti wó lulẹ̀. Wọn kì yóò dúró ní ipò tí ń dí ìmọ́lẹ̀ lọ́wọ́ láti tàn sí ayé. Àríwísí wọn àti ẹ̀sùn tí wọ́n ń fi kànni yóò dákẹ́. Àwọn agbára ọ̀tá ń kó ara wọn jọ fún ogun. Ìjà líle wà níwájú wa. Ẹ sún mọ́ra, ẹ̀yin arákùnrin àti arábìnrin mi, ẹ sún mọ́ra. Ẹ di mọ́ Kristi. ‘Ẹ má ṣe wí pé, Àjọṣepọ̀,... bẹ́ẹ̀ ni ẹ má ṣe bẹ̀rù ìbẹ̀rù wọn, kí ẹ má sì ṣe yà á sí. Ẹ yà Olúwa àwọn ọmọ-ogun sí mímọ́ fúnra rẹ̀; kí òun sì jẹ́ ìbẹ̀rù yín, kí òun sì jẹ́ ohun tí ẹ ń fòyà rẹ̀. Yóò sì jẹ́ ibi mímọ́; ṣùgbọ́n yóò jẹ́ òkúta ìkọ̀sẹ̀ àti àpáta ìkùnsínú fún ilé Ísírẹ́lì méjèèjì, yóò sì jẹ́ ìdẹ̀kùn àti ìpakùn fún àwọn olùgbé Jerúsálẹ́mù. Ọ̀pọ̀ nínú wọn yóò sì kọsẹ̀, wọn yóò ṣubú, a ó sì fọ́ wọn, a ó sì mú wọn nínú ìdẹ̀kùn, a ó sì gbà wọ́n.’”</w:t>
      </w:r>
    </w:p>
    <w:p>
      <w:pPr>
        <w:pStyle w:val="ArticleScripture"/>
        <w:jc w:val="left"/>
      </w:pPr>
      <w:r>
        <w:rPr>
          <w:rFonts w:ascii="Times New Roman" w:hAnsi="Times New Roman" w:eastAsia="Times New Roman" w:cs="Times New Roman"/>
        </w:rPr>
        <w:t>“Le monde est un théâtre. Les acteurs, ses habitants, se préparent à jouer leur rôle dans le dernier grand drame. Dieu est perdu de vue. Parmi les grandes masses de l’humanité, il n’y a aucune unité, sinon lorsque les hommes se liguent pour accomplir leurs desseins égoïstes. Dieu regarde. Ses desseins à l’égard de ses sujets rebelles s’accompliront. Le monde n’a pas été livré aux mains des hommes, bien que Dieu permette, pour un temps, aux éléments de confusion et de désordre de dominer. Une puissance d’en bas est à l’œuvre pour amener les dernières grandes scènes du drame,—Satan venant comme Christ, et opérant avec toutes les séductions de l’iniquité parmi ceux qui se lient entre eux dans des sociétés secrètes. Ceux qui cèdent à la passion de la confédération mettent à exécution les plans de l’ennemi. La cause sera suivie de l’effet.”</w:t>
      </w:r>
    </w:p>
    <w:p>
      <w:pPr>
        <w:pStyle w:val="ArticleScripture"/>
        <w:jc w:val="left"/>
      </w:pPr>
      <w:r>
        <w:rPr>
          <w:rFonts w:ascii="Times New Roman" w:hAnsi="Times New Roman" w:eastAsia="Times New Roman" w:cs="Times New Roman"/>
        </w:rPr>
        <w:t>«La désobéissance a presque atteint sa limite. La confusion remplit le monde, et une grande terreur va bientôt s’abattre sur les êtres humains. La fin est très proche. Nous qui connaissons la vérité, nous devrions nous préparer à ce qui va bientôt fondre sur le monde comme une surprise accablante.» Review and Herald, 10 septembre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 et un</dc:title>
  <dc:subject>Dévoiler la tapisserie prophétique : comprendre les visions de Daniel, l’alliance et le temps du scellement dans les derniers jours</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