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soixante-deux</w:t>
      </w:r>
    </w:p>
    <w:p>
      <w:pPr>
        <w:pStyle w:val="ArticleSubtitle"/>
        <w:jc w:val="left"/>
      </w:pPr>
      <w:r>
        <w:rPr>
          <w:rFonts w:ascii="Arial" w:hAnsi="Arial" w:eastAsia="Arial" w:cs="Arial"/>
        </w:rPr>
        <w:t>Révélation des joyaux de la vision prophétique de William Miller : examen critique de l’éloignement de l’adventisme de la « grande lumière » et appel à retourner aux véritables fondements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Les joyaux du songe de William Miller brilleront dix fois plus intensément qu’ils n’ont brillé dans l’histoire des millérites. La compréhension qu’avaient les millérites de la connaissance qui fut accrue durant leur histoire était juste, mais incomplète. Lorsque leur compréhension est replacée dans un cadre historique plus exact, elle met en évidence des implications plus graves, car elle ne se contente pas d’élargir les vérités prophétiques représentées par les joyaux, mais elle produit aussi l’épreuve des dix vierges des derniers jours. La compréhension millérite est représentée sur les deux cartes pionnières (1843 et 1850). Les deux cartes constituaient un accomplissement des tables prophétisées dans le chapitre deux d’Habakuk, et le fait que les cartes fussent un accomplissement d’Habakuk, ainsi que le fait que ces vérités mêmes fussent les vérités fondamentales de l’adventisme, furent identifiés comme tels par l’Esprit de Prophétie.</w:t>
      </w:r>
    </w:p>
    <w:p>
      <w:pPr>
        <w:pStyle w:val="ArticleBody"/>
        <w:jc w:val="left"/>
      </w:pPr>
      <w:r>
        <w:rPr>
          <w:rFonts w:ascii="Times New Roman" w:hAnsi="Times New Roman" w:eastAsia="Times New Roman" w:cs="Times New Roman"/>
        </w:rPr>
        <w:t>Le sens de quelques-unes des vérités fondamentales fut accru en gloire lorsque les millérites furent conduits à comprendre le sanctuaire céleste et les vérités qui s’y rattachent, après la grande déception du 22 octobre 1844. Mais la transition de l’adventisme vers une condition laodicéenne en 1856, puis son rejet définitif des « sept temps » en 1863, l’a conduit dans le désert de Laodicée. Aucune vérité d’importance n’a été mise en lumière par l’adventisme depuis les années 1850. Si vous mettez cette affirmation en doute, alors indiquez en quoi elle est erronée.</w:t>
      </w:r>
    </w:p>
    <w:p>
      <w:pPr>
        <w:pStyle w:val="ArticleBody"/>
        <w:jc w:val="left"/>
      </w:pPr>
      <w:r>
        <w:rPr>
          <w:rFonts w:ascii="Nirmala UI" w:hAnsi="Nirmala UI" w:eastAsia="Nirmala UI" w:cs="Nirmala UI"/>
        </w:rPr>
        <w:t>मिलेरियों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ऐडवेंटिज़्म</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मिलेरियों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प्रतीकात्मकता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La compréhension millérite du « continuel » dans le livre de Daniel fut identifiée par l’inspiration comme étant correcte; mais, dès 1901, l’adventisme commença un processus de rejet de cette vérité fondamentale, et, dans les années 1930, l’adventisme était revenu à l’ancienne conception protestante, laquelle soutient que « le continuel » représente quelque aspect du ministère de Christ dans le sanctuaire. Cette conception satanique, dit l’Esprit de prophétie, provenait d’« anges qui avaient été expulsés du ciel ». Aujourd’hui, la conception millérite correcte du « continuel » peut être considérée non seulement comme le symbole du paganisme, mais aussi comme le symbole de la rébellion de l’adventisme, laquelle amène une puissante séduction sur ceux qui n’ont pas l’amour de la vérité.</w:t>
      </w:r>
    </w:p>
    <w:p>
      <w:pPr>
        <w:pStyle w:val="ArticleBody"/>
        <w:jc w:val="left"/>
      </w:pPr>
      <w:r>
        <w:rPr>
          <w:rFonts w:ascii="Times New Roman" w:hAnsi="Times New Roman" w:eastAsia="Times New Roman" w:cs="Times New Roman"/>
        </w:rPr>
        <w:t>Les millérites furent conduits à la date exacte de l’expiration des deux mille trois cents ans, et l’adventisme, immédiatement après la Grande Déception, reconnut une lumière accrue liée à cette prophétie; mais, avec son rejet des « sept temps », de 1856 à 1863, et même jusqu’à ce jour même, il n’a vu aucune lumière progressive provenant de la doctrine qu’il affirme être son pilier central et son fondement. Aujourd’hui, les « sept temps » peuvent être vus (par ceux qui sont disposés à voir) comme étant directement associés à chaque période de temps de la prophétie des deux mille trois cents ans.</w:t>
      </w:r>
    </w:p>
    <w:p>
      <w:pPr>
        <w:pStyle w:val="ArticleBody"/>
        <w:jc w:val="left"/>
      </w:pP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उनचास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नब्बे</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बंधुआई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संरचित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सप्ताह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करेगा।</w:t>
      </w:r>
    </w:p>
    <w:p>
      <w:pPr>
        <w:pStyle w:val="ArticleScripture"/>
        <w:jc w:val="left"/>
      </w:pPr>
      <w:r>
        <w:rPr>
          <w:rFonts w:ascii="Times New Roman" w:hAnsi="Times New Roman" w:eastAsia="Times New Roman" w:cs="Times New Roman"/>
        </w:rPr>
        <w:t>Jetzt ergeht das Gericht über diese Welt; jetzt wird der Fürst dieser Welt hinausgeworfen werden. Und ich, wenn ich von der Erde erhöht werde, werde alle zu mir ziehen. Johannes 12,31.32.</w:t>
      </w:r>
    </w:p>
    <w:p>
      <w:pPr>
        <w:pStyle w:val="ArticleBody"/>
        <w:jc w:val="left"/>
      </w:pPr>
      <w:r>
        <w:rPr>
          <w:rFonts w:ascii="Nirmala UI" w:hAnsi="Nirmala UI" w:eastAsia="Nirmala UI" w:cs="Nirmala UI"/>
        </w:rPr>
        <w:t>ꯀ꯭ꯔꯤꯁꯠꯅ</w:t>
      </w:r>
      <w:r>
        <w:rPr>
          <w:rFonts w:ascii="Times New Roman" w:hAnsi="Times New Roman" w:eastAsia="Times New Roman" w:cs="Times New Roman"/>
        </w:rPr>
        <w:t xml:space="preserve"> </w:t>
      </w:r>
      <w:r>
        <w:rPr>
          <w:rFonts w:ascii="Nirmala UI" w:hAnsi="Nirmala UI" w:eastAsia="Nirmala UI" w:cs="Nirmala UI"/>
        </w:rPr>
        <w:t>ꯀꯣꯝꯕꯦꯅꯦꯟꯇ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ꯄꯥꯛꯊꯣꯛꯄꯥ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ꯈꯣꯝꯖꯤꯟꯕ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ꯃꯥꯟꯂꯤꯕꯥ</w:t>
      </w:r>
      <w:r>
        <w:rPr>
          <w:rFonts w:ascii="Times New Roman" w:hAnsi="Times New Roman" w:eastAsia="Times New Roman" w:cs="Times New Roman"/>
        </w:rPr>
        <w:t xml:space="preserve"> </w:t>
      </w:r>
      <w:r>
        <w:rPr>
          <w:rFonts w:ascii="Nirmala UI" w:hAnsi="Nirmala UI" w:eastAsia="Nirmala UI" w:cs="Nirmala UI"/>
        </w:rPr>
        <w:t>ꯇꯨꯏꯁꯦꯟ</w:t>
      </w:r>
      <w:r>
        <w:rPr>
          <w:rFonts w:ascii="Times New Roman" w:hAnsi="Times New Roman" w:eastAsia="Times New Roman" w:cs="Times New Roman"/>
        </w:rPr>
        <w:t xml:space="preserve"> </w:t>
      </w:r>
      <w:r>
        <w:rPr>
          <w:rFonts w:ascii="Nirmala UI" w:hAnsi="Nirmala UI" w:eastAsia="Nirmala UI" w:cs="Nirmala UI"/>
        </w:rPr>
        <w:t>ꯃꯔꯤꯁꯨ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ꯀꯨꯟ</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ꯀꯣꯝꯕꯦꯅꯦꯟꯇꯀꯤ</w:t>
      </w:r>
      <w:r>
        <w:rPr>
          <w:rFonts w:ascii="Times New Roman" w:hAnsi="Times New Roman" w:eastAsia="Times New Roman" w:cs="Times New Roman"/>
        </w:rPr>
        <w:t xml:space="preserve"> </w:t>
      </w:r>
      <w:r>
        <w:rPr>
          <w:rFonts w:ascii="Nirmala UI" w:hAnsi="Nirmala UI" w:eastAsia="Nirmala UI" w:cs="Nirmala UI"/>
        </w:rPr>
        <w:t>ꯌꯥꯟꯗꯕ</w:t>
      </w:r>
      <w:r>
        <w:rPr>
          <w:rFonts w:ascii="Times New Roman" w:hAnsi="Times New Roman" w:eastAsia="Times New Roman" w:cs="Times New Roman"/>
        </w:rPr>
        <w:t xml:space="preserve"> </w:t>
      </w:r>
      <w:r>
        <w:rPr>
          <w:rFonts w:ascii="Nirmala UI" w:hAnsi="Nirmala UI" w:eastAsia="Nirmala UI" w:cs="Nirmala UI"/>
        </w:rPr>
        <w:t>ꯂꯩꯅꯖꯕꯅ</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ꯑꯌꯨꯛꯄ</w:t>
      </w:r>
      <w:r>
        <w:rPr>
          <w:rFonts w:ascii="Times New Roman" w:hAnsi="Times New Roman" w:eastAsia="Times New Roman" w:cs="Times New Roman"/>
        </w:rPr>
        <w:t xml:space="preserve"> </w:t>
      </w:r>
      <w:r>
        <w:rPr>
          <w:rFonts w:ascii="Nirmala UI" w:hAnsi="Nirmala UI" w:eastAsia="Nirmala UI" w:cs="Nirmala UI"/>
        </w:rPr>
        <w:t>ꯃꯤꯌꯣꯏꯁꯤꯡ</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ꯊꯥꯗꯣꯛꯈꯤꯕ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ꯃꯥꯟꯂꯤꯕꯥ</w:t>
      </w:r>
      <w:r>
        <w:rPr>
          <w:rFonts w:ascii="Times New Roman" w:hAnsi="Times New Roman" w:eastAsia="Times New Roman" w:cs="Times New Roman"/>
        </w:rPr>
        <w:t xml:space="preserve"> </w:t>
      </w:r>
      <w:r>
        <w:rPr>
          <w:rFonts w:ascii="Nirmala UI" w:hAnsi="Nirmala UI" w:eastAsia="Nirmala UI" w:cs="Nirmala UI"/>
        </w:rPr>
        <w:t>ꯇꯨꯏꯁꯦꯟ</w:t>
      </w:r>
      <w:r>
        <w:rPr>
          <w:rFonts w:ascii="Times New Roman" w:hAnsi="Times New Roman" w:eastAsia="Times New Roman" w:cs="Times New Roman"/>
        </w:rPr>
        <w:t xml:space="preserve"> </w:t>
      </w:r>
      <w:r>
        <w:rPr>
          <w:rFonts w:ascii="Nirmala UI" w:hAnsi="Nirmala UI" w:eastAsia="Nirmala UI" w:cs="Nirmala UI"/>
        </w:rPr>
        <w:t>ꯃꯔꯤꯁꯨ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ꯀꯨꯟ</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ꯈꯣꯟꯖꯤꯜꯂꯤ।</w:t>
      </w:r>
      <w:r>
        <w:rPr>
          <w:rFonts w:ascii="Times New Roman" w:hAnsi="Times New Roman" w:eastAsia="Times New Roman" w:cs="Times New Roman"/>
        </w:rPr>
        <w:t xml:space="preserve"> </w:t>
      </w:r>
      <w:r>
        <w:rPr>
          <w:rFonts w:ascii="Nirmala UI" w:hAnsi="Nirmala UI" w:eastAsia="Nirmala UI" w:cs="Nirmala UI"/>
        </w:rPr>
        <w:t>ꯏꯁ꯭ꯔꯦꯜꯀꯤ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ꯂꯩꯡꯉꯥꯛꯇ</w:t>
      </w:r>
      <w:r>
        <w:rPr>
          <w:rFonts w:ascii="Times New Roman" w:hAnsi="Times New Roman" w:eastAsia="Times New Roman" w:cs="Times New Roman"/>
        </w:rPr>
        <w:t xml:space="preserve"> </w:t>
      </w:r>
      <w:r>
        <w:rPr>
          <w:rFonts w:ascii="Nirmala UI" w:hAnsi="Nirmala UI" w:eastAsia="Nirmala UI" w:cs="Nirmala UI"/>
        </w:rPr>
        <w:t>ꯄꯥꯡꯊꯣꯛꯈꯤꯕ</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BC 723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ꯍꯧꯖꯤꯛꯈꯤꯕ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1798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ꯂꯣꯏꯁꯤꯟꯈꯤꯕ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ꯃꯥꯟꯂꯤꯕꯥ</w:t>
      </w:r>
      <w:r>
        <w:rPr>
          <w:rFonts w:ascii="Times New Roman" w:hAnsi="Times New Roman" w:eastAsia="Times New Roman" w:cs="Times New Roman"/>
        </w:rPr>
        <w:t xml:space="preserve"> </w:t>
      </w:r>
      <w:r>
        <w:rPr>
          <w:rFonts w:ascii="Nirmala UI" w:hAnsi="Nirmala UI" w:eastAsia="Nirmala UI" w:cs="Nirmala UI"/>
        </w:rPr>
        <w:t>ꯇꯨꯏꯁꯦꯟ</w:t>
      </w:r>
      <w:r>
        <w:rPr>
          <w:rFonts w:ascii="Times New Roman" w:hAnsi="Times New Roman" w:eastAsia="Times New Roman" w:cs="Times New Roman"/>
        </w:rPr>
        <w:t xml:space="preserve"> </w:t>
      </w:r>
      <w:r>
        <w:rPr>
          <w:rFonts w:ascii="Nirmala UI" w:hAnsi="Nirmala UI" w:eastAsia="Nirmala UI" w:cs="Nirmala UI"/>
        </w:rPr>
        <w:t>ꯃꯔꯤꯁꯨ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ꯀꯨꯟꯒꯤ</w:t>
      </w:r>
      <w:r>
        <w:rPr>
          <w:rFonts w:ascii="Times New Roman" w:hAnsi="Times New Roman" w:eastAsia="Times New Roman" w:cs="Times New Roman"/>
        </w:rPr>
        <w:t xml:space="preserve"> </w:t>
      </w:r>
      <w:r>
        <w:rPr>
          <w:rFonts w:ascii="Nirmala UI" w:hAnsi="Nirmala UI" w:eastAsia="Nirmala UI" w:cs="Nirmala UI"/>
        </w:rPr>
        <w:t>ꯊꯥꯖꯤꯟꯕꯨ</w:t>
      </w:r>
      <w:r>
        <w:rPr>
          <w:rFonts w:ascii="Times New Roman" w:hAnsi="Times New Roman" w:eastAsia="Times New Roman" w:cs="Times New Roman"/>
        </w:rPr>
        <w:t xml:space="preserve"> </w:t>
      </w:r>
      <w:r>
        <w:rPr>
          <w:rFonts w:ascii="Nirmala UI" w:hAnsi="Nirmala UI" w:eastAsia="Nirmala UI" w:cs="Nirmala UI"/>
        </w:rPr>
        <w:t>ꯃꯤꯑꯣꯏꯗꯨꯅ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538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ꯑꯅꯤꯃꯛꯁꯤꯡ</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ꯄꯨꯊꯣꯛꯂꯤ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ꯃꯥꯟꯂꯤꯕꯥ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ꯇꯔꯥꯟꯃꯔꯨꯛ</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ꯍꯨꯛ</w:t>
      </w:r>
      <w:r>
        <w:rPr>
          <w:rFonts w:ascii="Times New Roman" w:hAnsi="Times New Roman" w:eastAsia="Times New Roman" w:cs="Times New Roman"/>
        </w:rPr>
        <w:t xml:space="preserve"> </w:t>
      </w:r>
      <w:r>
        <w:rPr>
          <w:rFonts w:ascii="Nirmala UI" w:hAnsi="Nirmala UI" w:eastAsia="Nirmala UI" w:cs="Nirmala UI"/>
        </w:rPr>
        <w:t>ꯍꯨꯛꯆꯤꯅꯕꯥ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ꯁꯦꯝꯒꯠꯂꯤ।</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ꯍꯤꯗꯥꯛꯂꯤꯕꯥꯁꯤꯡꯅꯥ</w:t>
      </w:r>
      <w:r>
        <w:rPr>
          <w:rFonts w:ascii="Times New Roman" w:hAnsi="Times New Roman" w:eastAsia="Times New Roman" w:cs="Times New Roman"/>
        </w:rPr>
        <w:t xml:space="preserve"> </w:t>
      </w:r>
      <w:r>
        <w:rPr>
          <w:rFonts w:ascii="Nirmala UI" w:hAnsi="Nirmala UI" w:eastAsia="Nirmala UI" w:cs="Nirmala UI"/>
        </w:rPr>
        <w:t>ꯁꯦꯟꯇꯨꯋꯥꯔꯤ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ꯍꯣꯁ꯭ꯇꯀꯤ</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ꯇꯥꯡꯅꯕꯨ</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ꯄꯥꯄꯥꯜꯏꯖꯝꯅꯥ</w:t>
      </w:r>
      <w:r>
        <w:rPr>
          <w:rFonts w:ascii="Times New Roman" w:hAnsi="Times New Roman" w:eastAsia="Times New Roman" w:cs="Times New Roman"/>
        </w:rPr>
        <w:t xml:space="preserve"> </w:t>
      </w:r>
      <w:r>
        <w:rPr>
          <w:rFonts w:ascii="Nirmala UI" w:hAnsi="Nirmala UI" w:eastAsia="Nirmala UI" w:cs="Nirmala UI"/>
        </w:rPr>
        <w:t>ꯄꯥꯡꯊꯣꯛꯈꯤꯕ</w:t>
      </w:r>
      <w:r>
        <w:rPr>
          <w:rFonts w:ascii="Times New Roman" w:hAnsi="Times New Roman" w:eastAsia="Times New Roman" w:cs="Times New Roman"/>
        </w:rPr>
        <w:t xml:space="preserve"> </w:t>
      </w:r>
      <w:r>
        <w:rPr>
          <w:rFonts w:ascii="Nirmala UI" w:hAnsi="Nirmala UI" w:eastAsia="Nirmala UI" w:cs="Nirmala UI"/>
        </w:rPr>
        <w:t>ꯃꯊꯛ</w:t>
      </w:r>
      <w:r>
        <w:rPr>
          <w:rFonts w:ascii="Times New Roman" w:hAnsi="Times New Roman" w:eastAsia="Times New Roman" w:cs="Times New Roman"/>
        </w:rPr>
        <w:t xml:space="preserve"> </w:t>
      </w:r>
      <w:r>
        <w:rPr>
          <w:rFonts w:ascii="Nirmala UI" w:hAnsi="Nirmala UI" w:eastAsia="Nirmala UI" w:cs="Nirmala UI"/>
        </w:rPr>
        <w:t>ꯇꯥꯡꯅꯕꯨ</w:t>
      </w:r>
      <w:r>
        <w:rPr>
          <w:rFonts w:ascii="Times New Roman" w:hAnsi="Times New Roman" w:eastAsia="Times New Roman" w:cs="Times New Roman"/>
        </w:rPr>
        <w:t xml:space="preserve"> </w:t>
      </w:r>
      <w:r>
        <w:rPr>
          <w:rFonts w:ascii="Nirmala UI" w:hAnsi="Nirmala UI" w:eastAsia="Nirmala UI" w:cs="Nirmala UI"/>
        </w:rPr>
        <w:t>ꯎꯠꯂꯤ।</w:t>
      </w:r>
    </w:p>
    <w:p>
      <w:pPr>
        <w:pStyle w:val="ArticleBody"/>
        <w:jc w:val="left"/>
      </w:pPr>
      <w:r>
        <w:rPr>
          <w:rFonts w:ascii="Times New Roman" w:hAnsi="Times New Roman" w:eastAsia="Times New Roman" w:cs="Times New Roman"/>
        </w:rPr>
        <w:t>“</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पल्ट</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राज्यमाथि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677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शापको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फुक्नुपर्ने</w:t>
      </w:r>
      <w:r>
        <w:rPr>
          <w:rFonts w:ascii="Times New Roman" w:hAnsi="Times New Roman" w:eastAsia="Times New Roman" w:cs="Times New Roman"/>
        </w:rPr>
        <w:t xml:space="preserve"> </w:t>
      </w:r>
      <w:r>
        <w:rPr>
          <w:rFonts w:ascii="Nirmala UI" w:hAnsi="Nirmala UI" w:eastAsia="Nirmala UI" w:cs="Nirmala UI"/>
        </w:rPr>
        <w:t>जुबिलीको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बजाइएर</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प्रतिरूपात्मक</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दिनले</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अवधिभित्र</w:t>
      </w:r>
      <w:r>
        <w:rPr>
          <w:rFonts w:ascii="Times New Roman" w:hAnsi="Times New Roman" w:eastAsia="Times New Roman" w:cs="Times New Roman"/>
        </w:rPr>
        <w:t xml:space="preserve"> </w:t>
      </w:r>
      <w:r>
        <w:rPr>
          <w:rFonts w:ascii="Nirmala UI" w:hAnsi="Nirmala UI" w:eastAsia="Nirmala UI" w:cs="Nirmala UI"/>
        </w:rPr>
        <w:t>सातको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चक्रसँग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जुबिलीको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बजाइनु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Times New Roman" w:hAnsi="Times New Roman" w:eastAsia="Times New Roman" w:cs="Times New Roman"/>
        </w:rPr>
        <w:t>Mas nos dias da voz do sétimo anjo, quando ele começar a soar, cumprir-se-á o mistério de Deus, como ele anunciou aos seus servos, os profetas. Apocalipse 10:7.</w:t>
      </w:r>
    </w:p>
    <w:p>
      <w:pPr>
        <w:pStyle w:val="ArticleBody"/>
        <w:jc w:val="left"/>
      </w:pPr>
      <w:r>
        <w:rPr>
          <w:rFonts w:ascii="Leelawadee UI" w:hAnsi="Leelawadee UI" w:eastAsia="Leelawadee UI" w:cs="Leelawadee UI"/>
        </w:rPr>
        <w:t>ការផ្លុំត្រែទីប្រាំពីរ</w:t>
      </w:r>
      <w:r>
        <w:rPr>
          <w:rFonts w:ascii="Times New Roman" w:hAnsi="Times New Roman" w:eastAsia="Times New Roman" w:cs="Times New Roman"/>
        </w:rPr>
        <w:t xml:space="preserve"> </w:t>
      </w:r>
      <w:r>
        <w:rPr>
          <w:rFonts w:ascii="Leelawadee UI" w:hAnsi="Leelawadee UI" w:eastAsia="Leelawadee UI" w:cs="Leelawadee UI"/>
        </w:rPr>
        <w:t>ដែលបានចាប់ផ្តើមនៅថ្ងៃទី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តំណាងឲ្យត្រែយូប៊ីលេនៃវដ្តបរិសុទ្ធជាប្រាំពីរ</w:t>
      </w:r>
      <w:r>
        <w:rPr>
          <w:rFonts w:ascii="Times New Roman" w:hAnsi="Times New Roman" w:eastAsia="Times New Roman" w:cs="Times New Roman"/>
        </w:rPr>
        <w:t xml:space="preserve"> </w:t>
      </w:r>
      <w:r>
        <w:rPr>
          <w:rFonts w:ascii="Leelawadee UI" w:hAnsi="Leelawadee UI" w:eastAsia="Leelawadee UI" w:cs="Leelawadee UI"/>
        </w:rPr>
        <w:t>ដូចដែលបានបង្ហាញទុកក្នុង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25</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នៅទីបញ្ចប់</w:t>
      </w:r>
      <w:r>
        <w:rPr>
          <w:rFonts w:ascii="Times New Roman" w:hAnsi="Times New Roman" w:eastAsia="Times New Roman" w:cs="Times New Roman"/>
        </w:rPr>
        <w:t xml:space="preserve"> </w:t>
      </w:r>
      <w:r>
        <w:rPr>
          <w:rFonts w:ascii="Leelawadee UI" w:hAnsi="Leelawadee UI" w:eastAsia="Leelawadee UI" w:cs="Leelawadee UI"/>
        </w:rPr>
        <w:t>ពួកមីល្លឺរ៉ាយត៍មានភាពត្រឹមត្រូវចំពោះការកំណត់កាលបរិច្ឆេទនៃទំនាយរយៈពេលពីរពាន់បីរយឆ្នាំ</w:t>
      </w:r>
      <w:r>
        <w:rPr>
          <w:rFonts w:ascii="Times New Roman" w:hAnsi="Times New Roman" w:eastAsia="Times New Roman" w:cs="Times New Roman"/>
        </w:rPr>
        <w:t xml:space="preserve"> </w:t>
      </w:r>
      <w:r>
        <w:rPr>
          <w:rFonts w:ascii="Leelawadee UI" w:hAnsi="Leelawadee UI" w:eastAsia="Leelawadee UI" w:cs="Leelawadee UI"/>
        </w:rPr>
        <w:t>ហើយសាសនាអាដវិន្ទីសបានមកដល់ការយល់ដឹងអំពីវាបន្ថែមទៀតភ្លាមៗបន្ទាប់ពីការខកចិត្តដ៏ធំ</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ត្បូងមានតម្លៃ</w:t>
      </w:r>
      <w:r>
        <w:rPr>
          <w:rFonts w:ascii="Times New Roman" w:hAnsi="Times New Roman" w:eastAsia="Times New Roman" w:cs="Times New Roman"/>
        </w:rPr>
        <w:t xml:space="preserve">” </w:t>
      </w:r>
      <w:r>
        <w:rPr>
          <w:rFonts w:ascii="Leelawadee UI" w:hAnsi="Leelawadee UI" w:eastAsia="Leelawadee UI" w:cs="Leelawadee UI"/>
        </w:rPr>
        <w:t>របស់មីល្លឺរ៍</w:t>
      </w:r>
      <w:r>
        <w:rPr>
          <w:rFonts w:ascii="Times New Roman" w:hAnsi="Times New Roman" w:eastAsia="Times New Roman" w:cs="Times New Roman"/>
        </w:rPr>
        <w:t xml:space="preserve"> </w:t>
      </w:r>
      <w:r>
        <w:rPr>
          <w:rFonts w:ascii="Leelawadee UI" w:hAnsi="Leelawadee UI" w:eastAsia="Leelawadee UI" w:cs="Leelawadee UI"/>
        </w:rPr>
        <w:t>អំពីរយៈពេលពីរពាន់បីរយឆ្នាំ</w:t>
      </w:r>
      <w:r>
        <w:rPr>
          <w:rFonts w:ascii="Times New Roman" w:hAnsi="Times New Roman" w:eastAsia="Times New Roman" w:cs="Times New Roman"/>
        </w:rPr>
        <w:t xml:space="preserve"> </w:t>
      </w:r>
      <w:r>
        <w:rPr>
          <w:rFonts w:ascii="Leelawadee UI" w:hAnsi="Leelawadee UI" w:eastAsia="Leelawadee UI" w:cs="Leelawadee UI"/>
        </w:rPr>
        <w:t>សព្វថ្ងៃនេះកំពុងភ្លឺចែងចាំងខ្លាំងជាងមុនដប់ដង។</w:t>
      </w:r>
      <w:r>
        <w:rPr>
          <w:rFonts w:ascii="Times New Roman" w:hAnsi="Times New Roman" w:eastAsia="Times New Roman" w:cs="Times New Roman"/>
        </w:rPr>
        <w:t xml:space="preserve"> </w:t>
      </w:r>
      <w:r>
        <w:rPr>
          <w:rFonts w:ascii="Leelawadee UI" w:hAnsi="Leelawadee UI" w:eastAsia="Leelawadee UI" w:cs="Leelawadee UI"/>
        </w:rPr>
        <w:t>លក្ខណៈទំនាយគ្រប់យ៉ាងនៃរយៈពេលទាំងប្រាំពីរ</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ដែលត្រូវបានតំណាងនៅក្នុងរយៈពេលពីរពាន់បីរយឆ្នាំ</w:t>
      </w:r>
      <w:r>
        <w:rPr>
          <w:rFonts w:ascii="Times New Roman" w:hAnsi="Times New Roman" w:eastAsia="Times New Roman" w:cs="Times New Roman"/>
        </w:rPr>
        <w:t xml:space="preserve"> </w:t>
      </w:r>
      <w:r>
        <w:rPr>
          <w:rFonts w:ascii="Leelawadee UI" w:hAnsi="Leelawadee UI" w:eastAsia="Leelawadee UI" w:cs="Leelawadee UI"/>
        </w:rPr>
        <w:t>មានទំនាក់ទំនងទំនាយដោយផ្ទាល់ជាមួយនឹងរយៈពេលពីរពាន់ប្រាំរយម្ភៃឆ្នាំ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25 </w:t>
      </w:r>
      <w:r>
        <w:rPr>
          <w:rFonts w:ascii="Leelawadee UI" w:hAnsi="Leelawadee UI" w:eastAsia="Leelawadee UI" w:cs="Leelawadee UI"/>
        </w:rPr>
        <w:t>និង</w:t>
      </w:r>
      <w:r>
        <w:rPr>
          <w:rFonts w:ascii="Times New Roman" w:hAnsi="Times New Roman" w:eastAsia="Times New Roman" w:cs="Times New Roman"/>
        </w:rPr>
        <w:t xml:space="preserve"> 26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Milleritene forkastet den frafalne protestantismens og katolisismens påstand om at «røverne av ditt folk», som «opphøyet seg», og «falt», var et symbol på Antiochos Epifanes, og de hadde rett. De kjente og forsvarte sannheten om at det er Roma som i Guds profetiske ord fremstilles som «røverne av ditt folk som stadfestet synet», ikke en ukjent og historisk ubetydelig syrisk konge som stadfestet synet.</w:t>
      </w:r>
    </w:p>
    <w:p>
      <w:pPr>
        <w:pStyle w:val="ArticleBody"/>
        <w:jc w:val="left"/>
      </w:pPr>
      <w:r>
        <w:rPr>
          <w:rFonts w:ascii="Times New Roman" w:hAnsi="Times New Roman" w:eastAsia="Times New Roman" w:cs="Times New Roman"/>
        </w:rPr>
        <w:t>Asofia wɔn a wɔyɛ Adventist nyamekyerɛfo no kyerɛkyerɛ sɛ “wo man no mu awifodefo” no yɛ Antiochus Epiphanes. Nnɛ yi, adwene no a wɔde gyinaa Millerfo abakɔsɛm mu maa ɛdaa adi sɛ apam a edi kan no mu nnipa a na wɔretwa wɔn ho akɔ nkyɛn no ante, na wɔrentumi ante anisoadehu no ase (a wɔde “wo man no mu awifodefo” no ntease pa na esi hɔ no), saa ara na apam a edi kan no mu nnipa a mprempren bio wɔretwa wɔn ho akɔ nkyɛn no resan de repaem bio.</w:t>
      </w:r>
    </w:p>
    <w:p>
      <w:pPr>
        <w:pStyle w:val="ArticleScripture"/>
        <w:jc w:val="left"/>
      </w:pPr>
      <w:r>
        <w:rPr>
          <w:rFonts w:ascii="Times New Roman" w:hAnsi="Times New Roman" w:eastAsia="Times New Roman" w:cs="Times New Roman"/>
        </w:rPr>
        <w:t>Là où il n’y a point de vision, le peuple périt; mais celui qui garde la loi, heureux est-il. Proverbes 29:18.</w:t>
      </w:r>
    </w:p>
    <w:p>
      <w:pPr>
        <w:pStyle w:val="ArticleBody"/>
        <w:jc w:val="left"/>
      </w:pPr>
      <w:r>
        <w:rPr>
          <w:rFonts w:ascii="Times New Roman" w:hAnsi="Times New Roman" w:eastAsia="Times New Roman" w:cs="Times New Roman"/>
        </w:rPr>
        <w:t>I Milleriti insegnarono correttamente che i duemilacinquecentoventi anni («sette tempi») di Levitico ventisei costituivano la più lunga e ultima profezia cronologica della Bibbia, ma l’Avventismo laodicense rigettò quel «gioiello» nel 1863, e oggi si può vedere, (da parte di coloro che desiderano vedere), che i Milleriti non solo avevano ragione nell’identificare i «sette tempi» come la più lunga profezia cronologica della Bibbia, ma anche che «la maledizione», che è l’indignazione di Dio, fu eseguita contro entrambi i regni d’Israele, quello del nord e quello del sud.</w:t>
      </w:r>
    </w:p>
    <w:p>
      <w:pPr>
        <w:pStyle w:val="ArticleBody"/>
        <w:jc w:val="left"/>
      </w:pPr>
      <w:r>
        <w:rPr>
          <w:rFonts w:ascii="Times New Roman" w:hAnsi="Times New Roman" w:eastAsia="Times New Roman" w:cs="Times New Roman"/>
        </w:rPr>
        <w:t>Na lelo, na rawa ni laurai ni na itinitini yadua ni veicudruvi e rua oya, era vosa kina na ivola i Taniela (me vaka talega na nodra cakava eso tale na parofita), era vaka na rua na ivakataotioti ni dua na gauna ni vasagavulu ka ono na yabaki, ni a tauyavutaka kina o Karisito na valenisoro vaka-Millerite, me vaka e vakaraitaki taumada ena vasagavulu ka ono na siga e tiko kina o Mosese ena ulunivanua ni sa ciqoma tiko na vakasala me tara na valeniveitavaki e na veikau lalai; kei na vasagavulu ka ono na yabaki ni vakavoui ni valenisoro mai vei Eroti, ka era tukuna tiko kina na Farisi ena nodra veivosaki kei Karisito me baleti Koya “na vakaturi tale” ena vuku ni kena vakasavasavataki e dua na valenisoro ka a “vakacacani” oti mai vei ira na dauveivoli kei ira na dauveisau ilavo, kei na vakaturi talega ni Nona valenisoro vakatamata ka a buli ena vasagavulu ka ono na chromosome. Na dina yavutaki vaka-Millerite e dodonu ga me vaka e se dau tu ga e liu, ia oqo sa vakarautaki me tini na kena titobu cake.</w:t>
      </w:r>
    </w:p>
    <w:p>
      <w:pPr>
        <w:pStyle w:val="ArticleBody"/>
        <w:jc w:val="left"/>
      </w:pPr>
      <w:r>
        <w:rPr>
          <w:rFonts w:ascii="Times New Roman" w:hAnsi="Times New Roman" w:eastAsia="Times New Roman" w:cs="Times New Roman"/>
        </w:rPr>
        <w:t>Aujourd’hui, il est possible de voir (pour ceux qui veulent bien voir) que, lorsque le Christ se présenta comme Palmoni (le Merveilleux Compteur, ou le Compteur des Secrets) au treizième verset du chapitre huit de Daniel, Il mettait en évidence le lien entre une vision représentant une période de deux mille trois cents ans et une autre vision représentant deux mille cinq cent vingt ans. Lorsque la relation entre ces deux périodes prophétiques est reconnue, on peut voir qu’elles sont directement liées aux mille deux cent soixante années de domination papale, lesquelles sont à leur tour liées aux mille deux cent quatre-vingt-dix années de Daniel douze, ainsi qu’aux mille trois cent trente-cinq années du même verset.</w:t>
      </w:r>
    </w:p>
    <w:p>
      <w:pPr>
        <w:pStyle w:val="ArticleBody"/>
        <w:jc w:val="left"/>
      </w:pPr>
      <w:r>
        <w:rPr>
          <w:rFonts w:ascii="Times New Roman" w:hAnsi="Times New Roman" w:eastAsia="Times New Roman" w:cs="Times New Roman"/>
        </w:rPr>
        <w:t>Il existe bien davantage de liens directs entre les périodes prophétiques associées aux deux visions des versets treize et quatorze de Daniel huit, mais ils ne sont reconnus que par ceux qui veulent voir. Mais aujourd’hui, au-delà des liens entre toutes les périodes de temps réunies par les deux visions, se trouve la révélation du nom de Palmoni (le Merveilleux Compteur, ou le Compteur des Secrets). Les millérites avaient raison au sujet des deux versets, mais de façon limitée, et aujourd’hui l’adventisme est tout simplement dans des ténèbres complètes et totales.</w:t>
      </w:r>
    </w:p>
    <w:p>
      <w:pPr>
        <w:pStyle w:val="ArticleScripture"/>
        <w:jc w:val="left"/>
      </w:pPr>
      <w:r>
        <w:rPr>
          <w:rFonts w:ascii="Times New Roman" w:hAnsi="Times New Roman" w:eastAsia="Times New Roman" w:cs="Times New Roman"/>
        </w:rPr>
        <w:t>Restez frappés de stupeur, et soyez dans l’étonnement; poussez des cris, et criez: ils sont ivres, mais non de vin; ils chancellent, mais non par l’effet des boissons fortes. Car l’Éternel a répandu sur vous un esprit d’assoupissement profond, et il a fermé vos yeux; il a couvert les prophètes et vos chefs, les voyants. Et toute vision est devenue pour vous comme les paroles d’un livre scellé, qu’on remet à un homme instruit, en disant: Lis donc ceci, je te prie; et il répond: Je ne le puis, car il est scellé. Puis on remet le livre à un homme qui n’est pas instruit, en disant: Lis donc ceci, je te prie; et il répond: Je ne suis pas instruit. Ésaïe 29:9–12.</w:t>
      </w:r>
    </w:p>
    <w:p>
      <w:pPr>
        <w:pStyle w:val="ArticleBody"/>
        <w:jc w:val="left"/>
      </w:pPr>
      <w:r>
        <w:rPr>
          <w:rFonts w:ascii="Times New Roman" w:hAnsi="Times New Roman" w:eastAsia="Times New Roman" w:cs="Times New Roman"/>
        </w:rPr>
        <w:t>ערלית ווייט מזהה כי לוויליאם מילר ניתן “אור גדול” על ספר ההתגלות, אך הבנתו את פרקים י״ב, י״ג, י״ז וי״ח של ספר ההתגלות הייתה, בפשטות, בלתי נכונה. אותן הבנות שגויות אינן מיוצגות על שני הלוחות הקדושים, אולם מה שמיוצג מתוך ספר ההתגלות, פרק ט׳, הוא ה“פנינה” שלפיה האסלאם מיוצג באמצעות שלוש ה"אויים".</w:t>
      </w:r>
    </w:p>
    <w:p>
      <w:pPr>
        <w:pStyle w:val="ArticleScripture"/>
        <w:jc w:val="left"/>
      </w:pPr>
      <w:r>
        <w:rPr>
          <w:rFonts w:ascii="Times New Roman" w:hAnsi="Times New Roman" w:eastAsia="Times New Roman" w:cs="Times New Roman"/>
        </w:rPr>
        <w:t>“Ko dai ngalngol e yimɓe njiɗi e dow Deftere Wahayu no deftere sirru, e no nde waɗi ɓurɗo waɗde ko neewi e nder goɗɗe bagianuuji Binndiiji Ceɗɗi. Ammaa mi yi’i wonde ndee deftere e no woni wahayu mo hokkaaɗo ngam nafiiɗe kaɓe ɓe njooɗotoo e balɗe cakitiiɗe, ngam ɗowirde ɓe e anndude no ɓe ngarii nguurndam maɓɓe e ko woni waajib maɓɓe. Alla waɗi hakkiilo William Miller yeeso annabaakuji ɗii, e O hokkiimo jayngol mawngol dow Deftere Wahayu.” Early Writings, 231.</w:t>
      </w:r>
    </w:p>
    <w:p>
      <w:pPr>
        <w:pStyle w:val="ArticleBody"/>
        <w:jc w:val="left"/>
      </w:pPr>
      <w:r>
        <w:rPr>
          <w:rFonts w:ascii="Times New Roman" w:hAnsi="Times New Roman" w:eastAsia="Times New Roman" w:cs="Times New Roman"/>
        </w:rPr>
        <w:t>Iebɔŋgɔ “kekɛngɛ kekɛ” na miñɔŋ mi Sœur White ekokiya mpenza. Miller asosolaki mangomba, bilembo mpe bakelelo ya Emoniseli, mpo baanzelu basantu “batambwisaki makanisi na ye” na makambo oyo. “Kekɛngɛ kekɛ” oyo epesamaki epai ya Miller elakisamaki likoló ya bamesa mibale ya bulee, mpe solo ya mateya oyo ezalaki “kekɛngɛ kekɛ” eyebanamaki na ndɔtɔ na ye lokola “mayaka”. Adventisme ezwaki “kekɛngɛ kekɛ” yango mpe ebandaki kozipa yango na mayaka ya lokuta kobanda na 1863. Mobeko ya “pole” ezali ete “pole” nde oyo Klisto asalelaka mpo na kosambisa moto to bato moko.</w:t>
      </w:r>
    </w:p>
    <w:p>
      <w:pPr>
        <w:pStyle w:val="ArticleBody"/>
        <w:jc w:val="left"/>
      </w:pPr>
      <w:r>
        <w:rPr>
          <w:rFonts w:ascii="Times New Roman" w:hAnsi="Times New Roman" w:eastAsia="Times New Roman" w:cs="Times New Roman"/>
        </w:rPr>
        <w:t>“</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1856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ऐडवेंटिज़्म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ऐडवेंटिज़्म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दिया।</w:t>
      </w:r>
    </w:p>
    <w:p>
      <w:pPr>
        <w:pStyle w:val="ArticleScripture"/>
        <w:jc w:val="left"/>
      </w:pPr>
      <w:r>
        <w:rPr>
          <w:rFonts w:ascii="Times New Roman" w:hAnsi="Times New Roman" w:eastAsia="Times New Roman" w:cs="Times New Roman"/>
        </w:rPr>
        <w:t>«Ο Εκείνος που βλέπει κάτω από την επιφάνεια, που διαβάζει τις καρδιές όλων των ανθρώπων, λέγει για εκείνους που έχουν λάβει “μεγάλο φως”: “Δεν θλίβονται ούτε μένουν κατάπληκτοι εξαιτίας της ηθικής και πνευματικής τους καταστάσεως.” Ναι, “εξέλεξαν τας οδούς αυτών, και η ψυχή αυτών ευαρεστείται εις τα βδελύγματα αυτών. Και εγώ θέλω εκλέξει τας πλάνας αυτών και θέλω επιφέρει επ’ αυτούς εκείνα τα οποία φοβούνται· διότι όταν εκάλεσα, ουδείς απεκρίθη· όταν ελάλησα, δεν ήκουσαν· αλλά έπραξαν το πονηρόν ενώπιόν Μου, και εξέλεξαν εκείνο εις το οποίον δεν ευηρεστήθην.” “Ο Θεός θέλει πέμψει εις αυτούς ενέργειαν πλάνης, ώστε να πιστεύσωσιν εις το ψεύδος,” επειδή “δεν εδέχθησαν την αγάπην της αληθείας, διά να σωθώσιν,” “αλλά ηυδόκησαν εις την αδικίαν.” Ησαΐας 66:3, 4· 2 Θεσσαλονικείς 2:11, 10, 12.»</w:t>
      </w:r>
    </w:p>
    <w:p>
      <w:pPr>
        <w:pStyle w:val="ArticleScripture"/>
        <w:jc w:val="left"/>
      </w:pP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बैठते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संपत्ति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टेस्टिमोनीज़</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8, 249, 250.</w:t>
      </w:r>
    </w:p>
    <w:p>
      <w:pPr>
        <w:pStyle w:val="ArticleBody"/>
        <w:jc w:val="left"/>
      </w:pPr>
      <w:r>
        <w:rPr>
          <w:rFonts w:ascii="Times New Roman" w:hAnsi="Times New Roman" w:eastAsia="Times New Roman" w:cs="Times New Roman"/>
        </w:rPr>
        <w:t>Laodicea, bua Adventism in 1856 a hnuai ber chu, mi pakhatah “êng nasa tak” an lo dawn tawh chungchang a entîr a; nimahsela, chuan Second Thessalonians-a “thlêmna nasa tak” an dawn tûr an ni a, chutih lai chuan anmahni’n pawisa lem leh nguh hlui lem an hman chhuah avânga an din bulpui dik lo chu Pathian ruat a ni tih an ring tlat reng a; mahse, a tak takah chuan chu bulpui chu vâlvung chunga sa a ni. Adventism chu “kohhran êng nasa tak, finhriatna nasa tak nei tawh” a ni a; mahse, “kohhran” chuan “Lalpa’n” a “thuchah a rawn thawn” chu a paih a, chumi hnuah chuan “sawi dân awm lo tak, ngaihtuahna dik lo leh zirtîrna dik lo” a dawn ta a ni.</w:t>
      </w:r>
    </w:p>
    <w:p>
      <w:pPr>
        <w:pStyle w:val="ArticleScripture"/>
        <w:jc w:val="left"/>
      </w:pPr>
      <w:r>
        <w:rPr>
          <w:rFonts w:ascii="Times New Roman" w:hAnsi="Times New Roman" w:eastAsia="Times New Roman" w:cs="Times New Roman"/>
        </w:rPr>
        <w:t>«Les ministres non sanctifiés se rangent contre Dieu. Ils louent le Christ et le dieu de ce monde d’un même souffle. Tout en professant recevoir le Christ, ils embrassent Barabbas, et par leurs actes disent: “Non pas cet Homme, mais Barabbas.” Que tous ceux qui lisent ces lignes prennent garde. Satan s’est vanté de ce qu’il peut faire. Il pense dissoudre l’unité dont le Christ a prié qu’elle puisse exister dans Son Église. Il dit: “Je sortirai, et je serai un esprit de mensonge pour séduire ceux que je pourrai, afin de critiquer, de condamner et de falsifier.” Que le fils de la tromperie et du faux témoignage soit accueilli par “une église qui a eu une grande lumière”, de grandes preuves, et cette église rejettera le message que le Seigneur a envoyé, et recevra les assertions les plus déraisonnables, ainsi que de fausses suppositions et de fausses théories. Satan rit de leur folie, car il sait ce qu’est la vérité.»</w:t>
      </w:r>
    </w:p>
    <w:p>
      <w:pPr>
        <w:pStyle w:val="ArticleScripture"/>
        <w:jc w:val="left"/>
      </w:pPr>
      <w:r>
        <w:rPr>
          <w:rFonts w:ascii="Times New Roman" w:hAnsi="Times New Roman" w:eastAsia="Times New Roman" w:cs="Times New Roman"/>
        </w:rPr>
        <w:t>«Бисёриҳо дар минбарҳои мо хоҳанд истод, дар дастҳои худ машъали нубуввати дурӯғинро дошта, ки аз машъали дӯзахии Шайтон афрӯхта шудааст. Агар шакку беимонӣ парвариш ёбанд, хизматгузорони вафодор аз миёни он қавме бардошта хоҳанд шуд, ки гумон мекунанд бисёр чизҳоро медонанд. “Агар ту медонистӣ,” гуфт Масеҳ, “ҳадди ақал дар ҳамин рӯзи худат он чизҳоеро, ки ба сулҳи ту тааллуқ доранд! Аммо ҳоло онҳо аз чашмони ту пинҳон шудаанд.”»</w:t>
      </w:r>
    </w:p>
    <w:p>
      <w:pPr>
        <w:pStyle w:val="ArticleScripture"/>
        <w:jc w:val="left"/>
      </w:pPr>
      <w:r>
        <w:rPr>
          <w:rFonts w:ascii="Times New Roman" w:hAnsi="Times New Roman" w:eastAsia="Times New Roman" w:cs="Times New Roman"/>
        </w:rPr>
        <w:t>“Tanrı’nın temeli yine de sapasağlam durmaktadır. Rab kendisine ait olanları bilir. Kutsanmış hizmetkârın ağzında hile bulunmamalıdır. O, gün gibi açık, kötülüğün her lekesinden arınmış olmalıdır. Kutsanmış bir hizmet ve yayın faaliyeti, gerçeğin ışığını bu sapkın kuşağın üzerine çaktırmada bir kudret olacaktır. Işık, kardeşler, daha çok ışığa ihtiyacımız var. Siyon’da boruyu çalın; kutsal dağda alarm verin. Rab’bin ordusunu, kutsanmış yüreklerle, Rab’bin halkına ne söyleyeceğini işitmek üzere toplayın; çünkü O, işitmek isteyen herkes için artan ışık vermiştir. Onlar silahlanıp donansınlar ve savaşa çıksınlar—güçlülere karşı Rab’bin yardımına. Tanrı’nın Kendisi İsrail için çalışacaktır. Her yalancı dil susturulacaktır. Meleklerin elleri kurulmakta olan aldatıcı düzenleri devirecektir. Şeytan’ın surları asla üstün gelmeyecektir. Zafer üçüncü meleğin mesajına eşlik edecektir. Rab’bin ordusunun Başbuğu nasıl Eriha’nın surlarını yıktıysa, Rab’bin buyruklarını tutan halkı da öyle zafer kazanacak ve karşı koyan bütün unsurlar yenilgiye uğrayacaktır. Tanrı’nın kullarından, kendilerine gökten gönderilmiş bir mesajla gelmiş olanlardan hiçbir can şikâyet etmesin. Artık onlarda kusur aramayın ve, ‘Fazla keskinler; çok sert konuşuyorlar,’ demeyin. Sert konuşabilirler; ama buna ihtiyaç yok mudur? Eğer O’nun sesine ya da mesajına kulak vermezlerse, Tanrı dinleyenlerin kulaklarını çınlatacaktır. Tanrı, O’nun sözüne direnenleri mahkûm edecektir.”</w:t>
      </w:r>
    </w:p>
    <w:p>
      <w:pPr>
        <w:pStyle w:val="ArticleScripture"/>
        <w:jc w:val="left"/>
      </w:pPr>
      <w:r>
        <w:rPr>
          <w:rFonts w:ascii="Times New Roman" w:hAnsi="Times New Roman" w:eastAsia="Times New Roman" w:cs="Times New Roman"/>
        </w:rPr>
        <w:t>«Satan amean antolatze-neurri guztiak, gure artean herri gisa ezer sar ez dadin gu gaitzesteko eta zuzentzeko, eta gure erruak baztertzera exhortatzeko. Baina bada Jainkoaren kutxa eramango duen herri bat. Guregandik batzuk irtengo dira, eta ez dute gehiago kutxa eramango. Baina hauek ezin dituzte hormak eraiki egiari bidea eragozteko; izan ere, hark aurrera eta gora egingo du azkeneraino. Iraganean Jainkoak gizonak altxatu ditu, eta oraindik ere baditu aukerako gizonak zain, prestatuta Haren agindua betetzeko—gizonak, mortero ondu gabez igurtzitako hormak besterik ez diren murriztapenak zeharkatuko dituztenak. Jainkoak bere Espiritua gizonen gain jartzen duenean, lanean jardungo dute. Jaunaren hitza hots egingo dute; beren ahotsa turuta baten antzera goratuko dute. Egia ez da apalduko, ezta haren eskuetan bere indarra galduko ere. Herriari bere transgresioak erakutsiko dizkiote, eta Jakoben etxeari bere bekatuak». Testimonies to Ministers, 409–411.</w:t>
      </w:r>
    </w:p>
    <w:p>
      <w:pPr>
        <w:pStyle w:val="ArticleBody"/>
        <w:jc w:val="left"/>
      </w:pPr>
      <w:r>
        <w:rPr>
          <w:rFonts w:ascii="Times New Roman" w:hAnsi="Times New Roman" w:eastAsia="Times New Roman" w:cs="Times New Roman"/>
        </w:rPr>
        <w:t>Tambua ishara ya kishetani ya “ya daima” kuwa ni ishara ya Kristo ni kumsifu “Kristo na mungu wa ulimwengu huu kwa pumzi ileile.” Ingawa kwa madai wanampokea Kristo, wao humkumbatia Baraba, na kwa matendo yao husema, “Si Huyu, bali Baraba.” Kweli zilizowakilishwa katika ndoto ya Miller kama “vito”, na pia zilizoonyeshwa kwa picha juu ya yale meza mbili takatifu, ndizo “nuru kuu,” ambayo Miller alipewa, na ambayo Uadventista umeikataa.</w:t>
      </w:r>
    </w:p>
    <w:p>
      <w:pPr>
        <w:pStyle w:val="ArticleBody"/>
        <w:jc w:val="left"/>
      </w:pPr>
      <w:r>
        <w:rPr>
          <w:rFonts w:ascii="Times New Roman" w:hAnsi="Times New Roman" w:eastAsia="Times New Roman" w:cs="Times New Roman"/>
        </w:rPr>
        <w:t>Ils prétendent louer le Christ à l’aide d’un symbole satanique, et affirment qu’ils se tiennent sur le fondement de Dieu, alors qu’il s’agit d’un fondement contrefait qui entraîne une puissante séduction sur tous ceux qui prennent position sur cette structure doctrinale défectueuse. Il n’y a rien de nouveau sous le soleil, et l’Israël moderne ne fait que marcher dans les pas prophétiques de l’Israël ancien.</w:t>
      </w:r>
    </w:p>
    <w:p>
      <w:pPr>
        <w:pStyle w:val="ArticleScripture"/>
        <w:jc w:val="left"/>
      </w:pPr>
      <w:r>
        <w:rPr>
          <w:rFonts w:ascii="Times New Roman" w:hAnsi="Times New Roman" w:eastAsia="Times New Roman" w:cs="Times New Roman"/>
        </w:rPr>
        <w:t>«</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প্রাণকে</w:t>
      </w:r>
      <w:r>
        <w:rPr>
          <w:rFonts w:ascii="Times New Roman" w:hAnsi="Times New Roman" w:eastAsia="Times New Roman" w:cs="Times New Roman"/>
        </w:rPr>
        <w:t xml:space="preserve"> </w:t>
      </w:r>
      <w:r>
        <w:rPr>
          <w:rFonts w:ascii="Nirmala UI" w:hAnsi="Nirmala UI" w:eastAsia="Nirmala UI" w:cs="Nirmala UI"/>
        </w:rPr>
        <w:t>ভারাক্রান্ত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প্রেমের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অভাব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অবিরাম</w:t>
      </w:r>
      <w:r>
        <w:rPr>
          <w:rFonts w:ascii="Times New Roman" w:hAnsi="Times New Roman" w:eastAsia="Times New Roman" w:cs="Times New Roman"/>
        </w:rPr>
        <w:t xml:space="preserve"> </w:t>
      </w:r>
      <w:r>
        <w:rPr>
          <w:rFonts w:ascii="Nirmala UI" w:hAnsi="Nirmala UI" w:eastAsia="Nirmala UI" w:cs="Nirmala UI"/>
        </w:rPr>
        <w:t>প্রতিরোধের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হারিয়ে</w:t>
      </w:r>
      <w:r>
        <w:rPr>
          <w:rFonts w:ascii="Times New Roman" w:hAnsi="Times New Roman" w:eastAsia="Times New Roman" w:cs="Times New Roman"/>
        </w:rPr>
        <w:t xml:space="preserve"> </w:t>
      </w:r>
      <w:r>
        <w:rPr>
          <w:rFonts w:ascii="Nirmala UI" w:hAnsi="Nirmala UI" w:eastAsia="Nirmala UI" w:cs="Nirmala UI"/>
        </w:rPr>
        <w:t>গেছে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প্রভাব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সক্রিয়</w:t>
      </w:r>
      <w:r>
        <w:rPr>
          <w:rFonts w:ascii="Times New Roman" w:hAnsi="Times New Roman" w:eastAsia="Times New Roman" w:cs="Times New Roman"/>
        </w:rPr>
        <w:t xml:space="preserve"> </w:t>
      </w:r>
      <w:r>
        <w:rPr>
          <w:rFonts w:ascii="Nirmala UI" w:hAnsi="Nirmala UI" w:eastAsia="Nirmala UI" w:cs="Nirmala UI"/>
        </w:rPr>
        <w:t>পরিশ্রমে</w:t>
      </w:r>
      <w:r>
        <w:rPr>
          <w:rFonts w:ascii="Times New Roman" w:hAnsi="Times New Roman" w:eastAsia="Times New Roman" w:cs="Times New Roman"/>
        </w:rPr>
        <w:t xml:space="preserve"> </w:t>
      </w:r>
      <w:r>
        <w:rPr>
          <w:rFonts w:ascii="Nirmala UI" w:hAnsi="Nirmala UI" w:eastAsia="Nirmala UI" w:cs="Nirmala UI"/>
        </w:rPr>
        <w:t>নিয়োজিত</w:t>
      </w:r>
      <w:r>
        <w:rPr>
          <w:rFonts w:ascii="Times New Roman" w:hAnsi="Times New Roman" w:eastAsia="Times New Roman" w:cs="Times New Roman"/>
        </w:rPr>
        <w:t xml:space="preserve"> </w:t>
      </w:r>
      <w:r>
        <w:rPr>
          <w:rFonts w:ascii="Nirmala UI" w:hAnsi="Nirmala UI" w:eastAsia="Nirmala UI" w:cs="Nirmala UI"/>
        </w:rPr>
        <w:t>থেকেও</w:t>
      </w:r>
      <w:r>
        <w:rPr>
          <w:rFonts w:ascii="Times New Roman" w:hAnsi="Times New Roman" w:eastAsia="Times New Roman" w:cs="Times New Roman"/>
        </w:rPr>
        <w:t xml:space="preserve">, </w:t>
      </w:r>
      <w:r>
        <w:rPr>
          <w:rFonts w:ascii="Nirmala UI" w:hAnsi="Nirmala UI" w:eastAsia="Nirmala UI" w:cs="Nirmala UI"/>
        </w:rPr>
        <w:t>প্রমাণের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সত্ত্বেও</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কার্যকে</w:t>
      </w:r>
      <w:r>
        <w:rPr>
          <w:rFonts w:ascii="Times New Roman" w:hAnsi="Times New Roman" w:eastAsia="Times New Roman" w:cs="Times New Roman"/>
        </w:rPr>
        <w:t xml:space="preserve"> </w:t>
      </w:r>
      <w:r>
        <w:rPr>
          <w:rFonts w:ascii="Nirmala UI" w:hAnsi="Nirmala UI" w:eastAsia="Nirmala UI" w:cs="Nirmala UI"/>
        </w:rPr>
        <w:t>প্রতিহত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প্রভাব</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তাঁদেরকে</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ভ্রাতৃগণকে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অন্ধ</w:t>
      </w:r>
      <w:r>
        <w:rPr>
          <w:rFonts w:ascii="Times New Roman" w:hAnsi="Times New Roman" w:eastAsia="Times New Roman" w:cs="Times New Roman"/>
        </w:rPr>
        <w:t xml:space="preserve"> </w:t>
      </w:r>
      <w:r>
        <w:rPr>
          <w:rFonts w:ascii="Nirmala UI" w:hAnsi="Nirmala UI" w:eastAsia="Nirmala UI" w:cs="Nirmala UI"/>
        </w:rPr>
        <w:t>প্রতিরোধের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পরীক্ষাকালের</w:t>
      </w:r>
      <w:r>
        <w:rPr>
          <w:rFonts w:ascii="Times New Roman" w:hAnsi="Times New Roman" w:eastAsia="Times New Roman" w:cs="Times New Roman"/>
        </w:rPr>
        <w:t xml:space="preserve"> </w:t>
      </w:r>
      <w:r>
        <w:rPr>
          <w:rFonts w:ascii="Nirmala UI" w:hAnsi="Nirmala UI" w:eastAsia="Nirmala UI" w:cs="Nirmala UI"/>
        </w:rPr>
        <w:t>একেবারে</w:t>
      </w:r>
      <w:r>
        <w:rPr>
          <w:rFonts w:ascii="Times New Roman" w:hAnsi="Times New Roman" w:eastAsia="Times New Roman" w:cs="Times New Roman"/>
        </w:rPr>
        <w:t xml:space="preserve"> </w:t>
      </w:r>
      <w:r>
        <w:rPr>
          <w:rFonts w:ascii="Nirmala UI" w:hAnsi="Nirmala UI" w:eastAsia="Nirmala UI" w:cs="Nirmala UI"/>
        </w:rPr>
        <w:t>অন্ত</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প্রকৃত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বিশ্বস্ত</w:t>
      </w:r>
      <w:r>
        <w:rPr>
          <w:rFonts w:ascii="Times New Roman" w:hAnsi="Times New Roman" w:eastAsia="Times New Roman" w:cs="Times New Roman"/>
        </w:rPr>
        <w:t xml:space="preserve"> </w:t>
      </w:r>
      <w:r>
        <w:rPr>
          <w:rFonts w:ascii="Nirmala UI" w:hAnsi="Nirmala UI" w:eastAsia="Nirmala UI" w:cs="Nirmala UI"/>
        </w:rPr>
        <w:t>প্রহরীর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নীরব</w:t>
      </w:r>
      <w:r>
        <w:rPr>
          <w:rFonts w:ascii="Times New Roman" w:hAnsi="Times New Roman" w:eastAsia="Times New Roman" w:cs="Times New Roman"/>
        </w:rPr>
        <w:t xml:space="preserve"> </w:t>
      </w:r>
      <w:r>
        <w:rPr>
          <w:rFonts w:ascii="Nirmala UI" w:hAnsi="Nirmala UI" w:eastAsia="Nirmala UI" w:cs="Nirmala UI"/>
        </w:rPr>
        <w:t>থাকবেন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দিনরাত</w:t>
      </w:r>
      <w:r>
        <w:rPr>
          <w:rFonts w:ascii="Times New Roman" w:hAnsi="Times New Roman" w:eastAsia="Times New Roman" w:cs="Times New Roman"/>
        </w:rPr>
        <w:t xml:space="preserve"> </w:t>
      </w:r>
      <w:r>
        <w:rPr>
          <w:rFonts w:ascii="Nirmala UI" w:hAnsi="Nirmala UI" w:eastAsia="Nirmala UI" w:cs="Nirmala UI"/>
        </w:rPr>
        <w:t>উচ্চস্বরে</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সতর্কবার্তাগুলি</w:t>
      </w:r>
      <w:r>
        <w:rPr>
          <w:rFonts w:ascii="Times New Roman" w:hAnsi="Times New Roman" w:eastAsia="Times New Roman" w:cs="Times New Roman"/>
        </w:rPr>
        <w:t xml:space="preserve"> </w:t>
      </w:r>
      <w:r>
        <w:rPr>
          <w:rFonts w:ascii="Nirmala UI" w:hAnsi="Nirmala UI" w:eastAsia="Nirmala UI" w:cs="Nirmala UI"/>
        </w:rPr>
        <w:t>ধ্বনিত</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হলেন</w:t>
      </w:r>
      <w:r>
        <w:rPr>
          <w:rFonts w:ascii="Times New Roman" w:hAnsi="Times New Roman" w:eastAsia="Times New Roman" w:cs="Times New Roman"/>
        </w:rPr>
        <w:t xml:space="preserve"> </w:t>
      </w:r>
      <w:r>
        <w:rPr>
          <w:rFonts w:ascii="Nirmala UI" w:hAnsi="Nirmala UI" w:eastAsia="Nirmala UI" w:cs="Nirmala UI"/>
        </w:rPr>
        <w:t>সেভেন্থ</w:t>
      </w:r>
      <w:r>
        <w:rPr>
          <w:rFonts w:ascii="Times New Roman" w:hAnsi="Times New Roman" w:eastAsia="Times New Roman" w:cs="Times New Roman"/>
        </w:rPr>
        <w:t>-</w:t>
      </w:r>
      <w:r>
        <w:rPr>
          <w:rFonts w:ascii="Nirmala UI" w:hAnsi="Nirmala UI" w:eastAsia="Nirmala UI" w:cs="Nirmala UI"/>
        </w:rPr>
        <w:t>ডে</w:t>
      </w:r>
      <w:r>
        <w:rPr>
          <w:rFonts w:ascii="Times New Roman" w:hAnsi="Times New Roman" w:eastAsia="Times New Roman" w:cs="Times New Roman"/>
        </w:rPr>
        <w:t xml:space="preserve"> </w:t>
      </w:r>
      <w:r>
        <w:rPr>
          <w:rFonts w:ascii="Nirmala UI" w:hAnsi="Nirmala UI" w:eastAsia="Nirmala UI" w:cs="Nirmala UI"/>
        </w:rPr>
        <w:t>অ্যাডভেন্টিস্টগণ।</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পেয়েছে</w:t>
      </w:r>
      <w:r>
        <w:rPr>
          <w:rFonts w:ascii="Times New Roman" w:hAnsi="Times New Roman" w:eastAsia="Times New Roman" w:cs="Times New Roman"/>
        </w:rPr>
        <w:t xml:space="preserve">, </w:t>
      </w:r>
      <w:r>
        <w:rPr>
          <w:rFonts w:ascii="Nirmala UI" w:hAnsi="Nirmala UI" w:eastAsia="Nirmala UI" w:cs="Nirmala UI"/>
        </w:rPr>
        <w:t>ধন্য</w:t>
      </w:r>
      <w:r>
        <w:rPr>
          <w:rFonts w:ascii="Times New Roman" w:hAnsi="Times New Roman" w:eastAsia="Times New Roman" w:cs="Times New Roman"/>
        </w:rPr>
        <w:t xml:space="preserve"> </w:t>
      </w:r>
      <w:r>
        <w:rPr>
          <w:rFonts w:ascii="Nirmala UI" w:hAnsi="Nirmala UI" w:eastAsia="Nirmala UI" w:cs="Nirmala UI"/>
        </w:rPr>
        <w:t>সুযোগ</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কফরনহূমের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বিশেষাধিকারের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উন্নীত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সুযোগের</w:t>
      </w:r>
      <w:r>
        <w:rPr>
          <w:rFonts w:ascii="Times New Roman" w:hAnsi="Times New Roman" w:eastAsia="Times New Roman" w:cs="Times New Roman"/>
        </w:rPr>
        <w:t xml:space="preserve"> </w:t>
      </w:r>
      <w:r>
        <w:rPr>
          <w:rFonts w:ascii="Nirmala UI" w:hAnsi="Nirmala UI" w:eastAsia="Nirmala UI" w:cs="Nirmala UI"/>
        </w:rPr>
        <w:t>সদ্ব্যবহার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মহত্ত্বের</w:t>
      </w:r>
      <w:r>
        <w:rPr>
          <w:rFonts w:ascii="Times New Roman" w:hAnsi="Times New Roman" w:eastAsia="Times New Roman" w:cs="Times New Roman"/>
        </w:rPr>
        <w:t xml:space="preserve"> </w:t>
      </w:r>
      <w:r>
        <w:rPr>
          <w:rFonts w:ascii="Nirmala UI" w:hAnsi="Nirmala UI" w:eastAsia="Nirmala UI" w:cs="Nirmala UI"/>
        </w:rPr>
        <w:t>অনুরূপ</w:t>
      </w:r>
      <w:r>
        <w:rPr>
          <w:rFonts w:ascii="Times New Roman" w:hAnsi="Times New Roman" w:eastAsia="Times New Roman" w:cs="Times New Roman"/>
        </w:rPr>
        <w:t xml:space="preserve"> </w:t>
      </w:r>
      <w:r>
        <w:rPr>
          <w:rFonts w:ascii="Nirmala UI" w:hAnsi="Nirmala UI" w:eastAsia="Nirmala UI" w:cs="Nirmala UI"/>
        </w:rPr>
        <w:t>অন্ধকারের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সমর্পিত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ខ្ញុំប្រាថ្នាចង់អង្វរដល់បងប្អូនរបស់យើង</w:t>
      </w:r>
      <w:r>
        <w:rPr>
          <w:rFonts w:ascii="Times New Roman" w:hAnsi="Times New Roman" w:eastAsia="Times New Roman" w:cs="Times New Roman"/>
        </w:rPr>
        <w:t xml:space="preserve"> </w:t>
      </w:r>
      <w:r>
        <w:rPr>
          <w:rFonts w:ascii="Leelawadee UI" w:hAnsi="Leelawadee UI" w:eastAsia="Leelawadee UI" w:cs="Leelawadee UI"/>
        </w:rPr>
        <w:t>ដែលនឹងប្រមូលផ្តុំគ្នានៅសន្និបាតទូទៅ</w:t>
      </w:r>
      <w:r>
        <w:rPr>
          <w:rFonts w:ascii="Times New Roman" w:hAnsi="Times New Roman" w:eastAsia="Times New Roman" w:cs="Times New Roman"/>
        </w:rPr>
        <w:t xml:space="preserve"> </w:t>
      </w:r>
      <w:r>
        <w:rPr>
          <w:rFonts w:ascii="Leelawadee UI" w:hAnsi="Leelawadee UI" w:eastAsia="Leelawadee UI" w:cs="Leelawadee UI"/>
        </w:rPr>
        <w:t>ឲ្យយកចិត្តទុកដាក់សារដែលបានប្រទានដល់ពួកឡៅឌីសេ។</w:t>
      </w:r>
      <w:r>
        <w:rPr>
          <w:rFonts w:ascii="Times New Roman" w:hAnsi="Times New Roman" w:eastAsia="Times New Roman" w:cs="Times New Roman"/>
        </w:rPr>
        <w:t xml:space="preserve"> </w:t>
      </w:r>
      <w:r>
        <w:rPr>
          <w:rFonts w:ascii="Leelawadee UI" w:hAnsi="Leelawadee UI" w:eastAsia="Leelawadee UI" w:cs="Leelawadee UI"/>
        </w:rPr>
        <w:t>សភាពខ្វាក់ភ្នែករបស់ពួកគេគួរឲ្យស្ញប់ស្ញែងយ៉ាងណា</w:t>
      </w:r>
      <w:r>
        <w:rPr>
          <w:rFonts w:ascii="Times New Roman" w:hAnsi="Times New Roman" w:eastAsia="Times New Roman" w:cs="Times New Roman"/>
        </w:rPr>
        <w:t xml:space="preserve">! </w:t>
      </w:r>
      <w:r>
        <w:rPr>
          <w:rFonts w:ascii="Leelawadee UI" w:hAnsi="Leelawadee UI" w:eastAsia="Leelawadee UI" w:cs="Leelawadee UI"/>
        </w:rPr>
        <w:t>ប្រធានបទនេះត្រូវបាននាំមកជូនលោកអ្នកឲ្យពិចារណាម្តងហើយម្តងទៀត</w:t>
      </w:r>
      <w:r>
        <w:rPr>
          <w:rFonts w:ascii="Times New Roman" w:hAnsi="Times New Roman" w:eastAsia="Times New Roman" w:cs="Times New Roman"/>
        </w:rPr>
        <w:t xml:space="preserve"> </w:t>
      </w:r>
      <w:r>
        <w:rPr>
          <w:rFonts w:ascii="Leelawadee UI" w:hAnsi="Leelawadee UI" w:eastAsia="Leelawadee UI" w:cs="Leelawadee UI"/>
        </w:rPr>
        <w:t>ប៉ុន្តែការមិនពេញចិត្តរបស់លោកអ្នកចំពោះស្ថានភាពខាងវិញ្ញាណរបស់ខ្លួន</w:t>
      </w:r>
      <w:r>
        <w:rPr>
          <w:rFonts w:ascii="Times New Roman" w:hAnsi="Times New Roman" w:eastAsia="Times New Roman" w:cs="Times New Roman"/>
        </w:rPr>
        <w:t xml:space="preserve"> </w:t>
      </w:r>
      <w:r>
        <w:rPr>
          <w:rFonts w:ascii="Leelawadee UI" w:hAnsi="Leelawadee UI" w:eastAsia="Leelawadee UI" w:cs="Leelawadee UI"/>
        </w:rPr>
        <w:t>មិនទាន់ជ្រាលជ្រៅ</w:t>
      </w:r>
      <w:r>
        <w:rPr>
          <w:rFonts w:ascii="Times New Roman" w:hAnsi="Times New Roman" w:eastAsia="Times New Roman" w:cs="Times New Roman"/>
        </w:rPr>
        <w:t xml:space="preserve"> </w:t>
      </w:r>
      <w:r>
        <w:rPr>
          <w:rFonts w:ascii="Leelawadee UI" w:hAnsi="Leelawadee UI" w:eastAsia="Leelawadee UI" w:cs="Leelawadee UI"/>
        </w:rPr>
        <w:t>និងឈឺចាប់គ្រប់គ្រាន់</w:t>
      </w:r>
      <w:r>
        <w:rPr>
          <w:rFonts w:ascii="Times New Roman" w:hAnsi="Times New Roman" w:eastAsia="Times New Roman" w:cs="Times New Roman"/>
        </w:rPr>
        <w:t xml:space="preserve"> </w:t>
      </w:r>
      <w:r>
        <w:rPr>
          <w:rFonts w:ascii="Leelawadee UI" w:hAnsi="Leelawadee UI" w:eastAsia="Leelawadee UI" w:cs="Leelawadee UI"/>
        </w:rPr>
        <w:t>ដើម្បីបង្កើតការកែទម្រង់ឡើយ។</w:t>
      </w:r>
      <w:r>
        <w:rPr>
          <w:rFonts w:ascii="Times New Roman" w:hAnsi="Times New Roman" w:eastAsia="Times New Roman" w:cs="Times New Roman"/>
        </w:rPr>
        <w:t xml:space="preserve"> “</w:t>
      </w:r>
      <w:r>
        <w:rPr>
          <w:rFonts w:ascii="Leelawadee UI" w:hAnsi="Leelawadee UI" w:eastAsia="Leelawadee UI" w:cs="Leelawadee UI"/>
        </w:rPr>
        <w:t>អ្នកនិយាយថា</w:t>
      </w:r>
      <w:r>
        <w:rPr>
          <w:rFonts w:ascii="Times New Roman" w:hAnsi="Times New Roman" w:eastAsia="Times New Roman" w:cs="Times New Roman"/>
        </w:rPr>
        <w:t xml:space="preserve"> </w:t>
      </w:r>
      <w:r>
        <w:rPr>
          <w:rFonts w:ascii="Leelawadee UI" w:hAnsi="Leelawadee UI" w:eastAsia="Leelawadee UI" w:cs="Leelawadee UI"/>
        </w:rPr>
        <w:t>ខ្ញុំសម្បូរហើយ</w:t>
      </w:r>
      <w:r>
        <w:rPr>
          <w:rFonts w:ascii="Times New Roman" w:hAnsi="Times New Roman" w:eastAsia="Times New Roman" w:cs="Times New Roman"/>
        </w:rPr>
        <w:t xml:space="preserve"> </w:t>
      </w:r>
      <w:r>
        <w:rPr>
          <w:rFonts w:ascii="Leelawadee UI" w:hAnsi="Leelawadee UI" w:eastAsia="Leelawadee UI" w:cs="Leelawadee UI"/>
        </w:rPr>
        <w:t>ហើយបានកើនឡើងដោយទ្រព្យសម្បត្តិ</w:t>
      </w:r>
      <w:r>
        <w:rPr>
          <w:rFonts w:ascii="Times New Roman" w:hAnsi="Times New Roman" w:eastAsia="Times New Roman" w:cs="Times New Roman"/>
        </w:rPr>
        <w:t xml:space="preserve"> </w:t>
      </w:r>
      <w:r>
        <w:rPr>
          <w:rFonts w:ascii="Leelawadee UI" w:hAnsi="Leelawadee UI" w:eastAsia="Leelawadee UI" w:cs="Leelawadee UI"/>
        </w:rPr>
        <w:t>ហើយមិនត្រូវការអ្វីទាំងអស់ទេ</w:t>
      </w:r>
      <w:r>
        <w:rPr>
          <w:rFonts w:ascii="Times New Roman" w:hAnsi="Times New Roman" w:eastAsia="Times New Roman" w:cs="Times New Roman"/>
        </w:rPr>
        <w:t xml:space="preserve">; </w:t>
      </w:r>
      <w:r>
        <w:rPr>
          <w:rFonts w:ascii="Leelawadee UI" w:hAnsi="Leelawadee UI" w:eastAsia="Leelawadee UI" w:cs="Leelawadee UI"/>
        </w:rPr>
        <w:t>ហើយមិនដឹងថា</w:t>
      </w:r>
      <w:r>
        <w:rPr>
          <w:rFonts w:ascii="Times New Roman" w:hAnsi="Times New Roman" w:eastAsia="Times New Roman" w:cs="Times New Roman"/>
        </w:rPr>
        <w:t xml:space="preserve"> </w:t>
      </w:r>
      <w:r>
        <w:rPr>
          <w:rFonts w:ascii="Leelawadee UI" w:hAnsi="Leelawadee UI" w:eastAsia="Leelawadee UI" w:cs="Leelawadee UI"/>
        </w:rPr>
        <w:t>អ្នកជាមនុស្សវេទនា</w:t>
      </w:r>
      <w:r>
        <w:rPr>
          <w:rFonts w:ascii="Times New Roman" w:hAnsi="Times New Roman" w:eastAsia="Times New Roman" w:cs="Times New Roman"/>
        </w:rPr>
        <w:t xml:space="preserve"> </w:t>
      </w:r>
      <w:r>
        <w:rPr>
          <w:rFonts w:ascii="Leelawadee UI" w:hAnsi="Leelawadee UI" w:eastAsia="Leelawadee UI" w:cs="Leelawadee UI"/>
        </w:rPr>
        <w:t>និងគួរឲ្យអាណិត</w:t>
      </w:r>
      <w:r>
        <w:rPr>
          <w:rFonts w:ascii="Times New Roman" w:hAnsi="Times New Roman" w:eastAsia="Times New Roman" w:cs="Times New Roman"/>
        </w:rPr>
        <w:t xml:space="preserve"> </w:t>
      </w:r>
      <w:r>
        <w:rPr>
          <w:rFonts w:ascii="Leelawadee UI" w:hAnsi="Leelawadee UI" w:eastAsia="Leelawadee UI" w:cs="Leelawadee UI"/>
        </w:rPr>
        <w:t>និងក្រីក្រ</w:t>
      </w:r>
      <w:r>
        <w:rPr>
          <w:rFonts w:ascii="Times New Roman" w:hAnsi="Times New Roman" w:eastAsia="Times New Roman" w:cs="Times New Roman"/>
        </w:rPr>
        <w:t xml:space="preserve"> </w:t>
      </w:r>
      <w:r>
        <w:rPr>
          <w:rFonts w:ascii="Leelawadee UI" w:hAnsi="Leelawadee UI" w:eastAsia="Leelawadee UI" w:cs="Leelawadee UI"/>
        </w:rPr>
        <w:t>និងខ្វាក់ភ្នែក</w:t>
      </w:r>
      <w:r>
        <w:rPr>
          <w:rFonts w:ascii="Times New Roman" w:hAnsi="Times New Roman" w:eastAsia="Times New Roman" w:cs="Times New Roman"/>
        </w:rPr>
        <w:t xml:space="preserve"> </w:t>
      </w:r>
      <w:r>
        <w:rPr>
          <w:rFonts w:ascii="Leelawadee UI" w:hAnsi="Leelawadee UI" w:eastAsia="Leelawadee UI" w:cs="Leelawadee UI"/>
        </w:rPr>
        <w:t>និងអាក្រាតនោះឡើយ។</w:t>
      </w:r>
      <w:r>
        <w:rPr>
          <w:rFonts w:ascii="Times New Roman" w:hAnsi="Times New Roman" w:eastAsia="Times New Roman" w:cs="Times New Roman"/>
        </w:rPr>
        <w:t xml:space="preserve">” </w:t>
      </w:r>
      <w:r>
        <w:rPr>
          <w:rFonts w:ascii="Leelawadee UI" w:hAnsi="Leelawadee UI" w:eastAsia="Leelawadee UI" w:cs="Leelawadee UI"/>
        </w:rPr>
        <w:t>កំហុសនៃការបោកបញ្ឆោតខ្លួនឯងស្ថិតនៅលើពួកជំនុំរបស់យើង។</w:t>
      </w:r>
      <w:r>
        <w:rPr>
          <w:rFonts w:ascii="Times New Roman" w:hAnsi="Times New Roman" w:eastAsia="Times New Roman" w:cs="Times New Roman"/>
        </w:rPr>
        <w:t xml:space="preserve"> </w:t>
      </w:r>
      <w:r>
        <w:rPr>
          <w:rFonts w:ascii="Leelawadee UI" w:hAnsi="Leelawadee UI" w:eastAsia="Leelawadee UI" w:cs="Leelawadee UI"/>
        </w:rPr>
        <w:t>ជីវិតខាងសាសនារបស់មនុស្សជាច្រើនគឺជាការកុហក។</w:t>
      </w:r>
      <w:r>
        <w:rPr>
          <w:rFonts w:ascii="Times New Roman" w:hAnsi="Times New Roman" w:eastAsia="Times New Roman" w:cs="Times New Roman"/>
        </w:rPr>
        <w:t>» Manuscript Releases, volume 16, 106, 107.</w:t>
      </w:r>
    </w:p>
    <w:p>
      <w:pPr>
        <w:pStyle w:val="ArticleBody"/>
        <w:jc w:val="left"/>
      </w:pPr>
      <w:r>
        <w:rPr>
          <w:rFonts w:ascii="Times New Roman" w:hAnsi="Times New Roman" w:eastAsia="Times New Roman" w:cs="Times New Roman"/>
        </w:rPr>
        <w:t>«Կափառնայումը» այն քաղաքն էր, որը Հիսուսն ընտրեց որպես իր սեփական քաղաքը։</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在迦百农</w:t>
      </w:r>
      <w:r>
        <w:rPr>
          <w:rFonts w:ascii="Times New Roman" w:hAnsi="Times New Roman" w:eastAsia="Times New Roman" w:cs="Times New Roman"/>
        </w:rPr>
        <w:t>,</w:t>
      </w:r>
      <w:r>
        <w:rPr>
          <w:rFonts w:ascii="Microsoft YaHei" w:hAnsi="Microsoft YaHei" w:eastAsia="Microsoft YaHei" w:cs="Microsoft YaHei"/>
        </w:rPr>
        <w:t>耶稣于往返各地行程之间居住</w:t>
      </w:r>
      <w:r>
        <w:rPr>
          <w:rFonts w:ascii="Times New Roman" w:hAnsi="Times New Roman" w:eastAsia="Times New Roman" w:cs="Times New Roman"/>
        </w:rPr>
        <w:t>,</w:t>
      </w:r>
      <w:r>
        <w:rPr>
          <w:rFonts w:ascii="Microsoft YaHei" w:hAnsi="Microsoft YaHei" w:eastAsia="Microsoft YaHei" w:cs="Microsoft YaHei"/>
        </w:rPr>
        <w:t>因此那里便被称为</w:t>
      </w:r>
      <w:r>
        <w:rPr>
          <w:rFonts w:ascii="Times New Roman" w:hAnsi="Times New Roman" w:eastAsia="Times New Roman" w:cs="Times New Roman"/>
        </w:rPr>
        <w:t>‘</w:t>
      </w:r>
      <w:r>
        <w:rPr>
          <w:rFonts w:ascii="Microsoft YaHei" w:hAnsi="Microsoft YaHei" w:eastAsia="Microsoft YaHei" w:cs="Microsoft YaHei"/>
        </w:rPr>
        <w:t>祂自己的城</w:t>
      </w:r>
      <w:r>
        <w:rPr>
          <w:rFonts w:ascii="Times New Roman" w:hAnsi="Times New Roman" w:eastAsia="Times New Roman" w:cs="Times New Roman"/>
        </w:rPr>
        <w:t>’.</w:t>
      </w:r>
      <w:r>
        <w:rPr>
          <w:rFonts w:ascii="Microsoft YaHei" w:hAnsi="Microsoft YaHei" w:eastAsia="Microsoft YaHei" w:cs="Microsoft YaHei"/>
        </w:rPr>
        <w:t>它位于加利利海之滨</w:t>
      </w:r>
      <w:r>
        <w:rPr>
          <w:rFonts w:ascii="Times New Roman" w:hAnsi="Times New Roman" w:eastAsia="Times New Roman" w:cs="Times New Roman"/>
        </w:rPr>
        <w:t>,</w:t>
      </w:r>
      <w:r>
        <w:rPr>
          <w:rFonts w:ascii="Microsoft YaHei" w:hAnsi="Microsoft YaHei" w:eastAsia="Microsoft YaHei" w:cs="Microsoft YaHei"/>
        </w:rPr>
        <w:t>并且靠近美丽的革尼撒勒平原的边界</w:t>
      </w:r>
      <w:r>
        <w:rPr>
          <w:rFonts w:ascii="Times New Roman" w:hAnsi="Times New Roman" w:eastAsia="Times New Roman" w:cs="Times New Roman"/>
        </w:rPr>
        <w:t>,</w:t>
      </w:r>
      <w:r>
        <w:rPr>
          <w:rFonts w:ascii="Microsoft YaHei" w:hAnsi="Microsoft YaHei" w:eastAsia="Microsoft YaHei" w:cs="Microsoft YaHei"/>
        </w:rPr>
        <w:t>若非就在其上</w:t>
      </w:r>
      <w:r>
        <w:rPr>
          <w:rFonts w:ascii="Times New Roman" w:hAnsi="Times New Roman" w:eastAsia="Times New Roman" w:cs="Times New Roman"/>
        </w:rPr>
        <w:t>.”«</w:t>
      </w:r>
      <w:r>
        <w:rPr>
          <w:rFonts w:ascii="Microsoft YaHei" w:hAnsi="Microsoft YaHei" w:eastAsia="Microsoft YaHei" w:cs="Microsoft YaHei"/>
        </w:rPr>
        <w:t>历代愿望</w:t>
      </w:r>
      <w:r>
        <w:rPr>
          <w:rFonts w:ascii="Times New Roman" w:hAnsi="Times New Roman" w:eastAsia="Times New Roman" w:cs="Times New Roman"/>
        </w:rPr>
        <w:t>»,252.</w:t>
      </w:r>
    </w:p>
    <w:p>
      <w:pPr>
        <w:pStyle w:val="ArticleBody"/>
        <w:jc w:val="left"/>
      </w:pPr>
      <w:r>
        <w:rPr>
          <w:rFonts w:ascii="Times New Roman" w:hAnsi="Times New Roman" w:eastAsia="Times New Roman" w:cs="Times New Roman"/>
        </w:rPr>
        <w:t>Christ à chọn Capernaum, cũng như xưa kia Ngài đã chọn Jerusalem.</w:t>
      </w:r>
    </w:p>
    <w:p>
      <w:pPr>
        <w:pStyle w:val="ArticleScripture"/>
        <w:jc w:val="left"/>
      </w:pPr>
      <w:r>
        <w:rPr>
          <w:rFonts w:ascii="Times New Roman" w:hAnsi="Times New Roman" w:eastAsia="Times New Roman" w:cs="Times New Roman"/>
        </w:rPr>
        <w:t>Et à son fils je donnerai une tribu, afin que David, mon serviteur, ait toujours devant moi une lampe à Jérusalem, la ville que j’ai choisie pour y mettre mon nom. 1 Rois 11:36.</w:t>
      </w:r>
    </w:p>
    <w:p>
      <w:pPr>
        <w:pStyle w:val="ArticleBody"/>
        <w:jc w:val="left"/>
      </w:pPr>
      <w:r>
        <w:rPr>
          <w:rFonts w:ascii="Times New Roman" w:hAnsi="Times New Roman" w:eastAsia="Times New Roman" w:cs="Times New Roman"/>
        </w:rPr>
        <w:t>Christ a pilih Adventism olsem taun bilong em long 1844, na long 1863, Adventism i bin wokim gen taun bilong “Jericho”, wanpela mak bilong stap isi na planti samting bilong Laodisia. Olsem em i bin stap long bipo wantaim Israel bilong bipo, olsem tasol em i stap wantaim Israel bilong nau tu. Adventism i bilip olsem ol yet i ol sitisen bilong spesel taun bilong God, tasol ol i bin sakim “bikpela lait” em i givim ol pruf bilong dispela sitisensip. Wankain olsem Shilo long taim bilong Eli, Hophni na Phineas, bai kot i kam long Adventism long mak bilong “bikpela lait” em ol i bin kisim rot bilong kisim.</w:t>
      </w:r>
    </w:p>
    <w:p>
      <w:pPr>
        <w:pStyle w:val="ArticleScripture"/>
        <w:jc w:val="left"/>
      </w:pPr>
      <w:r>
        <w:rPr>
          <w:rFonts w:ascii="Times New Roman" w:hAnsi="Times New Roman" w:eastAsia="Times New Roman" w:cs="Times New Roman"/>
        </w:rPr>
        <w:t>"Fi uliedd Iddio li jistqarru lilhom infushom bħala tali, kemm ftit sabret intweriet, kemm-il kelma morra ntqalet, kemm kundanna nħarġet kontra dawk li mhumiex mill-fidi tagħna. Ħafna ħarsu lejn dawk li jappartjenu għal knejjes oħra bħala midinbin kbar, meta l-Mulej ma jqishomx hekk. Dawk li jħarsu b’dan il-mod lejn il-membri ta’ knejjes oħra għandhom bżonn jumiljaw ruħhom taħt l-id setgħana ta’ Alla. Dawk li huma jikkundannaw jista’ jkun li kellhom biss ftit dawl, ftit opportunitajiet u privileġġi. Kieku kellhom id-dawl li ħafna mill-membri tal-knejjes tagħna kellhom, setgħu mxew ’il quddiem b’rata ferm akbar, u kienu jirrappreżentaw aħjar il-fidi tagħhom quddiem id-dinja. Dwar dawk li jiftaħru bid-dawl tagħhom, u madankollu jonqsu milli jimxu fih, Kristu jgħid, ‘Imma jiena ngħidilkom, Li f’jum il-ġudizzju jkun iżjed tollerabbli għal Tir u Sidon milli għalikom. U int, Kafarnahum [l-Avventisti tas-Seba’ Jum, li kellhom dawl kbir], li int mtella’ sas-sema [f’dak li għandu x’jaqsam mal-privileġġ], tinżel sal-infern: għax kieku l-għemejjel setgħana, li saru fik, saru f’Sodoma, kienet tibqa’ sal-lum. Imma jiena ngħidilkom, Li għall-art ta’ Sodoma jkun iżjed tollerabbli f’jum il-ġudizzju milli għalik.’ Dak iż-żmien Ġesù wieġeb u qal, ‘Inroddlok ħajr, Missier, Mulej tas-sema u tal-art, għax dawn il-ħwejjeġ ħbejthom mill-għorrief u mill-prudenti [fl-istima tagħhom infushom], u wrejthom liċ-ċkejknin.’"</w:t>
      </w:r>
    </w:p>
    <w:p>
      <w:pPr>
        <w:pStyle w:val="ArticleScripture"/>
        <w:jc w:val="left"/>
      </w:pPr>
      <w:r>
        <w:rPr>
          <w:rFonts w:ascii="Times New Roman" w:hAnsi="Times New Roman" w:eastAsia="Times New Roman" w:cs="Times New Roman"/>
        </w:rPr>
        <w:t>«Et maintenant, parce que vous avez commis toutes ces œuvres, dit l’Éternel, et que je vous ai parlé, me levant dès le matin et parlant, mais vous n’avez point écouté; et que je vous ai appelés, mais vous n’avez point répondu; c’est pourquoi je traiterai cette maison, qui est appelée de mon nom, dans laquelle vous vous confiez, et le lieu que j’ai donné à vous et à vos pères, comme j’ai traité Silo. Et je vous rejetterai loin de ma face, comme j’ai rejeté tous vos frères, toute la postérité d’Éphraïm.»</w:t>
      </w:r>
    </w:p>
    <w:p>
      <w:pPr>
        <w:pStyle w:val="ArticleScripture"/>
        <w:jc w:val="left"/>
      </w:pPr>
      <w:r>
        <w:rPr>
          <w:rFonts w:ascii="Times New Roman" w:hAnsi="Times New Roman" w:eastAsia="Times New Roman" w:cs="Times New Roman"/>
        </w:rPr>
        <w:t>«Տերը մեր մեջ հաստատել է մեծ կարևորություն ունեցող հաստատություններ, և դրանք պետք է կառավարվեն ոչ այնպես, ինչպես աշխարհիկ հաստատություններն են կառավարվում, այլ՝ Աստծո կարգի համաձայն։ Դրանք պետք է կառավարվեն Նրա փառքին միայնակ ուղղված հայացքով, որպեսզի ամեն կերպ կորչող հոգիները փրկվեն։ Աստծո ժողովրդին հասել են Հոգու վկայությունները, սակայն շատերը ականջ չեն դրել հանդիմանություններին, նախազգուշացումներին և խորհուրդներին։»</w:t>
      </w:r>
    </w:p>
    <w:p>
      <w:pPr>
        <w:pStyle w:val="ArticleScripture"/>
        <w:jc w:val="left"/>
      </w:pPr>
      <w:r>
        <w:rPr>
          <w:rFonts w:ascii="Times New Roman" w:hAnsi="Times New Roman" w:eastAsia="Times New Roman" w:cs="Times New Roman"/>
        </w:rPr>
        <w:t>“‘Pako neni oyo, bino bato ya bozoba mpe bozangi mayele, bino bozali na miso kasi bomonaka te, bozali na matoi kasi boyokaka te: bóbanga ngai te? elobi Yawe; bokolenga te liboso ya elongi na ngai, ngai oyo natia zɛlo lokola ndelo ya mbu, mobeko ya seko oyo ekoki koleka te? Mpe ata soki mbonge na yango etombwami, ekoki kolonga te; ata soki ezali koganga makasi, ekoki koleka yango te. Kasi bato oyo bazali na motema ya botomboki mpe ya kozanga botosi; batomboki mpe bakeyi. Mpe balobaka te na motema na bango ete, Tóbanga sikawa Yawe Nzambe na biso, oyo apesaka mbula, oyo ya liboso mpe oyo ya suka, na ntango na yango: abombelaka biso baposo oyo etyami mpo na kobuka mbuma. Mabe na bino elongoli biloko yango mosika, mpe masumu na bino epekisi bino biloko malamu.... Bazali kosambisa te likambo, likambo ya mwana etike, nzokande bazali kokola malamu; mpe bazali kosambisa te lotomo ya mobola. Nakotala yango te mpo na makambo oyo? elobi Yawe; molimo na ngai ekozongisa mabe te likolo ya ekolo ya lolenge oyo?’”</w:t>
      </w:r>
    </w:p>
    <w:p>
      <w:pPr>
        <w:pStyle w:val="ArticleScripture"/>
        <w:jc w:val="left"/>
      </w:pPr>
      <w:r>
        <w:rPr>
          <w:rFonts w:ascii="Times New Roman" w:hAnsi="Times New Roman" w:eastAsia="Times New Roman" w:cs="Times New Roman"/>
        </w:rPr>
        <w:t>„</w:t>
      </w:r>
      <w:r>
        <w:rPr>
          <w:rFonts w:ascii="Nirmala UI" w:hAnsi="Nirmala UI" w:eastAsia="Nirmala UI" w:cs="Nirmala UI"/>
        </w:rPr>
        <w:t>जव</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हमसे</w:t>
      </w:r>
      <w:r>
        <w:rPr>
          <w:rFonts w:ascii="Times New Roman" w:hAnsi="Times New Roman" w:eastAsia="Times New Roman" w:cs="Times New Roman"/>
        </w:rPr>
        <w:t xml:space="preserve"> </w:t>
      </w:r>
      <w:r>
        <w:rPr>
          <w:rFonts w:ascii="Nirmala UI" w:hAnsi="Nirmala UI" w:eastAsia="Nirmala UI" w:cs="Nirmala UI"/>
        </w:rPr>
        <w:t>उनकरा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बिचवई</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सुनब।</w:t>
      </w:r>
      <w:r>
        <w:rPr>
          <w:rFonts w:ascii="Times New Roman" w:hAnsi="Times New Roman" w:eastAsia="Times New Roman" w:cs="Times New Roman"/>
        </w:rPr>
        <w:t>’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बरखा</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लिहल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बरखा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भइल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पुकारब</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हउअ</w:t>
      </w:r>
      <w:r>
        <w:rPr>
          <w:rFonts w:ascii="Times New Roman" w:hAnsi="Times New Roman" w:eastAsia="Times New Roman" w:cs="Times New Roman"/>
        </w:rPr>
        <w:t>?”’” Review and Herald, August 1, 1893.</w:t>
      </w:r>
    </w:p>
    <w:p>
      <w:pPr>
        <w:pStyle w:val="ArticleBody"/>
        <w:jc w:val="left"/>
      </w:pPr>
      <w:r>
        <w:rPr>
          <w:rFonts w:ascii="Times New Roman" w:hAnsi="Times New Roman" w:eastAsia="Times New Roman" w:cs="Times New Roman"/>
        </w:rPr>
        <w:t>Dans le prochain article, nous poursuivrons notre examen de la « grande lumière » qui fut accordée à William Miller sur le livre de l’Apocalypse.</w:t>
      </w:r>
    </w:p>
    <w:p>
      <w:pPr>
        <w:pStyle w:val="ArticleScripture"/>
        <w:jc w:val="left"/>
      </w:pPr>
      <w:r>
        <w:rPr>
          <w:rFonts w:ascii="Times New Roman" w:hAnsi="Times New Roman" w:eastAsia="Times New Roman" w:cs="Times New Roman"/>
        </w:rPr>
        <w:t>“Christus, bilang Siya’y pumarito sa sanlibutan upang ipakita sa pamamagitan ng halimbawa ang tunay na relihiyon, at upang itaas ang mga simulain na dapat mamahala sa mga puso at mga gawa ng mga tao, ang kabulaanan ay nakapaghari nang napakalalim sa mga nagkaroon ng gayon kalaking liwanag, anupa’t hindi na nila nauunawaan ang liwanag, at wala silang hilig na isuko ang tradisyon alang-alang sa katotohanan. Kanilang itinakwil ang Gurong makalangit, kanilang ipinako sa krus ang Panginoon ng kaluwalhatian, upang mapanatili nila ang kanilang sariling mga kaugalian at mga imbensiyon. Ang gayunding espiritu ay nahahayag sa sanlibutan ngayon. Ang mga tao ay umiiwas sa pagsisiyasat ng katotohanan, baka magambala ang kanilang mga tradisyon, at may maipasok na bagong kaayusan ng mga bagay. Sa sangkatauhan ay may palagiang pananagutan sa pagkakamali, at ang mga tao ay likas na nakahilig na lubhang itaas ang mga kaisipan at kaalamang pantao, samantalang ang banal at walang hanggan ay hindi nakikilala o pinahahalagahan.”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soixante-deux</dc:title>
  <dc:subject>Révélation des joyaux de la vision prophétique de William Miller : examen critique de l’éloignement de l’adventisme de la « grande lumière » et appel à retourner aux véritables fondements</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