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soixante-quatre</w:t>
      </w:r>
    </w:p>
    <w:p>
      <w:pPr>
        <w:pStyle w:val="ArticleSubtitle"/>
        <w:jc w:val="left"/>
      </w:pPr>
      <w:r>
        <w:rPr>
          <w:rFonts w:ascii="Arial" w:hAnsi="Arial" w:eastAsia="Arial" w:cs="Arial"/>
        </w:rPr>
        <w:t>Dévoilement de la prophétie : relier le 11 septembre 2001 au temps du scellement, à la pluie de l’arrière-saison et à l’œuvre finale du Christ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Dans les articles récents, nous nous sommes référés à quelques passages de l’Esprit de prophétie qui désignent une période allant du 11 septembre 2001 jusqu’au moment où Michael se lèvera et où le temps de grâce accordé à l’humanité prendra fin. Durant cette période, il existe quelques illustrations prophétiques qui mettent en évidence l’œuvre finale du Christ dans le lieu très saint.</w:t>
      </w:r>
    </w:p>
    <w:p>
      <w:pPr>
        <w:pStyle w:val="ArticleBody"/>
        <w:jc w:val="left"/>
      </w:pPr>
      <w:r>
        <w:rPr>
          <w:rFonts w:ascii="Times New Roman" w:hAnsi="Times New Roman" w:eastAsia="Times New Roman" w:cs="Times New Roman"/>
        </w:rPr>
        <w:t>Msebenzi waKrestu esibingelelweni umelwe embonweni woMfula i-Ulai kuDaniyeli isahluko sesishiyagalombili, futhi uDadewethu White usazisile ukuthi umbono woMfula i-Ulai ususenkambweni yokugcwaliseka manje. Umsebenzi wokugcina ofezwa esibingelelweni sasezulwini, osusenkambweni yokugcwaliseka manje, umelwe ngezinhlamvu ezihlukahlukene zesiprofetho. Umelwe, phakathi kwezinye izethulo zesiprofetho, njengesikhathi sokubekwa uphawu, imvula yokugcina, umsebenzi wokuphetha wensindiso, nokuhlanzwa kwethempeli. Kubalulekile ukuhlanganisa lawo magama, futhi futhi ukuwabeka esimweni sawo esifanele somlando.</w:t>
      </w:r>
    </w:p>
    <w:p>
      <w:pPr>
        <w:pStyle w:val="ArticleScripture"/>
        <w:jc w:val="left"/>
      </w:pPr>
      <w:r>
        <w:rPr>
          <w:rFonts w:ascii="Times New Roman" w:hAnsi="Times New Roman" w:eastAsia="Times New Roman" w:cs="Times New Roman"/>
        </w:rPr>
        <w:t>“Wakati huo, wakati kazi ya wokovu inapokaribia kufungwa, taabu itakuwa inakuja juu ya dunia, na mataifa yatakuwa na hasira, lakini yatazuiliwa ili yasizuie kazi ya malaika wa tatu. Wakati huo ‘mvua ya masika,’ au burudisho litokalo katika uwepo wa Bwana, litakuja, ili kutoa nguvu kwa sauti kuu ya malaika wa tatu, na kuwaandaa watakatifu kusimama katika kipindi ambacho mapigo saba ya mwisho yatamiminwa.” Early Writings, 85.</w:t>
      </w:r>
    </w:p>
    <w:p>
      <w:pPr>
        <w:pStyle w:val="ArticleBody"/>
        <w:jc w:val="left"/>
      </w:pPr>
      <w:r>
        <w:rPr>
          <w:rFonts w:ascii="Times New Roman" w:hAnsi="Times New Roman" w:eastAsia="Times New Roman" w:cs="Times New Roman"/>
        </w:rPr>
        <w:t>“L’œuvre du troisième ange” est aussi “l’œuvre du salut”, qui prépare “les saints à subsister au temps où les sept derniers fléaux seront déversés”.</w:t>
      </w:r>
    </w:p>
    <w:p>
      <w:pPr>
        <w:pStyle w:val="ArticleScripture"/>
        <w:jc w:val="left"/>
      </w:pPr>
      <w:r>
        <w:rPr>
          <w:rFonts w:ascii="Times New Roman" w:hAnsi="Times New Roman" w:eastAsia="Times New Roman" w:cs="Times New Roman"/>
        </w:rPr>
        <w:t>Et les nations se sont irritées; et ta colère est venue, ainsi que le temps des morts, afin qu’ils soient jugés, et afin que tu donnes leur récompense à tes serviteurs les prophètes, aux saints, et à ceux qui craignent ton nom, petits et grands; et que tu détruises ceux qui détruisent la terre. Apocalypse 11:18.</w:t>
      </w:r>
    </w:p>
    <w:p>
      <w:pPr>
        <w:pStyle w:val="ArticleBody"/>
        <w:jc w:val="left"/>
      </w:pPr>
      <w:r>
        <w:rPr>
          <w:rFonts w:ascii="Nirmala UI" w:hAnsi="Nirmala UI" w:eastAsia="Nirmala UI" w:cs="Nirmala UI"/>
        </w:rPr>
        <w:t>एफएफ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निर्दिष्ट</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कृपया</w:t>
      </w:r>
      <w:r>
        <w:rPr>
          <w:rFonts w:ascii="Times New Roman" w:hAnsi="Times New Roman" w:eastAsia="Times New Roman" w:cs="Times New Roman"/>
        </w:rPr>
        <w:t xml:space="preserve"> </w:t>
      </w:r>
      <w:r>
        <w:rPr>
          <w:rFonts w:ascii="Nirmala UI" w:hAnsi="Nirmala UI" w:eastAsia="Nirmala UI" w:cs="Nirmala UI"/>
        </w:rPr>
        <w:t>बताइए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“ff”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आपका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Nirmala UI" w:hAnsi="Nirmala UI" w:eastAsia="Nirmala UI" w:cs="Nirmala UI"/>
        </w:rPr>
        <w:t>यशस्वी</w:t>
      </w:r>
      <w:r>
        <w:rPr>
          <w:rFonts w:ascii="Times New Roman" w:hAnsi="Times New Roman" w:eastAsia="Times New Roman" w:cs="Times New Roman"/>
        </w:rPr>
        <w:t xml:space="preserve"> </w:t>
      </w:r>
      <w:r>
        <w:rPr>
          <w:rFonts w:ascii="Nirmala UI" w:hAnsi="Nirmala UI" w:eastAsia="Nirmala UI" w:cs="Nirmala UI"/>
        </w:rPr>
        <w:t>प्रभूच्या</w:t>
      </w:r>
      <w:r>
        <w:rPr>
          <w:rFonts w:ascii="Times New Roman" w:hAnsi="Times New Roman" w:eastAsia="Times New Roman" w:cs="Times New Roman"/>
        </w:rPr>
        <w:t xml:space="preserve"> </w:t>
      </w:r>
      <w:r>
        <w:rPr>
          <w:rFonts w:ascii="Nirmala UI" w:hAnsi="Nirmala UI" w:eastAsia="Nirmala UI" w:cs="Nirmala UI"/>
        </w:rPr>
        <w:t>कार्याचा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आत्म्यांच्या</w:t>
      </w:r>
      <w:r>
        <w:rPr>
          <w:rFonts w:ascii="Times New Roman" w:hAnsi="Times New Roman" w:eastAsia="Times New Roman" w:cs="Times New Roman"/>
        </w:rPr>
        <w:t xml:space="preserve"> </w:t>
      </w:r>
      <w:r>
        <w:rPr>
          <w:rFonts w:ascii="Nirmala UI" w:hAnsi="Nirmala UI" w:eastAsia="Nirmala UI" w:cs="Nirmala UI"/>
        </w:rPr>
        <w:t>तारणाची</w:t>
      </w:r>
      <w:r>
        <w:rPr>
          <w:rFonts w:ascii="Times New Roman" w:hAnsi="Times New Roman" w:eastAsia="Times New Roman" w:cs="Times New Roman"/>
        </w:rPr>
        <w:t xml:space="preserve"> </w:t>
      </w:r>
      <w:r>
        <w:rPr>
          <w:rFonts w:ascii="Nirmala UI" w:hAnsi="Nirmala UI" w:eastAsia="Nirmala UI" w:cs="Nirmala UI"/>
        </w:rPr>
        <w:t>कळकळ</w:t>
      </w:r>
      <w:r>
        <w:rPr>
          <w:rFonts w:ascii="Times New Roman" w:hAnsi="Times New Roman" w:eastAsia="Times New Roman" w:cs="Times New Roman"/>
        </w:rPr>
        <w:t xml:space="preserve"> </w:t>
      </w:r>
      <w:r>
        <w:rPr>
          <w:rFonts w:ascii="Nirmala UI" w:hAnsi="Nirmala UI" w:eastAsia="Nirmala UI" w:cs="Nirmala UI"/>
        </w:rPr>
        <w:t>अंतःकरणी</w:t>
      </w:r>
      <w:r>
        <w:rPr>
          <w:rFonts w:ascii="Times New Roman" w:hAnsi="Times New Roman" w:eastAsia="Times New Roman" w:cs="Times New Roman"/>
        </w:rPr>
        <w:t xml:space="preserve"> </w:t>
      </w:r>
      <w:r>
        <w:rPr>
          <w:rFonts w:ascii="Nirmala UI" w:hAnsi="Nirmala UI" w:eastAsia="Nirmala UI" w:cs="Nirmala UI"/>
        </w:rPr>
        <w:t>बाळगणारे</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खरे</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नेहमी</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खऱ्या</w:t>
      </w:r>
      <w:r>
        <w:rPr>
          <w:rFonts w:ascii="Times New Roman" w:hAnsi="Times New Roman" w:eastAsia="Times New Roman" w:cs="Times New Roman"/>
        </w:rPr>
        <w:t xml:space="preserve">, </w:t>
      </w:r>
      <w:r>
        <w:rPr>
          <w:rFonts w:ascii="Nirmala UI" w:hAnsi="Nirmala UI" w:eastAsia="Nirmala UI" w:cs="Nirmala UI"/>
        </w:rPr>
        <w:t>पापमय</w:t>
      </w:r>
      <w:r>
        <w:rPr>
          <w:rFonts w:ascii="Times New Roman" w:hAnsi="Times New Roman" w:eastAsia="Times New Roman" w:cs="Times New Roman"/>
        </w:rPr>
        <w:t xml:space="preserve"> </w:t>
      </w:r>
      <w:r>
        <w:rPr>
          <w:rFonts w:ascii="Nirmala UI" w:hAnsi="Nirmala UI" w:eastAsia="Nirmala UI" w:cs="Nirmala UI"/>
        </w:rPr>
        <w:t>स्वरूपातच</w:t>
      </w:r>
      <w:r>
        <w:rPr>
          <w:rFonts w:ascii="Times New Roman" w:hAnsi="Times New Roman" w:eastAsia="Times New Roman" w:cs="Times New Roman"/>
        </w:rPr>
        <w:t xml:space="preserve"> </w:t>
      </w:r>
      <w:r>
        <w:rPr>
          <w:rFonts w:ascii="Nirmala UI" w:hAnsi="Nirmala UI" w:eastAsia="Nirmala UI" w:cs="Nirmala UI"/>
        </w:rPr>
        <w:t>पाहतील</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सहजपणे</w:t>
      </w:r>
      <w:r>
        <w:rPr>
          <w:rFonts w:ascii="Times New Roman" w:hAnsi="Times New Roman" w:eastAsia="Times New Roman" w:cs="Times New Roman"/>
        </w:rPr>
        <w:t xml:space="preserve"> </w:t>
      </w:r>
      <w:r>
        <w:rPr>
          <w:rFonts w:ascii="Nirmala UI" w:hAnsi="Nirmala UI" w:eastAsia="Nirmala UI" w:cs="Nirmala UI"/>
        </w:rPr>
        <w:t>वेढून</w:t>
      </w:r>
      <w:r>
        <w:rPr>
          <w:rFonts w:ascii="Times New Roman" w:hAnsi="Times New Roman" w:eastAsia="Times New Roman" w:cs="Times New Roman"/>
        </w:rPr>
        <w:t xml:space="preserve"> </w:t>
      </w:r>
      <w:r>
        <w:rPr>
          <w:rFonts w:ascii="Nirmala UI" w:hAnsi="Nirmala UI" w:eastAsia="Nirmala UI" w:cs="Nirmala UI"/>
        </w:rPr>
        <w:t>टाकणाऱ्या</w:t>
      </w:r>
      <w:r>
        <w:rPr>
          <w:rFonts w:ascii="Times New Roman" w:hAnsi="Times New Roman" w:eastAsia="Times New Roman" w:cs="Times New Roman"/>
        </w:rPr>
        <w:t xml:space="preserve"> </w:t>
      </w:r>
      <w:r>
        <w:rPr>
          <w:rFonts w:ascii="Nirmala UI" w:hAnsi="Nirmala UI" w:eastAsia="Nirmala UI" w:cs="Nirmala UI"/>
        </w:rPr>
        <w:t>पापांबाबत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सदैव</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व्यवहाराच्या</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राहतील</w:t>
      </w:r>
      <w:r>
        <w:rPr>
          <w:rFonts w:ascii="Times New Roman" w:hAnsi="Times New Roman" w:eastAsia="Times New Roman" w:cs="Times New Roman"/>
        </w:rPr>
        <w:t xml:space="preserve">. </w:t>
      </w:r>
      <w:r>
        <w:rPr>
          <w:rFonts w:ascii="Nirmala UI" w:hAnsi="Nirmala UI" w:eastAsia="Nirmala UI" w:cs="Nirmala UI"/>
        </w:rPr>
        <w:t>विशेषतः</w:t>
      </w:r>
      <w:r>
        <w:rPr>
          <w:rFonts w:ascii="Times New Roman" w:hAnsi="Times New Roman" w:eastAsia="Times New Roman" w:cs="Times New Roman"/>
        </w:rPr>
        <w:t xml:space="preserve"> </w:t>
      </w:r>
      <w:r>
        <w:rPr>
          <w:rFonts w:ascii="Nirmala UI" w:hAnsi="Nirmala UI" w:eastAsia="Nirmala UI" w:cs="Nirmala UI"/>
        </w:rPr>
        <w:t>मंडळीसाठीच्या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सिंहासनासमोर</w:t>
      </w:r>
      <w:r>
        <w:rPr>
          <w:rFonts w:ascii="Times New Roman" w:hAnsi="Times New Roman" w:eastAsia="Times New Roman" w:cs="Times New Roman"/>
        </w:rPr>
        <w:t xml:space="preserve"> </w:t>
      </w:r>
      <w:r>
        <w:rPr>
          <w:rFonts w:ascii="Nirmala UI" w:hAnsi="Nirmala UI" w:eastAsia="Nirmala UI" w:cs="Nirmala UI"/>
        </w:rPr>
        <w:t>निर्दोष</w:t>
      </w:r>
      <w:r>
        <w:rPr>
          <w:rFonts w:ascii="Times New Roman" w:hAnsi="Times New Roman" w:eastAsia="Times New Roman" w:cs="Times New Roman"/>
        </w:rPr>
        <w:t xml:space="preserve"> </w:t>
      </w:r>
      <w:r>
        <w:rPr>
          <w:rFonts w:ascii="Nirmala UI" w:hAnsi="Nirmala UI" w:eastAsia="Nirmala UI" w:cs="Nirmala UI"/>
        </w:rPr>
        <w:t>उभे</w:t>
      </w:r>
      <w:r>
        <w:rPr>
          <w:rFonts w:ascii="Times New Roman" w:hAnsi="Times New Roman" w:eastAsia="Times New Roman" w:cs="Times New Roman"/>
        </w:rPr>
        <w:t xml:space="preserve"> </w:t>
      </w:r>
      <w:r>
        <w:rPr>
          <w:rFonts w:ascii="Nirmala UI" w:hAnsi="Nirmala UI" w:eastAsia="Nirmala UI" w:cs="Nirmala UI"/>
        </w:rPr>
        <w:t>राहणाऱ्या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चव्वेचाळीस</w:t>
      </w:r>
      <w:r>
        <w:rPr>
          <w:rFonts w:ascii="Times New Roman" w:hAnsi="Times New Roman" w:eastAsia="Times New Roman" w:cs="Times New Roman"/>
        </w:rPr>
        <w:t xml:space="preserve"> </w:t>
      </w:r>
      <w:r>
        <w:rPr>
          <w:rFonts w:ascii="Nirmala UI" w:hAnsi="Nirmala UI" w:eastAsia="Nirmala UI" w:cs="Nirmala UI"/>
        </w:rPr>
        <w:t>हजारांच्या</w:t>
      </w:r>
      <w:r>
        <w:rPr>
          <w:rFonts w:ascii="Times New Roman" w:hAnsi="Times New Roman" w:eastAsia="Times New Roman" w:cs="Times New Roman"/>
        </w:rPr>
        <w:t xml:space="preserve"> </w:t>
      </w:r>
      <w:r>
        <w:rPr>
          <w:rFonts w:ascii="Nirmala UI" w:hAnsi="Nirmala UI" w:eastAsia="Nirmala UI" w:cs="Nirmala UI"/>
        </w:rPr>
        <w:t>शिक्कामोर्तब</w:t>
      </w:r>
      <w:r>
        <w:rPr>
          <w:rFonts w:ascii="Times New Roman" w:hAnsi="Times New Roman" w:eastAsia="Times New Roman" w:cs="Times New Roman"/>
        </w:rPr>
        <w:t xml:space="preserve"> </w:t>
      </w:r>
      <w:r>
        <w:rPr>
          <w:rFonts w:ascii="Nirmala UI" w:hAnsi="Nirmala UI" w:eastAsia="Nirmala UI" w:cs="Nirmala UI"/>
        </w:rPr>
        <w:t>करण्याच्या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करणाऱ्या</w:t>
      </w:r>
      <w:r>
        <w:rPr>
          <w:rFonts w:ascii="Times New Roman" w:hAnsi="Times New Roman" w:eastAsia="Times New Roman" w:cs="Times New Roman"/>
        </w:rPr>
        <w:t xml:space="preserve"> </w:t>
      </w:r>
      <w:r>
        <w:rPr>
          <w:rFonts w:ascii="Nirmala UI" w:hAnsi="Nirmala UI" w:eastAsia="Nirmala UI" w:cs="Nirmala UI"/>
        </w:rPr>
        <w:t>लोकांच्या</w:t>
      </w:r>
      <w:r>
        <w:rPr>
          <w:rFonts w:ascii="Times New Roman" w:hAnsi="Times New Roman" w:eastAsia="Times New Roman" w:cs="Times New Roman"/>
        </w:rPr>
        <w:t xml:space="preserve"> </w:t>
      </w:r>
      <w:r>
        <w:rPr>
          <w:rFonts w:ascii="Nirmala UI" w:hAnsi="Nirmala UI" w:eastAsia="Nirmala UI" w:cs="Nirmala UI"/>
        </w:rPr>
        <w:t>अपराधांबद्दल</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अतिशय</w:t>
      </w:r>
      <w:r>
        <w:rPr>
          <w:rFonts w:ascii="Times New Roman" w:hAnsi="Times New Roman" w:eastAsia="Times New Roman" w:cs="Times New Roman"/>
        </w:rPr>
        <w:t xml:space="preserve"> </w:t>
      </w:r>
      <w:r>
        <w:rPr>
          <w:rFonts w:ascii="Nirmala UI" w:hAnsi="Nirmala UI" w:eastAsia="Nirmala UI" w:cs="Nirmala UI"/>
        </w:rPr>
        <w:t>खोलवर</w:t>
      </w:r>
      <w:r>
        <w:rPr>
          <w:rFonts w:ascii="Times New Roman" w:hAnsi="Times New Roman" w:eastAsia="Times New Roman" w:cs="Times New Roman"/>
        </w:rPr>
        <w:t xml:space="preserve"> </w:t>
      </w:r>
      <w:r>
        <w:rPr>
          <w:rFonts w:ascii="Nirmala UI" w:hAnsi="Nirmala UI" w:eastAsia="Nirmala UI" w:cs="Nirmala UI"/>
        </w:rPr>
        <w:t>वेदना</w:t>
      </w:r>
      <w:r>
        <w:rPr>
          <w:rFonts w:ascii="Times New Roman" w:hAnsi="Times New Roman" w:eastAsia="Times New Roman" w:cs="Times New Roman"/>
        </w:rPr>
        <w:t xml:space="preserve"> </w:t>
      </w:r>
      <w:r>
        <w:rPr>
          <w:rFonts w:ascii="Nirmala UI" w:hAnsi="Nirmala UI" w:eastAsia="Nirmala UI" w:cs="Nirmala UI"/>
        </w:rPr>
        <w:t>होतील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संदेष्ट्याने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पुरुषाच्या</w:t>
      </w:r>
      <w:r>
        <w:rPr>
          <w:rFonts w:ascii="Times New Roman" w:hAnsi="Times New Roman" w:eastAsia="Times New Roman" w:cs="Times New Roman"/>
        </w:rPr>
        <w:t xml:space="preserve"> </w:t>
      </w:r>
      <w:r>
        <w:rPr>
          <w:rFonts w:ascii="Nirmala UI" w:hAnsi="Nirmala UI" w:eastAsia="Nirmala UI" w:cs="Nirmala UI"/>
        </w:rPr>
        <w:t>हातात</w:t>
      </w:r>
      <w:r>
        <w:rPr>
          <w:rFonts w:ascii="Times New Roman" w:hAnsi="Times New Roman" w:eastAsia="Times New Roman" w:cs="Times New Roman"/>
        </w:rPr>
        <w:t xml:space="preserve"> </w:t>
      </w:r>
      <w:r>
        <w:rPr>
          <w:rFonts w:ascii="Nirmala UI" w:hAnsi="Nirmala UI" w:eastAsia="Nirmala UI" w:cs="Nirmala UI"/>
        </w:rPr>
        <w:t>संहाराचे</w:t>
      </w:r>
      <w:r>
        <w:rPr>
          <w:rFonts w:ascii="Times New Roman" w:hAnsi="Times New Roman" w:eastAsia="Times New Roman" w:cs="Times New Roman"/>
        </w:rPr>
        <w:t xml:space="preserve"> </w:t>
      </w:r>
      <w:r>
        <w:rPr>
          <w:rFonts w:ascii="Nirmala UI" w:hAnsi="Nirmala UI" w:eastAsia="Nirmala UI" w:cs="Nirmala UI"/>
        </w:rPr>
        <w:t>शस्त्र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प्रतीकाद्वारे</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प्रभावीपणे</w:t>
      </w:r>
      <w:r>
        <w:rPr>
          <w:rFonts w:ascii="Times New Roman" w:hAnsi="Times New Roman" w:eastAsia="Times New Roman" w:cs="Times New Roman"/>
        </w:rPr>
        <w:t xml:space="preserve"> </w:t>
      </w:r>
      <w:r>
        <w:rPr>
          <w:rFonts w:ascii="Nirmala UI" w:hAnsi="Nirmala UI" w:eastAsia="Nirmala UI" w:cs="Nirmala UI"/>
        </w:rPr>
        <w:t>मांडले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त्यांच्यामध्ये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तागाचे</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कंबरेजवळ</w:t>
      </w:r>
      <w:r>
        <w:rPr>
          <w:rFonts w:ascii="Times New Roman" w:hAnsi="Times New Roman" w:eastAsia="Times New Roman" w:cs="Times New Roman"/>
        </w:rPr>
        <w:t xml:space="preserve"> </w:t>
      </w:r>
      <w:r>
        <w:rPr>
          <w:rFonts w:ascii="Nirmala UI" w:hAnsi="Nirmala UI" w:eastAsia="Nirmala UI" w:cs="Nirmala UI"/>
        </w:rPr>
        <w:t>लेखकाची</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‘And the Lord said unto him, Go through the midst of the city, through the midst of Jerusalem, and set a mark upon the foreheads of the men that sigh and that cry for all the abominations that be done in the midst thereof.’” Testimonies, volume 3, 266.</w:t>
      </w:r>
    </w:p>
    <w:p>
      <w:pPr>
        <w:pStyle w:val="ArticleBody"/>
        <w:jc w:val="left"/>
      </w:pPr>
      <w:r>
        <w:rPr>
          <w:rFonts w:ascii="Times New Roman" w:hAnsi="Times New Roman" w:eastAsia="Times New Roman" w:cs="Times New Roman"/>
        </w:rPr>
        <w:t>Les nations sont tenues en échec afin de ne pas empêcher le scellement des cent quarante-quatre mille. Au chapitre sept de l’Apocalypse, les nations irritées qui sont tenues en échec sont représentées comme quatre vents retenus durant cette même période de temps, et ce temps est expressément identifié comme une période de temps.</w:t>
      </w:r>
    </w:p>
    <w:p>
      <w:pPr>
        <w:pStyle w:val="ArticleScripture"/>
        <w:jc w:val="left"/>
      </w:pPr>
      <w:r>
        <w:rPr>
          <w:rFonts w:ascii="Times New Roman" w:hAnsi="Times New Roman" w:eastAsia="Times New Roman" w:cs="Times New Roman"/>
        </w:rPr>
        <w:t>“Satan iku saiki nggunakaké saben cara ing mangsa panyegelan iki kanggo njaga supaya pikiran umaté Gusti Allah adoh saka kayektèn jaman saiki lan supaya padha goyah. Aku weruh ana panutupan sing lagi diparingaké Gusti Allah marang umaté kanggo nglindhungi wong-wong mau ing mangsa kasangsaran; lan saben jiwa sing mantep ing kayektèn lan resik atiné bakal katutupan déning panutupané Kang Mahakuwasa.</w:t>
      </w:r>
    </w:p>
    <w:p>
      <w:pPr>
        <w:pStyle w:val="ArticleScripture"/>
        <w:jc w:val="left"/>
      </w:pPr>
      <w:r>
        <w:rPr>
          <w:rFonts w:ascii="Times New Roman" w:hAnsi="Times New Roman" w:eastAsia="Times New Roman" w:cs="Times New Roman"/>
        </w:rPr>
        <w:t>«Սատանան գիտեր դա, և նա գործում էր հզոր զորությամբ, որպեսզի որքան հնարավոր էր շատ մարդկանց միտքը պահեր ճշմարտության հանդեպ տատանվող և անորոշ։ …»</w:t>
      </w:r>
    </w:p>
    <w:p>
      <w:pPr>
        <w:pStyle w:val="ArticleScripture"/>
        <w:jc w:val="left"/>
      </w:pPr>
      <w:r>
        <w:rPr>
          <w:rFonts w:ascii="Times New Roman" w:hAnsi="Times New Roman" w:eastAsia="Times New Roman" w:cs="Times New Roman"/>
        </w:rPr>
        <w:t>“Mo rí i pé Sátánì ń ṣiṣẹ́ ní àwọn ọ̀nà wọ̀nyí láti yí àwọn ènìyàn Ọlọ́run lọ́kàn kúrò, láti tàn wọ́n jẹ, àti láti fà wọ́n kúrò, gan-an ní àkókò ìdìdìmọ́ yìí. Mo rí àwọn kan tí wọn kò dúró ṣinṣin fún òtítọ́ ìsinsìnyí. Orúnkún wọn ń gbọ̀n, ẹsẹ̀ wọn sì ń yọ̀, nítorí wọn kò fìdí múlẹ̀ lórí òtítọ́, àti pé àṣàbo Ọlọ́run Olódùmarè kò lè bò wọ́n nígbà tí wọn ṣì ń gbọ̀n bẹ́ẹ̀.”</w:t>
      </w:r>
    </w:p>
    <w:p>
      <w:pPr>
        <w:pStyle w:val="ArticleScripture"/>
        <w:jc w:val="left"/>
      </w:pPr>
      <w:r>
        <w:rPr>
          <w:rFonts w:ascii="Times New Roman" w:hAnsi="Times New Roman" w:eastAsia="Times New Roman" w:cs="Times New Roman"/>
        </w:rPr>
        <w:t>“Satan alikuwa akitumia kila hila yake ili kuwashikilia walipokuwa, mpaka kutiwa muhuri kupite, mpaka kifuniko kivutwe juu ya watu wa Mungu, nao waachwe bila kinga dhidi ya ghadhabu iwakayo ya Mungu, katika mapigo saba ya mwisho. Mungu ameanza kukivuta kifuniko hiki juu ya watu Wake, nacho kitavuliwa upesi juu ya wote watakaokuwa na hifadhi siku ya machinjo. Mungu atatenda kwa uweza kwa ajili ya watu Wake; naye Shetani ataruhusiwa kutenda pia.” Early Writings, 43, 44.</w:t>
      </w:r>
    </w:p>
    <w:p>
      <w:pPr>
        <w:pStyle w:val="ArticleBody"/>
        <w:jc w:val="left"/>
      </w:pP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1851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विपत्तियों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आच्छादित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बजाय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w:t>
      </w:r>
      <w:r>
        <w:rPr>
          <w:rFonts w:ascii="Nirmala UI" w:hAnsi="Nirmala UI" w:eastAsia="Nirmala UI" w:cs="Nirmala UI"/>
        </w:rPr>
        <w:t>भ्रमण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p>
    <w:p>
      <w:pPr>
        <w:pStyle w:val="ArticleBody"/>
        <w:jc w:val="left"/>
      </w:pPr>
      <w:r>
        <w:rPr>
          <w:rFonts w:ascii="Times New Roman" w:hAnsi="Times New Roman" w:eastAsia="Times New Roman" w:cs="Times New Roman"/>
        </w:rPr>
        <w:t>Yon san karann-kat mil yo sele a se yon peryòd tan, e li kòmanse lè kat zanj yo kenbe kat van yo, ki se menm moman kote nasyon yo fache, men yo rete anba kontwòl. Pandan tan sele a, Bondye ap prepare pèp Li a pou yo ka kanpe nan tan sèt dènye kalamite yo, e preparasyon sa a reprezante kòm rale “yon kouvèti” sou pèp Li a; li reprezante tou kòm finisman travay delivrans lan ak finisman travay twazyèm zanj lan. Preparasyon tout ilistrasyon sa yo reprezante a baze sou resepsyon “verite prezan” an.</w:t>
      </w:r>
    </w:p>
    <w:p>
      <w:pPr>
        <w:pStyle w:val="ArticleBody"/>
        <w:jc w:val="left"/>
      </w:pPr>
      <w:r>
        <w:rPr>
          <w:rFonts w:ascii="Times New Roman" w:hAnsi="Times New Roman" w:eastAsia="Times New Roman" w:cs="Times New Roman"/>
        </w:rPr>
        <w:t>“Iqiqlutik nikorfanngitsut ullumikkut ilumoortumut aalajangiusimallutik qajannanngitsumik,” tassaapput “nalornisut,” eqqarsaatigimmassuk “ullumikkut ilumoortoq” isumaminnik aallutissaanngitsoq. Allappoq nammineq “takugiga ilaanni ullumikkut ilumoortumut aalajangiusimallutik qajannanngitsumik nikorfanngitsut. Seeqquni sajupput, itserilu sisullutik, ilumoortumut aalajangiusimalluinnanngimmata, aammalu Guutip Ajugaqanngitsup matusernera taakku qulaannut siaarneqarsinnaanngilaq taamaattut sajupputillugit.”</w:t>
      </w:r>
    </w:p>
    <w:p>
      <w:pPr>
        <w:pStyle w:val="ArticleBody"/>
        <w:jc w:val="left"/>
      </w:pPr>
      <w:r>
        <w:rPr>
          <w:rFonts w:ascii="Times New Roman" w:hAnsi="Times New Roman" w:eastAsia="Times New Roman" w:cs="Times New Roman"/>
        </w:rPr>
        <w:t>Die „gegenwärtige Wahrheit“ ist es, die die „Bedeckung“ gewährt, und die „Bedeckung“ wird zugleich als das „Siegel Gottes“ dargestellt. Das „Siegel Gottes“ wurde durch das Blut vorgebildet, das die Türen der Hebräer bedeckte und dem verderbenden Engel erlaubte, an den Häusern vorüberzugehen, deren Tür mit dem Blut „bedeckt“ war. Die „Bedeckung“ ist die „Versiegelung“, und die „Versiegelung“ wird durch die „gegenwärtige Wahrheit“ vollzogen.</w:t>
      </w:r>
    </w:p>
    <w:p>
      <w:pPr>
        <w:pStyle w:val="ArticleScripture"/>
        <w:jc w:val="left"/>
      </w:pPr>
      <w:r>
        <w:rPr>
          <w:rFonts w:ascii="Times New Roman" w:hAnsi="Times New Roman" w:eastAsia="Times New Roman" w:cs="Times New Roman"/>
        </w:rPr>
        <w:t>Consacre-les par ta vérité : ta parole est vérité. Jean 17:17.</w:t>
      </w:r>
    </w:p>
    <w:p>
      <w:pPr>
        <w:pStyle w:val="ArticleBody"/>
        <w:jc w:val="left"/>
      </w:pPr>
      <w:r>
        <w:rPr>
          <w:rFonts w:ascii="Times New Roman" w:hAnsi="Times New Roman" w:eastAsia="Times New Roman" w:cs="Times New Roman"/>
        </w:rPr>
        <w:t>ہر اصلاحی تحریک کا اپنا ایک مخصوص موضوع رہا ہے، اور ایک سو چوالیس ہزار کی اصلاحی تحریک کا موضوع ’’تیسری آفت کا اسلام‘‘ ہے۔ آخری ایام میں ’’موجودہ صداقت‘‘ تیسری آفت کا اسلام ہے۔</w:t>
      </w:r>
    </w:p>
    <w:p>
      <w:pPr>
        <w:pStyle w:val="ArticleScripture"/>
        <w:jc w:val="left"/>
      </w:pPr>
      <w:r>
        <w:rPr>
          <w:rFonts w:ascii="Times New Roman" w:hAnsi="Times New Roman" w:eastAsia="Times New Roman" w:cs="Times New Roman"/>
        </w:rPr>
        <w:t>« Les Écritures s’ouvrent continuellement au peuple de Dieu. Il y a toujours eu, et il y aura toujours, une vérité spécialement applicable à chaque génération. » Review and Herald, 29 juin 1886.</w:t>
      </w:r>
    </w:p>
    <w:p>
      <w:pPr>
        <w:pStyle w:val="ArticleBody"/>
        <w:jc w:val="left"/>
      </w:pPr>
      <w:r>
        <w:rPr>
          <w:rFonts w:ascii="Times New Roman" w:hAnsi="Times New Roman" w:eastAsia="Times New Roman" w:cs="Times New Roman"/>
        </w:rPr>
        <w:t>Aka jẹ nokware a wɔwɔ hɔ se “nkrasɛm” na esɔre Onyankopɔn man no ano wɔ nna a edi akyiri no mu, na wɔkyerɛ sɔ ano bere no sɛ efi ase bere a wokura mframa anan no mu. Amanaman no bo fuwii September 11, 2001, na saa bere no na ɔha aduanan anan apem no sɔ ano no fii ase, bere a osu a etwa to, a ɛyɛ “nkrasɛm” no, fii ase yii ne ho adi.</w:t>
      </w:r>
    </w:p>
    <w:p>
      <w:pPr>
        <w:pStyle w:val="ArticleScripture"/>
        <w:jc w:val="left"/>
      </w:pPr>
      <w:r>
        <w:rPr>
          <w:rFonts w:ascii="Times New Roman" w:hAnsi="Times New Roman" w:eastAsia="Times New Roman" w:cs="Times New Roman"/>
        </w:rPr>
        <w:t>«Kwa Yohana zilifunuliwa mandhari zenye kina na za kusisimua sana kuhusu uzoefu wa kanisa. Aliona hali, hatari, mapambano, na ukombozi wa mwisho wa watu wa Mungu. Anaandika jumbe za kufunga ambazo zitakomaza mavuno ya dunia, aidha kuwa miganda kwa ghala la mbinguni au kuwa mafungu kwa ajili ya mioto ya uharibifu. Mada za umuhimu mkuu zilifunuliwa kwake, hasa kwa ajili ya kanisa la mwisho, ili wale watakaogeuka kutoka katika kosa na kuingia katika kweli wafundishwe kuhusu hatari na mapambano yaliyo mbele yao. Hakuna anayepaswa kuwa gizani kuhusu yale yatakayoujia ulimwengu.» The Great Controversy, 341.</w:t>
      </w:r>
    </w:p>
    <w:p>
      <w:pPr>
        <w:pStyle w:val="ArticleBody"/>
        <w:jc w:val="left"/>
      </w:pPr>
      <w:r>
        <w:rPr>
          <w:rFonts w:ascii="Times New Roman" w:hAnsi="Times New Roman" w:eastAsia="Times New Roman" w:cs="Times New Roman"/>
        </w:rPr>
        <w:t>Lorsque les nations s’irritèrent, elles furent en même temps retenues, et la « pluie de l’arrière-saison » commença à tomber ; or, la pluie de l’arrière-saison est le message de la « vérité présente » qui scelle le peuple de Dieu.</w:t>
      </w:r>
    </w:p>
    <w:p>
      <w:pPr>
        <w:pStyle w:val="ArticleScripture"/>
        <w:jc w:val="left"/>
      </w:pPr>
      <w:r>
        <w:rPr>
          <w:rFonts w:ascii="Microsoft YaHei" w:hAnsi="Microsoft YaHei" w:eastAsia="Microsoft YaHei" w:cs="Microsoft YaHei"/>
        </w:rPr>
        <w:t>「</w:t>
      </w:r>
      <w:r>
        <w:rPr>
          <w:rFonts w:ascii="MS Gothic" w:hAnsi="MS Gothic" w:eastAsia="MS Gothic" w:cs="MS Gothic"/>
        </w:rPr>
        <w:t>バトルクリークにおける</w:t>
      </w:r>
      <w:r>
        <w:rPr>
          <w:rFonts w:ascii="Microsoft YaHei" w:hAnsi="Microsoft YaHei" w:eastAsia="Microsoft YaHei" w:cs="Microsoft YaHei"/>
        </w:rPr>
        <w:t>働</w:t>
      </w:r>
      <w:r>
        <w:rPr>
          <w:rFonts w:ascii="MS Gothic" w:hAnsi="MS Gothic" w:eastAsia="MS Gothic" w:cs="MS Gothic"/>
        </w:rPr>
        <w:t>きも</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性質</w:t>
      </w:r>
      <w:r>
        <w:rPr>
          <w:rFonts w:ascii="MS Gothic" w:hAnsi="MS Gothic" w:eastAsia="MS Gothic" w:cs="MS Gothic"/>
        </w:rPr>
        <w:t>のものである</w:t>
      </w:r>
      <w:r>
        <w:rPr>
          <w:rFonts w:ascii="Times New Roman" w:hAnsi="Times New Roman" w:eastAsia="Times New Roman" w:cs="Times New Roman"/>
        </w:rPr>
        <w:t>.</w:t>
      </w:r>
      <w:r>
        <w:rPr>
          <w:rFonts w:ascii="MS Gothic" w:hAnsi="MS Gothic" w:eastAsia="MS Gothic" w:cs="MS Gothic"/>
        </w:rPr>
        <w:t>サナトリウムの</w:t>
      </w:r>
      <w:r>
        <w:rPr>
          <w:rFonts w:ascii="Microsoft YaHei" w:hAnsi="Microsoft YaHei" w:eastAsia="Microsoft YaHei" w:cs="Microsoft YaHei"/>
        </w:rPr>
        <w:t>指導者</w:t>
      </w:r>
      <w:r>
        <w:rPr>
          <w:rFonts w:ascii="MS Gothic" w:hAnsi="MS Gothic" w:eastAsia="MS Gothic" w:cs="MS Gothic"/>
        </w:rPr>
        <w:t>たちは</w:t>
      </w:r>
      <w:r>
        <w:rPr>
          <w:rFonts w:ascii="Microsoft YaHei" w:hAnsi="Microsoft YaHei" w:eastAsia="Microsoft YaHei" w:cs="Microsoft YaHei"/>
        </w:rPr>
        <w:t>、不信者</w:t>
      </w:r>
      <w:r>
        <w:rPr>
          <w:rFonts w:ascii="MS Gothic" w:hAnsi="MS Gothic" w:eastAsia="MS Gothic" w:cs="MS Gothic"/>
        </w:rPr>
        <w:t>たちを</w:t>
      </w:r>
      <w:r>
        <w:rPr>
          <w:rFonts w:ascii="Microsoft YaHei" w:hAnsi="Microsoft YaHei" w:eastAsia="Microsoft YaHei" w:cs="Microsoft YaHei"/>
        </w:rPr>
        <w:t>交</w:t>
      </w:r>
      <w:r>
        <w:rPr>
          <w:rFonts w:ascii="MS Gothic" w:hAnsi="MS Gothic" w:eastAsia="MS Gothic" w:cs="MS Gothic"/>
        </w:rPr>
        <w:t>え</w:t>
      </w:r>
      <w:r>
        <w:rPr>
          <w:rFonts w:ascii="Microsoft YaHei" w:hAnsi="Microsoft YaHei" w:eastAsia="Microsoft YaHei" w:cs="Microsoft YaHei"/>
        </w:rPr>
        <w:t>、多少</w:t>
      </w:r>
      <w:r>
        <w:rPr>
          <w:rFonts w:ascii="MS Gothic" w:hAnsi="MS Gothic" w:eastAsia="MS Gothic" w:cs="MS Gothic"/>
        </w:rPr>
        <w:t>なりとも</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協議</w:t>
      </w:r>
      <w:r>
        <w:rPr>
          <w:rFonts w:ascii="MS Gothic" w:hAnsi="MS Gothic" w:eastAsia="MS Gothic" w:cs="MS Gothic"/>
        </w:rPr>
        <w:t>の</w:t>
      </w:r>
      <w:r>
        <w:rPr>
          <w:rFonts w:ascii="Microsoft YaHei" w:hAnsi="Microsoft YaHei" w:eastAsia="Microsoft YaHei" w:cs="Microsoft YaHei"/>
        </w:rPr>
        <w:t>場</w:t>
      </w:r>
      <w:r>
        <w:rPr>
          <w:rFonts w:ascii="MS Gothic" w:hAnsi="MS Gothic" w:eastAsia="MS Gothic" w:cs="MS Gothic"/>
        </w:rPr>
        <w:t>に</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れてきたが</w:t>
      </w:r>
      <w:r>
        <w:rPr>
          <w:rFonts w:ascii="Microsoft YaHei" w:hAnsi="Microsoft YaHei" w:eastAsia="Microsoft YaHei" w:cs="Microsoft YaHei"/>
        </w:rPr>
        <w:t>、</w:t>
      </w:r>
      <w:r>
        <w:rPr>
          <w:rFonts w:ascii="MS Gothic" w:hAnsi="MS Gothic" w:eastAsia="MS Gothic" w:cs="MS Gothic"/>
        </w:rPr>
        <w:t>それはあたかも</w:t>
      </w:r>
      <w:r>
        <w:rPr>
          <w:rFonts w:ascii="Microsoft YaHei" w:hAnsi="Microsoft YaHei" w:eastAsia="Microsoft YaHei" w:cs="Microsoft YaHei"/>
        </w:rPr>
        <w:t>目</w:t>
      </w:r>
      <w:r>
        <w:rPr>
          <w:rFonts w:ascii="MS Gothic" w:hAnsi="MS Gothic" w:eastAsia="MS Gothic" w:cs="MS Gothic"/>
        </w:rPr>
        <w:t>を</w:t>
      </w:r>
      <w:r>
        <w:rPr>
          <w:rFonts w:ascii="Microsoft YaHei" w:hAnsi="Microsoft YaHei" w:eastAsia="Microsoft YaHei" w:cs="Microsoft YaHei"/>
        </w:rPr>
        <w:t>閉</w:t>
      </w:r>
      <w:r>
        <w:rPr>
          <w:rFonts w:ascii="MS Gothic" w:hAnsi="MS Gothic" w:eastAsia="MS Gothic" w:cs="MS Gothic"/>
        </w:rPr>
        <w:t>じたまま</w:t>
      </w:r>
      <w:r>
        <w:rPr>
          <w:rFonts w:ascii="Microsoft YaHei" w:hAnsi="Microsoft YaHei" w:eastAsia="Microsoft YaHei" w:cs="Microsoft YaHei"/>
        </w:rPr>
        <w:t>事</w:t>
      </w:r>
      <w:r>
        <w:rPr>
          <w:rFonts w:ascii="MS Gothic" w:hAnsi="MS Gothic" w:eastAsia="MS Gothic" w:cs="MS Gothic"/>
        </w:rPr>
        <w:t>を</w:t>
      </w:r>
      <w:r>
        <w:rPr>
          <w:rFonts w:ascii="Microsoft YaHei" w:hAnsi="Microsoft YaHei" w:eastAsia="Microsoft YaHei" w:cs="Microsoft YaHei"/>
        </w:rPr>
        <w:t>進</w:t>
      </w:r>
      <w:r>
        <w:rPr>
          <w:rFonts w:ascii="MS Gothic" w:hAnsi="MS Gothic" w:eastAsia="MS Gothic" w:cs="MS Gothic"/>
        </w:rPr>
        <w:t>めるようなものである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らには</w:t>
      </w:r>
      <w:r>
        <w:rPr>
          <w:rFonts w:ascii="Microsoft YaHei" w:hAnsi="Microsoft YaHei" w:eastAsia="Microsoft YaHei" w:cs="Microsoft YaHei"/>
        </w:rPr>
        <w:t>、</w:t>
      </w:r>
      <w:r>
        <w:rPr>
          <w:rFonts w:ascii="MS Gothic" w:hAnsi="MS Gothic" w:eastAsia="MS Gothic" w:cs="MS Gothic"/>
        </w:rPr>
        <w:t>いついかなる</w:t>
      </w:r>
      <w:r>
        <w:rPr>
          <w:rFonts w:ascii="Microsoft YaHei" w:hAnsi="Microsoft YaHei" w:eastAsia="Microsoft YaHei" w:cs="Microsoft YaHei"/>
        </w:rPr>
        <w:t>時</w:t>
      </w:r>
      <w:r>
        <w:rPr>
          <w:rFonts w:ascii="MS Gothic" w:hAnsi="MS Gothic" w:eastAsia="MS Gothic" w:cs="MS Gothic"/>
        </w:rPr>
        <w:t>にもわたしたちに</w:t>
      </w:r>
      <w:r>
        <w:rPr>
          <w:rFonts w:ascii="Microsoft YaHei" w:hAnsi="Microsoft YaHei" w:eastAsia="Microsoft YaHei" w:cs="Microsoft YaHei"/>
        </w:rPr>
        <w:t>襲</w:t>
      </w:r>
      <w:r>
        <w:rPr>
          <w:rFonts w:ascii="MS Gothic" w:hAnsi="MS Gothic" w:eastAsia="MS Gothic" w:cs="MS Gothic"/>
        </w:rPr>
        <w:t>いかかろうとしているものを</w:t>
      </w:r>
      <w:r>
        <w:rPr>
          <w:rFonts w:ascii="Microsoft YaHei" w:hAnsi="Microsoft YaHei" w:eastAsia="Microsoft YaHei" w:cs="Microsoft YaHei"/>
        </w:rPr>
        <w:t>見分</w:t>
      </w:r>
      <w:r>
        <w:rPr>
          <w:rFonts w:ascii="MS Gothic" w:hAnsi="MS Gothic" w:eastAsia="MS Gothic" w:cs="MS Gothic"/>
        </w:rPr>
        <w:t>ける</w:t>
      </w:r>
      <w:r>
        <w:rPr>
          <w:rFonts w:ascii="Microsoft YaHei" w:hAnsi="Microsoft YaHei" w:eastAsia="Microsoft YaHei" w:cs="Microsoft YaHei"/>
        </w:rPr>
        <w:t>識別力</w:t>
      </w:r>
      <w:r>
        <w:rPr>
          <w:rFonts w:ascii="MS Gothic" w:hAnsi="MS Gothic" w:eastAsia="MS Gothic" w:cs="MS Gothic"/>
        </w:rPr>
        <w:t>が</w:t>
      </w:r>
      <w:r>
        <w:rPr>
          <w:rFonts w:ascii="Microsoft YaHei" w:hAnsi="Microsoft YaHei" w:eastAsia="Microsoft YaHei" w:cs="Microsoft YaHei"/>
        </w:rPr>
        <w:t>欠</w:t>
      </w:r>
      <w:r>
        <w:rPr>
          <w:rFonts w:ascii="MS Gothic" w:hAnsi="MS Gothic" w:eastAsia="MS Gothic" w:cs="MS Gothic"/>
        </w:rPr>
        <w:t>けている</w:t>
      </w:r>
      <w:r>
        <w:rPr>
          <w:rFonts w:ascii="Times New Roman" w:hAnsi="Times New Roman" w:eastAsia="Times New Roman" w:cs="Times New Roman"/>
        </w:rPr>
        <w:t>.</w:t>
      </w:r>
      <w:r>
        <w:rPr>
          <w:rFonts w:ascii="Microsoft YaHei" w:hAnsi="Microsoft YaHei" w:eastAsia="Microsoft YaHei" w:cs="Microsoft YaHei"/>
        </w:rPr>
        <w:t>絶望、戦争、流血</w:t>
      </w:r>
      <w:r>
        <w:rPr>
          <w:rFonts w:ascii="MS Gothic" w:hAnsi="MS Gothic" w:eastAsia="MS Gothic" w:cs="MS Gothic"/>
        </w:rPr>
        <w:t>の</w:t>
      </w:r>
      <w:r>
        <w:rPr>
          <w:rFonts w:ascii="Microsoft YaHei" w:hAnsi="Microsoft YaHei" w:eastAsia="Microsoft YaHei" w:cs="Microsoft YaHei"/>
        </w:rPr>
        <w:t>霊</w:t>
      </w:r>
      <w:r>
        <w:rPr>
          <w:rFonts w:ascii="MS Gothic" w:hAnsi="MS Gothic" w:eastAsia="MS Gothic" w:cs="MS Gothic"/>
        </w:rPr>
        <w:t>があり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霊</w:t>
      </w:r>
      <w:r>
        <w:rPr>
          <w:rFonts w:ascii="MS Gothic" w:hAnsi="MS Gothic" w:eastAsia="MS Gothic" w:cs="MS Gothic"/>
        </w:rPr>
        <w:t>は</w:t>
      </w:r>
      <w:r>
        <w:rPr>
          <w:rFonts w:ascii="Microsoft YaHei" w:hAnsi="Microsoft YaHei" w:eastAsia="Microsoft YaHei" w:cs="Microsoft YaHei"/>
        </w:rPr>
        <w:t>時</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わりのまさに</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w:t>
      </w:r>
      <w:r>
        <w:rPr>
          <w:rFonts w:ascii="Microsoft YaHei" w:hAnsi="Microsoft YaHei" w:eastAsia="Microsoft YaHei" w:cs="Microsoft YaHei"/>
        </w:rPr>
        <w:t>増</w:t>
      </w:r>
      <w:r>
        <w:rPr>
          <w:rFonts w:ascii="MS Gothic" w:hAnsi="MS Gothic" w:eastAsia="MS Gothic" w:cs="MS Gothic"/>
        </w:rPr>
        <w:t>し</w:t>
      </w:r>
      <w:r>
        <w:rPr>
          <w:rFonts w:ascii="Microsoft YaHei" w:hAnsi="Microsoft YaHei" w:eastAsia="Microsoft YaHei" w:cs="Microsoft YaHei"/>
        </w:rPr>
        <w:t>加</w:t>
      </w:r>
      <w:r>
        <w:rPr>
          <w:rFonts w:ascii="MS Gothic" w:hAnsi="MS Gothic" w:eastAsia="MS Gothic" w:cs="MS Gothic"/>
        </w:rPr>
        <w:t>わるのである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がその</w:t>
      </w:r>
      <w:r>
        <w:rPr>
          <w:rFonts w:ascii="Microsoft YaHei" w:hAnsi="Microsoft YaHei" w:eastAsia="Microsoft YaHei" w:cs="Microsoft YaHei"/>
        </w:rPr>
        <w:t>額</w:t>
      </w:r>
      <w:r>
        <w:rPr>
          <w:rFonts w:ascii="MS Gothic" w:hAnsi="MS Gothic" w:eastAsia="MS Gothic" w:cs="MS Gothic"/>
        </w:rPr>
        <w:t>に</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押</w:t>
      </w:r>
      <w:r>
        <w:rPr>
          <w:rFonts w:ascii="MS Gothic" w:hAnsi="MS Gothic" w:eastAsia="MS Gothic" w:cs="MS Gothic"/>
        </w:rPr>
        <w:t>されるや</w:t>
      </w:r>
      <w:r>
        <w:rPr>
          <w:rFonts w:ascii="Microsoft YaHei" w:hAnsi="Microsoft YaHei" w:eastAsia="Microsoft YaHei" w:cs="Microsoft YaHei"/>
        </w:rPr>
        <w:t>否</w:t>
      </w:r>
      <w:r>
        <w:rPr>
          <w:rFonts w:ascii="MS Gothic" w:hAnsi="MS Gothic" w:eastAsia="MS Gothic" w:cs="MS Gothic"/>
        </w:rPr>
        <w:t>や</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目</w:t>
      </w:r>
      <w:r>
        <w:rPr>
          <w:rFonts w:ascii="MS Gothic" w:hAnsi="MS Gothic" w:eastAsia="MS Gothic" w:cs="MS Gothic"/>
        </w:rPr>
        <w:t>に</w:t>
      </w:r>
      <w:r>
        <w:rPr>
          <w:rFonts w:ascii="Microsoft YaHei" w:hAnsi="Microsoft YaHei" w:eastAsia="Microsoft YaHei" w:cs="Microsoft YaHei"/>
        </w:rPr>
        <w:t>見</w:t>
      </w:r>
      <w:r>
        <w:rPr>
          <w:rFonts w:ascii="MS Gothic" w:hAnsi="MS Gothic" w:eastAsia="MS Gothic" w:cs="MS Gothic"/>
        </w:rPr>
        <w:t>えるいかなる</w:t>
      </w:r>
      <w:r>
        <w:rPr>
          <w:rFonts w:ascii="Microsoft YaHei" w:hAnsi="Microsoft YaHei" w:eastAsia="Microsoft YaHei" w:cs="Microsoft YaHei"/>
        </w:rPr>
        <w:t>印章</w:t>
      </w:r>
      <w:r>
        <w:rPr>
          <w:rFonts w:ascii="MS Gothic" w:hAnsi="MS Gothic" w:eastAsia="MS Gothic" w:cs="MS Gothic"/>
        </w:rPr>
        <w:t>や</w:t>
      </w:r>
      <w:r>
        <w:rPr>
          <w:rFonts w:ascii="Microsoft YaHei" w:hAnsi="Microsoft YaHei" w:eastAsia="Microsoft YaHei" w:cs="Microsoft YaHei"/>
        </w:rPr>
        <w:t>刻印</w:t>
      </w:r>
      <w:r>
        <w:rPr>
          <w:rFonts w:ascii="MS Gothic" w:hAnsi="MS Gothic" w:eastAsia="MS Gothic" w:cs="MS Gothic"/>
        </w:rPr>
        <w:t>でもなく</w:t>
      </w:r>
      <w:r>
        <w:rPr>
          <w:rFonts w:ascii="Microsoft YaHei" w:hAnsi="Microsoft YaHei" w:eastAsia="Microsoft YaHei" w:cs="Microsoft YaHei"/>
        </w:rPr>
        <w:t>、知的</w:t>
      </w:r>
      <w:r>
        <w:rPr>
          <w:rFonts w:ascii="MS Gothic" w:hAnsi="MS Gothic" w:eastAsia="MS Gothic" w:cs="MS Gothic"/>
        </w:rPr>
        <w:t>にも</w:t>
      </w:r>
      <w:r>
        <w:rPr>
          <w:rFonts w:ascii="Microsoft YaHei" w:hAnsi="Microsoft YaHei" w:eastAsia="Microsoft YaHei" w:cs="Microsoft YaHei"/>
        </w:rPr>
        <w:t>霊的</w:t>
      </w:r>
      <w:r>
        <w:rPr>
          <w:rFonts w:ascii="MS Gothic" w:hAnsi="MS Gothic" w:eastAsia="MS Gothic" w:cs="MS Gothic"/>
        </w:rPr>
        <w:t>にも</w:t>
      </w:r>
      <w:r>
        <w:rPr>
          <w:rFonts w:ascii="Microsoft YaHei" w:hAnsi="Microsoft YaHei" w:eastAsia="Microsoft YaHei" w:cs="Microsoft YaHei"/>
        </w:rPr>
        <w:t>真理</w:t>
      </w:r>
      <w:r>
        <w:rPr>
          <w:rFonts w:ascii="MS Gothic" w:hAnsi="MS Gothic" w:eastAsia="MS Gothic" w:cs="MS Gothic"/>
        </w:rPr>
        <w:t>のうちに</w:t>
      </w:r>
      <w:r>
        <w:rPr>
          <w:rFonts w:ascii="Microsoft YaHei" w:hAnsi="Microsoft YaHei" w:eastAsia="Microsoft YaHei" w:cs="Microsoft YaHei"/>
        </w:rPr>
        <w:t>堅</w:t>
      </w:r>
      <w:r>
        <w:rPr>
          <w:rFonts w:ascii="MS Gothic" w:hAnsi="MS Gothic" w:eastAsia="MS Gothic" w:cs="MS Gothic"/>
        </w:rPr>
        <w:t>く</w:t>
      </w:r>
      <w:r>
        <w:rPr>
          <w:rFonts w:ascii="Microsoft YaHei" w:hAnsi="Microsoft YaHei" w:eastAsia="Microsoft YaHei" w:cs="Microsoft YaHei"/>
        </w:rPr>
        <w:t>定着</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それゆえ</w:t>
      </w:r>
      <w:r>
        <w:rPr>
          <w:rFonts w:ascii="Microsoft YaHei" w:hAnsi="Microsoft YaHei" w:eastAsia="Microsoft YaHei" w:cs="Microsoft YaHei"/>
        </w:rPr>
        <w:t>動</w:t>
      </w:r>
      <w:r>
        <w:rPr>
          <w:rFonts w:ascii="MS Gothic" w:hAnsi="MS Gothic" w:eastAsia="MS Gothic" w:cs="MS Gothic"/>
        </w:rPr>
        <w:t>かされることがないということである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が</w:t>
      </w:r>
      <w:r>
        <w:rPr>
          <w:rFonts w:ascii="Microsoft YaHei" w:hAnsi="Microsoft YaHei" w:eastAsia="Microsoft YaHei" w:cs="Microsoft YaHei"/>
        </w:rPr>
        <w:t>印</w:t>
      </w:r>
      <w:r>
        <w:rPr>
          <w:rFonts w:ascii="MS Gothic" w:hAnsi="MS Gothic" w:eastAsia="MS Gothic" w:cs="MS Gothic"/>
        </w:rPr>
        <w:t>を</w:t>
      </w:r>
      <w:r>
        <w:rPr>
          <w:rFonts w:ascii="Microsoft YaHei" w:hAnsi="Microsoft YaHei" w:eastAsia="Microsoft YaHei" w:cs="Microsoft YaHei"/>
        </w:rPr>
        <w:t>押</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ふるいのために</w:t>
      </w:r>
      <w:r>
        <w:rPr>
          <w:rFonts w:ascii="Microsoft YaHei" w:hAnsi="Microsoft YaHei" w:eastAsia="Microsoft YaHei" w:cs="Microsoft YaHei"/>
        </w:rPr>
        <w:t>備</w:t>
      </w:r>
      <w:r>
        <w:rPr>
          <w:rFonts w:ascii="MS Gothic" w:hAnsi="MS Gothic" w:eastAsia="MS Gothic" w:cs="MS Gothic"/>
        </w:rPr>
        <w:t>えられるや</w:t>
      </w:r>
      <w:r>
        <w:rPr>
          <w:rFonts w:ascii="Microsoft YaHei" w:hAnsi="Microsoft YaHei" w:eastAsia="Microsoft YaHei" w:cs="Microsoft YaHei"/>
        </w:rPr>
        <w:t>否</w:t>
      </w:r>
      <w:r>
        <w:rPr>
          <w:rFonts w:ascii="MS Gothic" w:hAnsi="MS Gothic" w:eastAsia="MS Gothic" w:cs="MS Gothic"/>
        </w:rPr>
        <w:t>や</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来</w:t>
      </w:r>
      <w:r>
        <w:rPr>
          <w:rFonts w:ascii="MS Gothic" w:hAnsi="MS Gothic" w:eastAsia="MS Gothic" w:cs="MS Gothic"/>
        </w:rPr>
        <w:t>る</w:t>
      </w:r>
      <w:r>
        <w:rPr>
          <w:rFonts w:ascii="Times New Roman" w:hAnsi="Times New Roman" w:eastAsia="Times New Roman" w:cs="Times New Roman"/>
        </w:rPr>
        <w:t>.</w:t>
      </w:r>
      <w:r>
        <w:rPr>
          <w:rFonts w:ascii="Microsoft YaHei" w:hAnsi="Microsoft YaHei" w:eastAsia="Microsoft YaHei" w:cs="Microsoft YaHei"/>
        </w:rPr>
        <w:t>実</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それはすでに</w:t>
      </w:r>
      <w:r>
        <w:rPr>
          <w:rFonts w:ascii="Microsoft YaHei" w:hAnsi="Microsoft YaHei" w:eastAsia="Microsoft YaHei" w:cs="Microsoft YaHei"/>
        </w:rPr>
        <w:t>始</w:t>
      </w:r>
      <w:r>
        <w:rPr>
          <w:rFonts w:ascii="MS Gothic" w:hAnsi="MS Gothic" w:eastAsia="MS Gothic" w:cs="MS Gothic"/>
        </w:rPr>
        <w:t>まっている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のさばきは</w:t>
      </w:r>
      <w:r>
        <w:rPr>
          <w:rFonts w:ascii="Microsoft YaHei" w:hAnsi="Microsoft YaHei" w:eastAsia="Microsoft YaHei" w:cs="Microsoft YaHei"/>
        </w:rPr>
        <w:t>今</w:t>
      </w:r>
      <w:r>
        <w:rPr>
          <w:rFonts w:ascii="MS Gothic" w:hAnsi="MS Gothic" w:eastAsia="MS Gothic" w:cs="MS Gothic"/>
        </w:rPr>
        <w:t>やこの</w:t>
      </w:r>
      <w:r>
        <w:rPr>
          <w:rFonts w:ascii="Microsoft YaHei" w:hAnsi="Microsoft YaHei" w:eastAsia="Microsoft YaHei" w:cs="Microsoft YaHei"/>
        </w:rPr>
        <w:t>地</w:t>
      </w:r>
      <w:r>
        <w:rPr>
          <w:rFonts w:ascii="MS Gothic" w:hAnsi="MS Gothic" w:eastAsia="MS Gothic" w:cs="MS Gothic"/>
        </w:rPr>
        <w:t>に</w:t>
      </w:r>
      <w:r>
        <w:rPr>
          <w:rFonts w:ascii="Microsoft YaHei" w:hAnsi="Microsoft YaHei" w:eastAsia="Microsoft YaHei" w:cs="Microsoft YaHei"/>
        </w:rPr>
        <w:t>下</w:t>
      </w:r>
      <w:r>
        <w:rPr>
          <w:rFonts w:ascii="MS Gothic" w:hAnsi="MS Gothic" w:eastAsia="MS Gothic" w:cs="MS Gothic"/>
        </w:rPr>
        <w:t>っており</w:t>
      </w:r>
      <w:r>
        <w:rPr>
          <w:rFonts w:ascii="Microsoft YaHei" w:hAnsi="Microsoft YaHei" w:eastAsia="Microsoft YaHei" w:cs="Microsoft YaHei"/>
        </w:rPr>
        <w:t>、</w:t>
      </w:r>
      <w:r>
        <w:rPr>
          <w:rFonts w:ascii="MS Gothic" w:hAnsi="MS Gothic" w:eastAsia="MS Gothic" w:cs="MS Gothic"/>
        </w:rPr>
        <w:t>わたしたちに</w:t>
      </w:r>
      <w:r>
        <w:rPr>
          <w:rFonts w:ascii="Microsoft YaHei" w:hAnsi="Microsoft YaHei" w:eastAsia="Microsoft YaHei" w:cs="Microsoft YaHei"/>
        </w:rPr>
        <w:t>警告</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w:t>
      </w:r>
      <w:r>
        <w:rPr>
          <w:rFonts w:ascii="Microsoft YaHei" w:hAnsi="Microsoft YaHei" w:eastAsia="Microsoft YaHei" w:cs="Microsoft YaHei"/>
        </w:rPr>
        <w:t>、何</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ようとしているかを</w:t>
      </w:r>
      <w:r>
        <w:rPr>
          <w:rFonts w:ascii="Microsoft YaHei" w:hAnsi="Microsoft YaHei" w:eastAsia="Microsoft YaHei" w:cs="Microsoft YaHei"/>
        </w:rPr>
        <w:t>悟</w:t>
      </w:r>
      <w:r>
        <w:rPr>
          <w:rFonts w:ascii="MS Gothic" w:hAnsi="MS Gothic" w:eastAsia="MS Gothic" w:cs="MS Gothic"/>
        </w:rPr>
        <w:t>らせるのである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Manuscript Releases, volume 10, 252.</w:t>
      </w:r>
    </w:p>
    <w:p>
      <w:pPr>
        <w:pStyle w:val="ArticleBody"/>
        <w:jc w:val="left"/>
      </w:pPr>
      <w:r>
        <w:rPr>
          <w:rFonts w:ascii="Times New Roman" w:hAnsi="Times New Roman" w:eastAsia="Times New Roman" w:cs="Times New Roman"/>
        </w:rPr>
        <w:t>“Sealing” er “en fæstning i sandheden.” I forbindelse med beseglingens tid skriver hun: “Der er en ånd af fortvivlelse, af krig og blodsudgydelse, og den ånd vil tiltage indtil tidens ganske ende.” Når nationerne vredes, vil de blive holdt tilbage, men “krig og blodsudgydelse”, fremstillet som de fire vinde, “vil tiltage indtil tidens ganske ende.” Islams tredje ve som den tredje Ulykke optrapper gradvis sin krigsførelse indtil tidens ganske ende, og den profetiske forståelse af islam som “temaet” i de et hundrede fireogfyrre tusinds reformation tiltager samtidig i samme tidsperiode. Den gradvise optrapning, som islam gennemfører, løber parallelt med udgydelsen af den sene regn i den selvsamme tidsperiode, for den sene regn er et “budskab”.</w:t>
      </w:r>
    </w:p>
    <w:p>
      <w:pPr>
        <w:pStyle w:val="ArticleScripture"/>
        <w:jc w:val="left"/>
      </w:pPr>
      <w:r>
        <w:rPr>
          <w:rFonts w:ascii="Times New Roman" w:hAnsi="Times New Roman" w:eastAsia="Times New Roman" w:cs="Times New Roman"/>
        </w:rPr>
        <w:t>“Ni baƙaƙen da aka shafa, waɗanda suke tsaye a gaban Ubangijin dukan duniya, suna da matsayin da aka taɓa ba Shaiɗan a matsayin kerub mai rufewa. Ta wurin halittu masu tsarki da suke kewaye da kursiyinsa, Ubangiji yana ci gaba da sadarwa ba yankewa da mazaunan duniya. Man zinariya yana wakiltar alherin da Allah yake ci gaba da ciyar da fitilun masu bi da shi, domin kada su yi lauje su mutu. Da ba domin ana zubo wannan mai mai tsarki daga sama cikin saƙonnin Ruhun Allah ba, da wakilan mugunta sun mallaki cikakken iko a kan mutane.”</w:t>
      </w:r>
    </w:p>
    <w:p>
      <w:pPr>
        <w:pStyle w:val="ArticleScripture"/>
        <w:jc w:val="left"/>
      </w:pPr>
      <w:r>
        <w:rPr>
          <w:rFonts w:ascii="Times New Roman" w:hAnsi="Times New Roman" w:eastAsia="Times New Roman" w:cs="Times New Roman"/>
        </w:rPr>
        <w:t>“Bosiami bamemphwasa, loko tozali koyamba te bansango oyo atindelaka biso. Boye, tozali koboya mafuta ya wolo oyo alingaki kosopa na milimo na biso mpo ekabolama epai ya baoyo bazali na molili. Tango kobenga ekoya ete: ‘Tala, mobali ya libala ayei; bóbima mpo na kokutana na ye,’ baoyo bayambaki te mafuta mosantu, baoyo babatelaki te ngolu ya Klisto na mitema na bango, bakomona, lokola bangondo ya bozoba, ete bazali pene te mpo na kokutana na Nkolo na bango. Bazali na nguya te kati na bango moko mpo na kozwa mafuta yango, mpe bomoi na bango ebebisami. Kasi soki Molimo Mosantu ya Nzambe esengiami, soki tobondeli makasi, lokola Mose asalaki, ‘Lakisa ngai nkembo na yo,’ bolingo ya Nzambe ekosopanaka na mitema na biso. Na nzela ya bapaipe ya wolo, mafuta ya wolo ekopesama epai na biso. ‘Ezali te na nguya, to na makasi, kasi na Molimo na ngai, elobi Yehova ya mampinga.’ Na koyamba miinda ya kongenga ya Moi ya Boyengebene, bana ya Nzambe bazali kongenga lokola miinda na mokili.” Review and Herald, July 20, 1897.</w:t>
      </w:r>
    </w:p>
    <w:p>
      <w:pPr>
        <w:pStyle w:val="ArticleBody"/>
        <w:jc w:val="left"/>
      </w:pPr>
      <w:r>
        <w:rPr>
          <w:rFonts w:ascii="Times New Roman" w:hAnsi="Times New Roman" w:eastAsia="Times New Roman" w:cs="Times New Roman"/>
        </w:rPr>
        <w:t>Mvua ya masika ya mwisho huanza “kunyunyiza” na hatimaye huongezeka mpaka kufikia umiminiko kamili. “Kunyunyiza” kwa mvua ya masika ya mwisho hutambulishwa kuwa ni mvua “inayopimwa”, na umiminiko kamili ni wakati inapomiminwa “bila kipimo”. Dada White anaonyesha wazi wakati ambapo mvua ya masika ya mwisho inanyesha, na baadhi huipokea, na baadhi hawaipokei. Wakati huo mvua hiyo “inapimwa”, au “inanyunyiza”.</w:t>
      </w:r>
    </w:p>
    <w:p>
      <w:pPr>
        <w:pStyle w:val="ArticleBody"/>
        <w:jc w:val="left"/>
      </w:pPr>
      <w:r>
        <w:rPr>
          <w:rFonts w:ascii="Times New Roman" w:hAnsi="Times New Roman" w:eastAsia="Times New Roman" w:cs="Times New Roman"/>
        </w:rPr>
        <w:t>Persones alcunos reconoscerá que qualcosa es in curso, ma isto solmente los effrayará.</w:t>
      </w:r>
    </w:p>
    <w:p>
      <w:pPr>
        <w:pStyle w:val="ArticleScripture"/>
        <w:jc w:val="left"/>
      </w:pPr>
      <w:r>
        <w:rPr>
          <w:rFonts w:ascii="Times New Roman" w:hAnsi="Times New Roman" w:eastAsia="Times New Roman" w:cs="Times New Roman"/>
        </w:rPr>
        <w:t>“Ƙungiyoyi za su ga wata bayyananniyar fitowar ikon Allah mai ban al’ajabi, amma ba za ta zo a kan waɗanda ba su ƙasƙantar da kansu a gaban Ubangiji ba, kuma ba su buɗe ƙofar zuciyarsu ta wurin furci da tuba ba. A cikin bayyanuwar wannan iko da ke haskaka duniya da ɗaukakar Allah, za su ga ne kawai wani abu wanda, cikin makantarsu, suke ɗauka mai haɗari ne, wani abu da zai tayar musu da tsoro, kuma za su ɗaure kansu domin su yi masa gāba. Domin Ubangiji ba ya aiki bisa ga tsammaninsu da kuma tsarin abin da suke ɗauka ya kamata, za su yi hamayya da aikin. “Me ya sa,” in ji su, “ba za mu gane Ruhun Allah ba, alhali mun daɗe muna cikin aikin nan shekaru masu yawa?” Domin ba su amsa gargaɗe-gargaɗen ba, da roƙe-roƙen saƙonnin Allah, sai dai suka ci gaba da cewa, “Ni mai arziki ne, na ƙaru da dukiya, kuma ba ni da bukatar kome.”” Maranatha, 219</w:t>
      </w:r>
    </w:p>
    <w:p>
      <w:pPr>
        <w:pStyle w:val="ArticleScripture"/>
        <w:jc w:val="left"/>
      </w:pPr>
      <w:r>
        <w:rPr>
          <w:rFonts w:ascii="Times New Roman" w:hAnsi="Times New Roman" w:eastAsia="Times New Roman" w:cs="Times New Roman"/>
        </w:rPr>
        <w:t>«Toko mingi, na monene mingi, bazangi kozwa mvula ya liboso. Bazwi te matomba nyonso oyo Nzambe abongisaki boye mpo na bango. Bazali kokanisa ete bozangi wana ekokokisama na mvula ya nsuka. Ntango ebele koleka nyonso ya ngolu ekopambolama, bazali na mokano ya kofungola mitema na bango mpo na koyamba yango. Bazali kosala libunga moko ya nsomo. Mosala oyo Nzambe abandi na motema ya moto na kopesa ye pole mpe boyebi esengeli kokoba ntango nyonso. Moto na moto asengeli koyeba bosenga na ye moko. Motema esengeli kolongolama mbindo nyonso mpe kopetolama mpo na bofandi ya Molimo. Ezalaki na nzela ya koyambola mpe kotika lisumu, na nzela ya libondeli ya makasi mpe ya komipesa na bango moko epai ya Nzambe, nde bayekoli ya liboso bamibongisaki mpo na kosopama ya Molimo Mosantu na Mokolo ya Pantekote. Mosala yango moko, kasi na motuya monene koleka, esengeli kosalema sikawa. Na ntango wana, mosali ya bomoto asengelaki kaka kosenga lipamboli, mpe kozela Nkolo asilisaka mosala oyo etali ye. Ezali Nzambe nde abandaki mosala, mpe Ye akosukisa mosala na Ye, akokomisa moto mobimba kati na Yesu Klisto. Kasi esengeli kozala te kobosana ngolu oyo emonisami na mvula ya liboso. Kaka baoyo bazali kotambola kolanda pole oyo bazali na yango nde bakozwa pole ya monene koleka. Soki tozali kokende liboso te mokolo na mokolo na komonisa bizaleli ya boklisto ya misala, tokoyeba te bimoniseli ya Molimo Mosantu na mvula ya nsuka. Ekoki kozala ezali kokwea likoló ya mitema nyonso zingazinga na biso, kasi tokoyeba yango te to mpe tokoyamba yango te.» Testimonies to Ministers, 506, 507.</w:t>
      </w:r>
    </w:p>
    <w:p>
      <w:pPr>
        <w:pStyle w:val="ArticleBody"/>
        <w:jc w:val="left"/>
      </w:pPr>
      <w:r>
        <w:rPr>
          <w:rFonts w:ascii="Times New Roman" w:hAnsi="Times New Roman" w:eastAsia="Times New Roman" w:cs="Times New Roman"/>
        </w:rPr>
        <w:t>בקטע זה היא מציינת כי ישנו זמן שבו “השפע העשיר ביותר של החסד יוענק,” ובכך היא מזהה זמן שבו המלקוש נשפך ללא מידה. בקשר לעובדה זו, היא מציינת כי רק אלה ההולכים לאור האור שיש להם יקבלו אור גדול יותר. על־פי עיקרון זה, ברור כי האור (שהוא האמת הנוכחית) הולך ומתרבה בהדרגה. במשפט האחרון היא מציינת זמן שבו המלקוש יורד, ויש המכירים בו ומקבלים אותו, ואחרים אינם מכירים ואינם מקבלים. אם אינך מכיר במסר, שהוא המלקוש, לא תקבל אותו.</w:t>
      </w:r>
    </w:p>
    <w:p>
      <w:pPr>
        <w:pStyle w:val="ArticleScripture"/>
        <w:jc w:val="left"/>
      </w:pPr>
      <w:r>
        <w:rPr>
          <w:rFonts w:ascii="Times New Roman" w:hAnsi="Times New Roman" w:eastAsia="Times New Roman" w:cs="Times New Roman"/>
        </w:rPr>
        <w:t>“Nous ne devons pas attendre la pluie de l’arrière-saison. Elle vient sur tous ceux qui reconnaîtront et s’approprieront la rosée et les ondées de grâce qui tombent sur nous. Lorsque nous recueillons les fragments de lumière, lorsque nous apprécions les sûres miséricordes de Dieu, qui aime à nous voir nous confier en Lui, alors chaque promesse s’accomplira. [Ésaïe 61:11 cité.] La terre entière doit être remplie de la gloire de Dieu.” The Seventh-day Adventist Bible Commentary, volume 7, 984.</w:t>
      </w:r>
    </w:p>
    <w:p>
      <w:pPr>
        <w:pStyle w:val="ArticleBody"/>
        <w:jc w:val="left"/>
      </w:pPr>
      <w:r>
        <w:rPr>
          <w:rFonts w:ascii="Times New Roman" w:hAnsi="Times New Roman" w:eastAsia="Times New Roman" w:cs="Times New Roman"/>
        </w:rPr>
        <w:t>Sa panahong ang mga bansang nagngangalit ay pinipigil, ang huling ulan ay nagsisimulang “sukatin.” Kapag “ang pinakamayamang kasaganaan ng biyaya ay ipagkakaloob,” ito ang tumutukoy sa panahong ang huling ulan ay ibinubuhos nang walang sukat.</w:t>
      </w:r>
    </w:p>
    <w:p>
      <w:pPr>
        <w:pStyle w:val="ArticleBody"/>
        <w:jc w:val="left"/>
      </w:pPr>
      <w:r>
        <w:rPr>
          <w:rFonts w:ascii="Times New Roman" w:hAnsi="Times New Roman" w:eastAsia="Times New Roman" w:cs="Times New Roman"/>
        </w:rPr>
        <w:t>في الوقت الذي تثور فيه الأمم، ومع ذلك تُضبَط وتُكفُّ، يبدأ المطر المتأخر في الهطول، لكنه يكون «مقاسًا» لأن الكنيسة في تلك المرحلة تكون مختلطةً من حنطة وزوان. وهو المطر الذي يبلغ بالحنطة والزوان كليهما إلى النضج، والمطر المتأخر هو رسالة الحق الحاضر التي إمّا تُعرَف وتُقبَل، وإمّا لا. وجميع هذه المفاهيم النبوية مُعيَّنة بوضوح في الأسفار المقدسة. وفي 11 سبتمبر 2001، بدأ المطر المتأخر «يرشّ»، ثم يتصاعد تدريجيًّا إلى أن تصل رسالة صرخة نصف الليل، وعندئذٍ ينفصل العذارى الحكيمات والعذارى الجاهلات إلى الأبد.</w:t>
      </w:r>
    </w:p>
    <w:p>
      <w:pPr>
        <w:pStyle w:val="ArticleBody"/>
        <w:jc w:val="left"/>
      </w:pPr>
      <w:r>
        <w:rPr>
          <w:rFonts w:ascii="Times New Roman" w:hAnsi="Times New Roman" w:eastAsia="Times New Roman" w:cs="Times New Roman"/>
        </w:rPr>
        <w:t>Les sages sont alors élevés comme une bannière afin d’appeler l’autre troupeau de Dieu à sortir de Babylone, et la pluie de l’arrière-saison est alors répandue sans mesure, et elle continue de tomber jusqu’à ce que Michel se lève et que le temps de grâce accordé à l’humanité prenne fin.</w:t>
      </w:r>
    </w:p>
    <w:p>
      <w:pPr>
        <w:pStyle w:val="ArticleScripture"/>
        <w:jc w:val="left"/>
      </w:pPr>
      <w:r>
        <w:rPr>
          <w:rFonts w:ascii="Times New Roman" w:hAnsi="Times New Roman" w:eastAsia="Times New Roman" w:cs="Times New Roman"/>
        </w:rPr>
        <w:t>“Naona kwamba malaika wanne watazizuia pepo nne mpaka kazi ya Yesu itakapokamilika katika patakatifu, kisha yatakuja mapigo saba ya mwisho.” Early Writings, 36.</w:t>
      </w:r>
    </w:p>
    <w:p>
      <w:pPr>
        <w:pStyle w:val="ArticleBody"/>
        <w:jc w:val="left"/>
      </w:pPr>
      <w:r>
        <w:rPr>
          <w:rFonts w:ascii="Times New Roman" w:hAnsi="Times New Roman" w:eastAsia="Times New Roman" w:cs="Times New Roman"/>
        </w:rPr>
        <w:t>La retenue des quatre vents représente le contrôle providentiel de Dieu sur les jugements croissants qu’il permet d’avoir lieu dans les derniers jours. Les quatre anges retiennent les quatre vents durant le temps du scellement des cent quarante-quatre mille, mais, pendant cette période, il y a « l’esprit de désespoir, de guerre et d’effusion de sang, et cet esprit augmentera ». Lorsque le dernier des enfants de Dieu aura été scellé, Michel se lèvera, et les quatre vents seront entièrement relâchés, et les Sept Dernières Plaies surviendront.</w:t>
      </w:r>
    </w:p>
    <w:p>
      <w:pPr>
        <w:pStyle w:val="ArticleBody"/>
        <w:jc w:val="left"/>
      </w:pPr>
      <w:r>
        <w:rPr>
          <w:rFonts w:ascii="Times New Roman" w:hAnsi="Times New Roman" w:eastAsia="Times New Roman" w:cs="Times New Roman"/>
        </w:rPr>
        <w:t>Na “hora do grande terremoto” de Apocalipse capítulo onze, os “tempos angustiosos” de Daniel capítulo nove, quando a praça e o muro estiverem concluídos, é o tempo em que “as nações se irarão”. Nesse período de tempo, a chuva serôdia será derramada com “medida”. Isaías identifica o tempo em que a chuva serôdia é medida, e assinala esse tempo como o “dia do vento oriental”. O “dia do vento oriental” foi 11 de setembro de 2001.</w:t>
      </w:r>
    </w:p>
    <w:p>
      <w:pPr>
        <w:pStyle w:val="ArticleBody"/>
        <w:jc w:val="left"/>
      </w:pPr>
      <w:r>
        <w:rPr>
          <w:rFonts w:ascii="Times New Roman" w:hAnsi="Times New Roman" w:eastAsia="Times New Roman" w:cs="Times New Roman"/>
        </w:rPr>
        <w:t>Nous continuerons d’examiner, dans l’article suivant, le « mesurage » de la pluie de l’arrière-saison ; mais il faut se rappeler que le joyau du songe de Miller, représenté sur les tables sacrées d’Habakuk comme les trois Malheurs de l’Islam, doit resplendir, dans les derniers jours, d’un éclat dix fois plus grand que lorsqu’il fut d’abord recueilli par Miller.</w:t>
      </w:r>
    </w:p>
    <w:p>
      <w:pPr>
        <w:pStyle w:val="ArticleScripture"/>
        <w:jc w:val="left"/>
      </w:pPr>
      <w:r>
        <w:rPr>
          <w:rFonts w:ascii="Times New Roman" w:hAnsi="Times New Roman" w:eastAsia="Times New Roman" w:cs="Times New Roman"/>
        </w:rPr>
        <w:t>«Во время одного пребывания в Нью-Йорке мне в ночном видении было показано, как здания поднимались ярус за ярусом к небу. Эти здания были объявлены несгораемыми и возводились для прославления своих владельцев и строителей. Всё выше и выше поднимались эти здания, и в них употреблялся самый дорогой материал. Те, кому принадлежали эти здания, не спрашивали себя: „Как нам наилучшим образом прославить Бога?“ Господа не было в их мыслях.</w:t>
      </w:r>
    </w:p>
    <w:p>
      <w:pPr>
        <w:pStyle w:val="ArticleScripture"/>
        <w:jc w:val="left"/>
      </w:pPr>
      <w:r>
        <w:rPr>
          <w:rFonts w:ascii="Times New Roman" w:hAnsi="Times New Roman" w:eastAsia="Times New Roman" w:cs="Times New Roman"/>
        </w:rPr>
        <w:t>“Waxaan is-idhi: ‘Hoogay, kuwii sidaas hantidooda u gelinaya maalgelinta, bal may arkaan jidkooda sida Ilaah u arko! Waxay is dul saarayaan dhismayaal waaweyn oo qurux badan, laakiin sidee bay nacasnimo ugu tahay hortiisa Kan xukuma koonka oo dhan qorshayntooda iyo hindisahoodu. Iyagu kuma dadaalayaan, iyagoo adeegsanaya awoodaha oo dhan ee qalbiga iyo maskaxda, sida ay Ilaah u ammaani karaan. Waxay indhaha ka lunteen tan, waajibka ugu horreeya ee aadanaha.’”</w:t>
      </w:r>
    </w:p>
    <w:p>
      <w:pPr>
        <w:pStyle w:val="ArticleScripture"/>
        <w:jc w:val="left"/>
      </w:pPr>
      <w:r>
        <w:rPr>
          <w:rFonts w:ascii="Times New Roman" w:hAnsi="Times New Roman" w:eastAsia="Times New Roman" w:cs="Times New Roman"/>
        </w:rPr>
        <w:t>“</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ਉੱਚੀਆਂ</w:t>
      </w:r>
      <w:r>
        <w:rPr>
          <w:rFonts w:ascii="Times New Roman" w:hAnsi="Times New Roman" w:eastAsia="Times New Roman" w:cs="Times New Roman"/>
        </w:rPr>
        <w:t xml:space="preserve"> </w:t>
      </w:r>
      <w:r>
        <w:rPr>
          <w:rFonts w:ascii="Nirmala UI" w:hAnsi="Nirmala UI" w:eastAsia="Nirmala UI" w:cs="Nirmala UI"/>
        </w:rPr>
        <w:t>ਇਮਾਰਤਾਂ</w:t>
      </w:r>
      <w:r>
        <w:rPr>
          <w:rFonts w:ascii="Times New Roman" w:hAnsi="Times New Roman" w:eastAsia="Times New Roman" w:cs="Times New Roman"/>
        </w:rPr>
        <w:t xml:space="preserve"> </w:t>
      </w:r>
      <w:r>
        <w:rPr>
          <w:rFonts w:ascii="Nirmala UI" w:hAnsi="Nirmala UI" w:eastAsia="Nirmala UI" w:cs="Nirmala UI"/>
        </w:rPr>
        <w:t>ਖੜ੍ਹੀਆਂ</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ਮਾਲਕ</w:t>
      </w:r>
      <w:r>
        <w:rPr>
          <w:rFonts w:ascii="Times New Roman" w:hAnsi="Times New Roman" w:eastAsia="Times New Roman" w:cs="Times New Roman"/>
        </w:rPr>
        <w:t xml:space="preserve"> </w:t>
      </w:r>
      <w:r>
        <w:rPr>
          <w:rFonts w:ascii="Nirmala UI" w:hAnsi="Nirmala UI" w:eastAsia="Nirmala UI" w:cs="Nirmala UI"/>
        </w:rPr>
        <w:t>ਅਹੰਕਾਰਪੂਰਣ</w:t>
      </w:r>
      <w:r>
        <w:rPr>
          <w:rFonts w:ascii="Times New Roman" w:hAnsi="Times New Roman" w:eastAsia="Times New Roman" w:cs="Times New Roman"/>
        </w:rPr>
        <w:t xml:space="preserve"> </w:t>
      </w:r>
      <w:r>
        <w:rPr>
          <w:rFonts w:ascii="Nirmala UI" w:hAnsi="Nirmala UI" w:eastAsia="Nirmala UI" w:cs="Nirmala UI"/>
        </w:rPr>
        <w:t>ਮਹੱਤਵਾਕਾਂਕਸ਼ਾ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ਮਗਨ</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ਤ੍ਰਿਪਤੀ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ਪੜੋਸੀਆਂ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ਈਰਖਾ</w:t>
      </w:r>
      <w:r>
        <w:rPr>
          <w:rFonts w:ascii="Times New Roman" w:hAnsi="Times New Roman" w:eastAsia="Times New Roman" w:cs="Times New Roman"/>
        </w:rPr>
        <w:t xml:space="preserve"> </w:t>
      </w:r>
      <w:r>
        <w:rPr>
          <w:rFonts w:ascii="Nirmala UI" w:hAnsi="Nirmala UI" w:eastAsia="Nirmala UI" w:cs="Nirmala UI"/>
        </w:rPr>
        <w:t>ਜਗਾਉਣ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ਲਗਾਇਆ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ਜ਼ਬਰਦਸਤੀ</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ਕੁਚਲ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ਸੁਰਗ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ਕਾਰੋਬਾਰੀ</w:t>
      </w:r>
      <w:r>
        <w:rPr>
          <w:rFonts w:ascii="Times New Roman" w:hAnsi="Times New Roman" w:eastAsia="Times New Roman" w:cs="Times New Roman"/>
        </w:rPr>
        <w:t xml:space="preserve"> </w:t>
      </w:r>
      <w:r>
        <w:rPr>
          <w:rFonts w:ascii="Nirmala UI" w:hAnsi="Nirmala UI" w:eastAsia="Nirmala UI" w:cs="Nirmala UI"/>
        </w:rPr>
        <w:t>ਲੈਣ</w:t>
      </w:r>
      <w:r>
        <w:rPr>
          <w:rFonts w:ascii="Times New Roman" w:hAnsi="Times New Roman" w:eastAsia="Times New Roman" w:cs="Times New Roman"/>
        </w:rPr>
        <w:t>-</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ਅਨਿਆਈ</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ਧੋਖੇਬਾਜ਼ੀ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ਧਿੱਠਾਈ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ਲੰਘਣ</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ਲੈਣਗੇ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ਸਹਿਨਸ਼ੀਲਤਾ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tanawing sumunod na dumaan sa harap ko ay isang babala ng sunog. Tiningnan ng mga tao ang matatayog at inaakalang hindi-nasusunog na mga gusali at nagsabi: ‘Lubos na ligtas ang mga ito.’ Ngunit ang mga gusaling ito ay natupok na parang yari sa alkitran. Walang nagawa ang mga makinang pamatay-sunog upang mapigil ang pagkawasak. Hindi nagawang paandarin ng mga bumbero ang mga makina.</w:t>
      </w:r>
    </w:p>
    <w:p>
      <w:pPr>
        <w:pStyle w:val="ArticleScripture"/>
        <w:jc w:val="left"/>
      </w:pPr>
      <w:r>
        <w:rPr>
          <w:rFonts w:ascii="Times New Roman" w:hAnsi="Times New Roman" w:eastAsia="Times New Roman" w:cs="Times New Roman"/>
        </w:rPr>
        <w:t>«Хәбәр алуыма қарағанда, Жаратқан Иенің уақыты жеткенде, егер тәкаппар, мансапқор адамдардың жүректерінде ешқандай өзгеріс болмаған болса, адамдар құтқаруға құдіретті болған қолдың жоюға да құдіретті болатынын көретін болады. Құдайдың қолын ешбір жердегі билік тоқтата алмайды. Құдайдың адамдарға Өз заңының еленбеуі мен өзімшіл өршілдігі үшін жазасын жіберетін белгілеген уақыты келгенде, ғимараттарды қираудан сақтап қала алатын ешбір материал оларды тұрғызуда қолданылмайды».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soixante-quatre</dc:title>
  <dc:subject>Dévoilement de la prophétie : relier le 11 septembre 2001 au temps du scellement, à la pluie de l’arrière-saison et à l’œuvre finale du Christ</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