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 Livro de Daniel - Número Sessenta e Cinco</w:t>
      </w:r>
    </w:p>
    <w:p>
      <w:pPr>
        <w:pStyle w:val="ArticleSubtitle"/>
        <w:jc w:val="left"/>
      </w:pPr>
      <w:r>
        <w:rPr>
          <w:rFonts w:ascii="Arial" w:hAnsi="Arial" w:eastAsia="Arial" w:cs="Arial"/>
        </w:rPr>
        <w:t>The Prophetic Unveiling: Understanding the July 18, 2020 Disappointment and the Unfolding Message of the Midnight Cry in the Last Days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Le 18 juillet 2020 survint la première déception pour le mouvement réformateur de Dieu des derniers jours. Elle marqua un repère dans l’histoire du troisième Malheur, qui est l’histoire de la pluie de l’arrière-saison, et aussi l’histoire du scellement des cent quarante-quatre mille. Cette histoire a été représentée par chaque mouvement réformateur de l’histoire sacrée; elle a été plus particulièrement représentée par l’histoire du mouvement millérite, et illustrée par la parabole des dix vierges, et elle représente l’histoire prophétique qu’a identifiée chaque prophète.</w:t>
      </w:r>
    </w:p>
    <w:p>
      <w:pPr>
        <w:pStyle w:val="ArticleBody"/>
        <w:jc w:val="left"/>
      </w:pPr>
      <w:r>
        <w:rPr>
          <w:rFonts w:ascii="Times New Roman" w:hAnsi="Times New Roman" w:eastAsia="Times New Roman" w:cs="Times New Roman"/>
        </w:rPr>
        <w:t>18 juillet 2020 représente la première déception du mouvement et, à ce titre, marque l’arrivée du temps de retardement dans la parabole des dix vierges et dans Habacuc. Dans l’histoire millérite, les mêmes preuves qui avaient conduit à leur proclamation erronée furent reconnues comme identifiant la date véritable. Le temps de retardement de la parabole des dix vierges fut alors compris comme la vérité présente, et ce temps de retardement était le même que celui d’Habacuc 2. La parabole des dix vierges se répète à la lettre, et cette réalité indique que seuls ceux qui ont été impliqués dans la déception sont susceptibles d’être soit une vierge sage, soit une vierge folle.</w:t>
      </w:r>
    </w:p>
    <w:p>
      <w:pPr>
        <w:pStyle w:val="ArticleBody"/>
        <w:jc w:val="left"/>
      </w:pPr>
      <w:r>
        <w:rPr>
          <w:rFonts w:ascii="Times New Roman" w:hAnsi="Times New Roman" w:eastAsia="Times New Roman" w:cs="Times New Roman"/>
        </w:rPr>
        <w:t>Badan besar Adventisme Laodikia diuji oleh tibanya Malapetaka ketiga pada 11 September 2001, dan ketika ramalan yang gagal tentang 18 Juli 2020 berlalu, Adventisme Laodikia tertinggal untuk hanyut tanpa tujuan kembali menuju Roma, sebagaimana halnya orang-orang Protestan dalam sejarah Millerit.</w:t>
      </w:r>
    </w:p>
    <w:p>
      <w:pPr>
        <w:pStyle w:val="ArticleBody"/>
        <w:jc w:val="left"/>
      </w:pPr>
      <w:r>
        <w:rPr>
          <w:rFonts w:ascii="Times New Roman" w:hAnsi="Times New Roman" w:eastAsia="Times New Roman" w:cs="Times New Roman"/>
        </w:rPr>
        <w:t>Sio tu kwamba Wamilleri walitambua wakati wa kukawia kuwa utimilifu wa mfano wa mabikira kumi, bali pia waliona kwamba katika Habakuki amri ya kungojea maono, ijapokuwa yalichelewa, ilikuwa ndiyo alama iyo hiyo ya kinabii. Basi Habakuki anathibitisha kwamba maono yale yaliyokuwa yamewasilishwa kimakosa na yaliyokuwa yameleta fadhaa ya kwanza, ndiyo maono ambayo “yatasema” mwisho.</w:t>
      </w:r>
    </w:p>
    <w:p>
      <w:pPr>
        <w:pStyle w:val="ArticleScripture"/>
        <w:jc w:val="left"/>
      </w:pP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ठहरिनेछैन।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भएझैँ</w:t>
      </w:r>
      <w:r>
        <w:rPr>
          <w:rFonts w:ascii="Times New Roman" w:hAnsi="Times New Roman" w:eastAsia="Times New Roman" w:cs="Times New Roman"/>
        </w:rPr>
        <w:t xml:space="preserve"> </w:t>
      </w:r>
      <w:r>
        <w:rPr>
          <w:rFonts w:ascii="Nirmala UI" w:hAnsi="Nirmala UI" w:eastAsia="Nirmala UI" w:cs="Nirmala UI"/>
        </w:rPr>
        <w:t>लागोस्</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आउनेछ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हबकूक</w:t>
      </w:r>
      <w:r>
        <w:rPr>
          <w:rFonts w:ascii="Times New Roman" w:hAnsi="Times New Roman" w:eastAsia="Times New Roman" w:cs="Times New Roman"/>
        </w:rPr>
        <w:t xml:space="preserve"> 2:3</w:t>
      </w:r>
      <w:r>
        <w:rPr>
          <w:rFonts w:ascii="Nirmala UI" w:hAnsi="Nirmala UI" w:eastAsia="Nirmala UI" w:cs="Nirmala UI"/>
        </w:rPr>
        <w:t>।</w:t>
      </w:r>
    </w:p>
    <w:p>
      <w:pPr>
        <w:pStyle w:val="ArticleBody"/>
        <w:jc w:val="left"/>
      </w:pPr>
      <w:r>
        <w:rPr>
          <w:rFonts w:ascii="Times New Roman" w:hAnsi="Times New Roman" w:eastAsia="Times New Roman" w:cs="Times New Roman"/>
        </w:rPr>
        <w:t>Koze ubutumwa bwateje ugucika intege kwa mbere ari bwo butumwa bwagombaga kuzamenyekana ko busohoreye mu gihe cya vuba, bwari bukiri ubutumwa bushingiye ku ngingo z’ubuhanuzi zakoreshejwe mbere mu itangazo rya mbere ritari ryo.</w:t>
      </w:r>
    </w:p>
    <w:p>
      <w:pPr>
        <w:pStyle w:val="ArticleBody"/>
        <w:jc w:val="left"/>
      </w:pPr>
      <w:r>
        <w:rPr>
          <w:rFonts w:ascii="Times New Roman" w:hAnsi="Times New Roman" w:eastAsia="Times New Roman" w:cs="Times New Roman"/>
        </w:rPr>
        <w:t>Dans l’histoire millérite, le peuple de l’ancienne alliance fut d’abord éprouvé; ensuite, le peuple de la nouvelle alliance fut éprouvé. L’épreuve commença pour les protestants lorsque le premier ange d’Apocalypse dix et le premier ange d’Apocalypse quatorze (car ils sont un seul et même ange) descendit le 11 août 1840. Leur épreuve s’acheva avec la première déception et l’arrivée du second ange d’Apocalypse quatorze.</w:t>
      </w:r>
    </w:p>
    <w:p>
      <w:pPr>
        <w:pStyle w:val="ArticleBody"/>
        <w:jc w:val="left"/>
      </w:pPr>
      <w:r>
        <w:rPr>
          <w:rFonts w:ascii="Times New Roman" w:hAnsi="Times New Roman" w:eastAsia="Times New Roman" w:cs="Times New Roman"/>
        </w:rPr>
        <w:t>In der Geschichte der Milleriten begann die Prüfung für die Milleriten mit dem Eintreffen des zweiten Engels bei der ersten Enttäuschung und fand ihren Abschluss mit dem Eintreffen des Mitternachtsrufs, den Schwester White als eine Menge von Engeln darstellt, die sich dem zweiten Engel anschließen. Unter der Macht des Heiligen Geistes wurden die Milleriten, die die Botschaft des Mitternachtsrufs erkannten und annahmen, dann von den Milleriten getrennt, die die Botschaft, die rings um sie herabfiel, nicht erkannten. Am 22. Oktober 1844 traf der dritte Engel ein, und die Vision, die sich verzogen hatte, redete dann.</w:t>
      </w:r>
    </w:p>
    <w:p>
      <w:pPr>
        <w:pStyle w:val="ArticleBody"/>
        <w:jc w:val="left"/>
      </w:pPr>
      <w:r>
        <w:rPr>
          <w:rFonts w:ascii="Times New Roman" w:hAnsi="Times New Roman" w:eastAsia="Times New Roman" w:cs="Times New Roman"/>
        </w:rPr>
        <w:t>Katika historia ya kutiwa muhuri kwa wale mia moja arobaini na nne elfu, watu wa agano la kwanza walijaribiwa kwanza, kisha watu wa agano jipya. Jaribio lilianza kwa Waadventista wa Laodikia wakati sauti ya kwanza ya malaika wa Ufunuo kumi na nane na ya malaika wa tatu wa Ufunuo kumi na nne (kwa maana ni malaika yuleyule), iliposhuka tarehe 11 Septemba, 2001. Jaribio lao lilikamilika kwa kukatishwa tamaa kwa tarehe 18 Julai, 2020.</w:t>
      </w:r>
    </w:p>
    <w:p>
      <w:pPr>
        <w:pStyle w:val="ArticleBody"/>
        <w:jc w:val="left"/>
      </w:pPr>
      <w:r>
        <w:rPr>
          <w:rFonts w:ascii="Times New Roman" w:hAnsi="Times New Roman" w:eastAsia="Times New Roman" w:cs="Times New Roman"/>
        </w:rPr>
        <w:t>Mu muryango w’umumarayika wa gatatu, ikigeragezo cy’abihumbi ijana na mirongo ine na bine cyatangiye igihe hageraga ugucika intege kwa mbere, kandi kizarangira igihe hageraga ubutumwa bw’Imiborogo yo mu Gicuku. Mu mbaraga z’Umwuka Wera, abemera kandi bakakira ubu ubutumwa bw’Imiborogo yo mu Gicuku, ni bwo batandukanywa n’abapfu n’abanyabyaha batamenye ubutumwa bufite impande nyinshi buri ubu bugwa impande zose zibakikije.</w:t>
      </w:r>
    </w:p>
    <w:p>
      <w:pPr>
        <w:pStyle w:val="ArticleBody"/>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ਸ਼ੀਘ੍ਰ</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ਪ੍ਰਕਾਸ਼ਿਤ</w:t>
      </w:r>
      <w:r>
        <w:rPr>
          <w:rFonts w:ascii="Times New Roman" w:hAnsi="Times New Roman" w:eastAsia="Times New Roman" w:cs="Times New Roman"/>
        </w:rPr>
        <w:t xml:space="preserve"> </w:t>
      </w:r>
      <w:r>
        <w:rPr>
          <w:rFonts w:ascii="Nirmala UI" w:hAnsi="Nirmala UI" w:eastAsia="Nirmala UI" w:cs="Nirmala UI"/>
        </w:rPr>
        <w:t>ਵਾਕ੍ਯ</w:t>
      </w:r>
      <w:r>
        <w:rPr>
          <w:rFonts w:ascii="Times New Roman" w:hAnsi="Times New Roman" w:eastAsia="Times New Roman" w:cs="Times New Roman"/>
        </w:rPr>
        <w:t xml:space="preserve"> </w:t>
      </w:r>
      <w:r>
        <w:rPr>
          <w:rFonts w:ascii="Nirmala UI" w:hAnsi="Nirmala UI" w:eastAsia="Nirmala UI" w:cs="Nirmala UI"/>
        </w:rPr>
        <w:t>ਅਠਾਰ੍ਹਵੇਂ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ਬੋਲਣ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ਠਹਿਰਿਆ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ਤੀਸਰੇ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ਫੈਲਦਾ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Le Cri de Minuit est représenté comme plusieurs anges qui s’unissent à l’ange précédent. Le message du Cri de Minuit comporte plusieurs éléments qui concourent à l’ensemble du message, et les anges sont des symboles de messages. Dans l’histoire millérite, le pionnier reconnu comme ayant pris la tête pour rassembler le message du véritable Cri de Minuit fut Samuel S. Snow. Dans cette histoire, il est bien établi que la compréhension qu’avait Snow du message du Cri de Minuit s’est développée sur une certaine période de temps.</w:t>
      </w:r>
    </w:p>
    <w:p>
      <w:pPr>
        <w:pStyle w:val="ArticleBody"/>
        <w:jc w:val="left"/>
      </w:pPr>
      <w:r>
        <w:rPr>
          <w:rFonts w:ascii="Times New Roman" w:hAnsi="Times New Roman" w:eastAsia="Times New Roman" w:cs="Times New Roman"/>
        </w:rPr>
        <w:t>Oo seenaa sun qubee isaatiin irra deebi’amee raawwatama, ergaan Qilleensa Halkan-Walakkaa isa dhumaa immoo xumura Adoolessaa, 2023 irraa eegalee ifatti guddachaa tureera. Inni ergaa Islaamaa qofa miti; ergaa mallattoo gochuu nama kuma dhibba tokkoo fi afurtamii afurii illee of keessatti hammata. Inni mul’ina akka gaanfi lama bineensa lafaa, lamaan isaanii iyyuu “du’aa fi du’aa ka’uu” keessa akka darban of keessatti qabata; isaanis fakkii bineensaa wajjin wal-cinaa deemu, isa seenaa isuma keessatti walxaxaa raajii kanaa, “saddeettaffaan sun torban keessaa dha,” jedhu guutu. Inni mul’inoota “seenaa dhokataa” Caccaboota Torbanii wajjin walqabatan of keessatti hammata; akkasumas walxaxaa raajii “dhagaa” isa gatame “mataa golee” ta’uu isaa guuta; yeroo “yeroo torba” Leewwota digdamii ja’a keessatti argamu, akka hidda-dhuunfaa dhugaa seenaa Miller hunda walitti suufu ta’ee, dhugaawwan yeroo dhumaa bara 1989 keessatti banaman wajjin ifa ba’utti. Faarfataan akkana jedha:</w:t>
      </w:r>
    </w:p>
    <w:p>
      <w:pPr>
        <w:pStyle w:val="ArticleScripture"/>
        <w:jc w:val="left"/>
      </w:pPr>
      <w:r>
        <w:rPr>
          <w:rFonts w:ascii="Times New Roman" w:hAnsi="Times New Roman" w:eastAsia="Times New Roman" w:cs="Times New Roman"/>
        </w:rPr>
        <w:t>Le kummun a aedoname menpake a lisra, nena etoulon a aedoname alon inikin. En ei an Samol an; aumai a chomong er tir. Ei ran o Samol a fel; hitirrir me hitingor lon ei. Psalms 118:22–24.</w:t>
      </w:r>
    </w:p>
    <w:p>
      <w:pPr>
        <w:pStyle w:val="ArticleBody"/>
        <w:jc w:val="left"/>
      </w:pPr>
      <w:r>
        <w:rPr>
          <w:rFonts w:ascii="Times New Roman" w:hAnsi="Times New Roman" w:eastAsia="Times New Roman" w:cs="Times New Roman"/>
        </w:rPr>
        <w:t>Le « ff », qui fut le premier « joyau » que William Miller découvrit (et les joyaux sont des pierres), est le « jour que l’Éternel a fait ». Il a été démontré dans des articles précédents que la structure et les termes du commandement du sabbat sont identiques à la structure du cycle sacré de sept, tel qu’il est exposé au chapitre vingt-cinq du Lévitique. Le repos du septième jour préfigurait le repos du pays la septième année, et lorsque ces deux commandements sont considérés sous cet angle, ils rendent témoignage au fait qu’un jour représente une année dans la prophétie biblique.</w:t>
      </w:r>
    </w:p>
    <w:p>
      <w:pPr>
        <w:pStyle w:val="ArticleBody"/>
        <w:jc w:val="left"/>
      </w:pPr>
      <w:r>
        <w:rPr>
          <w:rFonts w:ascii="Times New Roman" w:hAnsi="Times New Roman" w:eastAsia="Times New Roman" w:cs="Times New Roman"/>
        </w:rPr>
        <w:t>Elles montrent aussi que l’interprétation que Miller a proclamée concernant l’indignation de Dieu des « sept temps », dans Lévitique vingt-six, est représentée comme « un jour », car le Seigneur a établi le cycle sacré de sept années aussi certainement qu’Il a fait les cieux et la terre en six jours, et s’est reposé le septième.</w:t>
      </w:r>
    </w:p>
    <w:p>
      <w:pPr>
        <w:pStyle w:val="ArticleBody"/>
        <w:jc w:val="left"/>
      </w:pPr>
      <w:r>
        <w:rPr>
          <w:rFonts w:ascii="Times New Roman" w:hAnsi="Times New Roman" w:eastAsia="Times New Roman" w:cs="Times New Roman"/>
        </w:rPr>
        <w:t>Когда Иисус завершил притчу о винограднике, Он задал фарисеям вопрос.</w:t>
      </w:r>
    </w:p>
    <w:p>
      <w:pPr>
        <w:pStyle w:val="ArticleScripture"/>
        <w:jc w:val="left"/>
      </w:pPr>
      <w:r>
        <w:rPr>
          <w:rFonts w:ascii="Times New Roman" w:hAnsi="Times New Roman" w:eastAsia="Times New Roman" w:cs="Times New Roman"/>
        </w:rPr>
        <w:t>Sapagka’t kung dumating nga ang panginoon ng ubasan, ano kaya ang gagawin niya sa mga magsasakang yaon? Sinabi nila sa kaniya, Lubos niyang lilipulin ang masasamang taong yaon, at ang kaniyang ubasan ay ipauupa niya sa ibang mga magsasaka, na magbibigay sa kaniya ng mga bunga sa kani-kanilang kapanahunan. Sinabi sa kanila ni Jesus, Hindi baga ninyo kailanman nabasa sa mga kasulatan, Ang batong itinakuwil ng mga tagapagtayo, ay siyang naging pangulo sa panulok: ito’y gawa ng Panginoon, at ito’y kagilagilalas sa ating mga mata? Kaya’t sinasabi ko sa inyo, Aalisin sa inyo ang kaharian ng Dios, at ibibigay sa isang bansang nagbubunga ng mga bunga niyaon. At ang sinomang mabuwal sa ibabaw ng batong ito ay madudurog: datapuwa’t sinomang kaniyang mabagsakan, ay kaniyang pangangalating parang alabok. At nang marinig ng mga pangulong saserdote at ng mga Fariseo ang kaniyang mga talinghaga, napagunawa nila na sila ang kaniyang pinatutungkulan. Mateo 21:40–45.</w:t>
      </w:r>
    </w:p>
    <w:p>
      <w:pPr>
        <w:pStyle w:val="ArticleBody"/>
        <w:jc w:val="left"/>
      </w:pPr>
      <w:r>
        <w:rPr>
          <w:rFonts w:ascii="Times New Roman" w:hAnsi="Times New Roman" w:eastAsia="Times New Roman" w:cs="Times New Roman"/>
        </w:rPr>
        <w:t>Le parabole de la vigne est le parabole du fait que l’ancien peuple élu a été délaissé, et que le royaume a été donné à un nouveau peuple élu. La « pierre » qui a été rejetée, selon Jésus, est la « pierre » qui sauve ou qui détruit, selon la manière dont elle est reçue. La « pierre » doit être une vérité biblique dans le contexte employé par Jésus, car elle a le pouvoir de produire un fruit juste, et la justice de Christ n’est produite chez les hommes et les femmes que lorsqu’ils reçoivent Sa Parole de vérité.</w:t>
      </w:r>
    </w:p>
    <w:p>
      <w:pPr>
        <w:pStyle w:val="ArticleScripture"/>
        <w:jc w:val="left"/>
      </w:pPr>
      <w:r>
        <w:rPr>
          <w:rFonts w:ascii="Times New Roman" w:hAnsi="Times New Roman" w:eastAsia="Times New Roman" w:cs="Times New Roman"/>
        </w:rPr>
        <w:t>Consacre-les par ta vérité : ta parole est la vérité. Jean 17:17.</w:t>
      </w:r>
    </w:p>
    <w:p>
      <w:pPr>
        <w:pStyle w:val="ArticleBody"/>
        <w:jc w:val="left"/>
      </w:pPr>
      <w:r>
        <w:rPr>
          <w:rFonts w:ascii="Times New Roman" w:hAnsi="Times New Roman" w:eastAsia="Times New Roman" w:cs="Times New Roman"/>
        </w:rPr>
        <w:t>La « pierre » est une doctrine qui est soit acceptée, soit rejetée, et Jésus est la Parole, et dans le livre des Actes, Pierre identifie la « pierre » au Christ.</w:t>
      </w:r>
    </w:p>
    <w:p>
      <w:pPr>
        <w:pStyle w:val="ArticleScripture"/>
        <w:jc w:val="left"/>
      </w:pPr>
      <w:r>
        <w:rPr>
          <w:rFonts w:ascii="Times New Roman" w:hAnsi="Times New Roman" w:eastAsia="Times New Roman" w:cs="Times New Roman"/>
        </w:rPr>
        <w:t>Que tous vous le sachiez, ainsi que tout le peuple d’Israël : c’est par le nom de Jésus-Christ de Nazareth, que vous avez crucifié et que Dieu a ressuscité des morts, que cet homme se tient ici devant vous en pleine santé. C’est lui qui est la pierre rejetée par vous qui bâtissez, et qui est devenue la principale de l’angle. Il n’y a de salut en aucun autre ; car il n’y a sous le ciel aucun autre nom qui ait été donné parmi les hommes, par lequel nous devions être sauvés. Actes 4:10–12.</w:t>
      </w:r>
    </w:p>
    <w:p>
      <w:pPr>
        <w:pStyle w:val="ArticleBody"/>
        <w:jc w:val="left"/>
      </w:pPr>
      <w:r>
        <w:rPr>
          <w:rFonts w:ascii="Times New Roman" w:hAnsi="Times New Roman" w:eastAsia="Times New Roman" w:cs="Times New Roman"/>
        </w:rPr>
        <w:t>Puis, dans la première épître de Pierre, il pousse encore plus loin le symbolisme de la « pierre », tout en le maintenant dans le même contexte du dépassement d’un ancien peuple de l’alliance et du choix d’un nouveau peuple élu, qui, comme il l’affirme, « autrefois n’étiez pas un peuple, mais êtes maintenant le peuple de Dieu ; vous qui n’aviez pas obtenu miséricorde, mais qui maintenant avez obtenu miséricorde. »</w:t>
      </w:r>
    </w:p>
    <w:p>
      <w:pPr>
        <w:pStyle w:val="ArticleScripture"/>
        <w:jc w:val="left"/>
      </w:pPr>
      <w:r>
        <w:rPr>
          <w:rFonts w:ascii="Times New Roman" w:hAnsi="Times New Roman" w:eastAsia="Times New Roman" w:cs="Times New Roman"/>
        </w:rPr>
        <w:t>En venant à lui, pierre vivante, rejetée certes par les hommes, mais choisie de Dieu et précieuse, vous aussi, comme des pierres vivantes, êtes édifiés pour former une maison spirituelle, un saint sacerdoce, afin d’offrir des sacrifices spirituels, agréables à Dieu par Jésus-Christ. C’est pourquoi il est dit dans l’Écriture : Voici, je mets en Sion une pierre angulaire, choisie, précieuse ; et celui qui croit en elle ne sera point confus. L’honneur est donc pour vous qui croyez ; mais pour les incrédules, la pierre qu’ont rejetée ceux qui bâtissaient est devenue la principale de l’angle, et une pierre d’achoppement et un rocher de scandale ; ils s’y heurtent pour n’avoir pas cru à la parole, et c’est à cela qu’ils ont été destinés. 1 Pierre 2:4–8.</w:t>
      </w:r>
    </w:p>
    <w:p>
      <w:pPr>
        <w:pStyle w:val="ArticleBody"/>
        <w:jc w:val="left"/>
      </w:pPr>
      <w:r>
        <w:rPr>
          <w:rFonts w:ascii="Times New Roman" w:hAnsi="Times New Roman" w:eastAsia="Times New Roman" w:cs="Times New Roman"/>
        </w:rPr>
        <w:t>Pita anasema juu ya watu wa zamani waliochaguliwa, “kwao wasiotii, jiwe lile walilolikataa waashi, ndilo lililofanywa kuwa jiwe kuu la pembeni, Nalo ni jiwe la kujikwaza, na mwamba wa kuangusha, kwao wao wajikwaao kwa lile neno, wakiwa hawatii; ambayo pia waliwekwa kwa ajili yake.”</w:t>
      </w:r>
    </w:p>
    <w:p>
      <w:pPr>
        <w:pStyle w:val="ArticleBody"/>
        <w:jc w:val="left"/>
      </w:pPr>
      <w:r>
        <w:rPr>
          <w:rFonts w:ascii="Times New Roman" w:hAnsi="Times New Roman" w:eastAsia="Times New Roman" w:cs="Times New Roman"/>
        </w:rPr>
        <w:t>Yesu amelezewa kwa kila mfano mtakatifu wa msingi.</w:t>
      </w:r>
    </w:p>
    <w:p>
      <w:pPr>
        <w:pStyle w:val="ArticleScripture"/>
        <w:jc w:val="left"/>
      </w:pPr>
      <w:r>
        <w:rPr>
          <w:rFonts w:ascii="Times New Roman" w:hAnsi="Times New Roman" w:eastAsia="Times New Roman" w:cs="Times New Roman"/>
        </w:rPr>
        <w:t>Denn einen andern Grund kann niemand legen außer dem, der gelegt ist, welcher ist Jesus Christus. 1. Korinther 3,11.</w:t>
      </w:r>
    </w:p>
    <w:p>
      <w:pPr>
        <w:pStyle w:val="ArticleBody"/>
        <w:jc w:val="left"/>
      </w:pPr>
      <w:r>
        <w:rPr>
          <w:rFonts w:ascii="Times New Roman" w:hAnsi="Times New Roman" w:eastAsia="Times New Roman" w:cs="Times New Roman"/>
        </w:rPr>
        <w:t>Le fondement que les millérites ont posé était le Rocher des siècles (la Pierre).</w:t>
      </w:r>
    </w:p>
    <w:p>
      <w:pPr>
        <w:pStyle w:val="ArticleScripture"/>
        <w:jc w:val="left"/>
      </w:pPr>
      <w:r>
        <w:rPr>
          <w:rFonts w:ascii="Times New Roman" w:hAnsi="Times New Roman" w:eastAsia="Times New Roman" w:cs="Times New Roman"/>
        </w:rPr>
        <w:t>“La advertencia ha llegado: No se ha de permitir que entre nada que perturbe el fundamento de la fe sobre el cual hemos estado edificando desde que el mensaje llegó en 1842, 1843 y 1844. Yo estuve en este mensaje, y desde entonces he estado delante del mundo, fiel a la luz que Dios nos ha dado. No nos proponemos apartar nuestros pies de la plataforma sobre la cual fueron colocados mientras día tras día buscábamos al Señor con oración ferviente, procurando luz. ¿Pensáis que yo podría renunciar a la luz que Dios me ha dado? Ha de ser como la Roca de los Siglos. Me ha estado guiando desde que me fue dada”. Review and Herald, 14 de abril de 1903.</w:t>
      </w:r>
    </w:p>
    <w:p>
      <w:pPr>
        <w:pStyle w:val="ArticleBody"/>
        <w:jc w:val="left"/>
      </w:pPr>
      <w:r>
        <w:rPr>
          <w:rFonts w:ascii="Times New Roman" w:hAnsi="Times New Roman" w:eastAsia="Times New Roman" w:cs="Times New Roman"/>
        </w:rPr>
        <w:t>جوهرِ نخستینی که میلر کشف کرد و جزئی از بنیادِ میلری شد، که همچون صخرهٔ اعصار است، «هفت زمان»ِ لاویان بیست‌وشش بود؛ و «هفت زمان» نخستین حقیقتِ بنیادی بود که از سوی آن پیشگامانِ میلری که تازه بنیادِ میلری را بنا کرده بودند، کنار گذاشته شد. این بناکنندگان بودند که می‌بایست سنگِ بنیادی را رد کنند. آن «سنگ» که ممثّلِ مسیح است، همچنین همان روزی است که خداوند آن را ساخت؛ زیرا او روزِ هفتم را به‌عنوان روزِ استراحت، و سالِ هفتم را به‌عنوان سالی که زمین در آن آرام می‌گرفت، قرار داد. در سال 1863، سنگِ بنیاد رد شد، اما باید «سرِ زاویه» و «سنگِ لغزش» برای نافرمانان ساخته شود.</w:t>
      </w:r>
    </w:p>
    <w:p>
      <w:pPr>
        <w:pStyle w:val="ArticleBody"/>
        <w:jc w:val="left"/>
      </w:pPr>
      <w:r>
        <w:rPr>
          <w:rFonts w:ascii="Times New Roman" w:hAnsi="Times New Roman" w:eastAsia="Times New Roman" w:cs="Times New Roman"/>
        </w:rPr>
        <w:t>ff The message of Islam of the third woe is the theme for the reform movement of the one hundred and forty-four thousand, and the testing process began when the angel of Revelation eighteen descended, as the great buildings of New York City were thrown down on September 11, 2001. Adventism was silent concerning the prophetic identification that September 11, 2001, was the arrival of the “day of the east wind.” On July 18, 2020, they were left behind as the two witnesses of Revelation chapter eleven, were slain in the streets of that great city. The test of Adventism was over, and the test for those who had professed to recognize the message of Islam was under way.</w:t>
      </w:r>
    </w:p>
    <w:p>
      <w:pPr>
        <w:pStyle w:val="ArticleBody"/>
        <w:jc w:val="left"/>
      </w:pPr>
      <w:r>
        <w:rPr>
          <w:rFonts w:ascii="Times New Roman" w:hAnsi="Times New Roman" w:eastAsia="Times New Roman" w:cs="Times New Roman"/>
        </w:rPr>
        <w:t>После того как до конца июля 2023 года они лежали мёртвыми на улицах, мёртвые сухие кости затем были пробуждены первой вестью Иезекииля. Вторая весть Иезекииля — это весть о четырёх ветрах ислама третьего горя, представляющая собой последовательное снятие печатей с вести Полуночного крика, которая есть замедлившееся видение и тема всего периода движения. Затем были раскрыты различные истины, ибо весть Полуночного крика представляет собой многогранную весть. Первая истина, с которой столкнулись мёртвые сухие кости, была первой истиной, отвергнутой лаодикийским адвентизмом, и она представляет собой истину, обозначающую переход Лаодикии к Филадельфии.</w:t>
      </w:r>
    </w:p>
    <w:p>
      <w:pPr>
        <w:pStyle w:val="ArticleBody"/>
        <w:jc w:val="left"/>
      </w:pPr>
      <w:r>
        <w:rPr>
          <w:rFonts w:ascii="Times New Roman" w:hAnsi="Times New Roman" w:eastAsia="Times New Roman" w:cs="Times New Roman"/>
        </w:rPr>
        <w:t>La vérité est le message du scellement et, par conséquent, elle doit être établie tant sur le plan intellectuel que sur le plan spirituel. Il ne suffit pas de reconnaître que la période durant laquelle les deux témoins étaient morts dans la rue est un symbole de la dispersion des « sept temps » ; cela exige aussi une acceptation expérientielle de la vérité.</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पश्चाताप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अंगीकार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मारेह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قوله ما يسمى بـ«الفهم الفكري» للإسلام الخاص بالويل الثالث تمثّله رؤية «chazon»، وكلاهما مطلوب للذين سيُختمون. في سنة 1863، اختارت الأدفنتية اللاودكية أن تعيد بناء أريحا، وتركت عملها في ترميم أورشليم. وأريحا رمزٌ للغنى والترف، كما يمثّله أيضًا عمى لاودكية.</w:t>
      </w:r>
    </w:p>
    <w:p>
      <w:pPr>
        <w:pStyle w:val="ArticleScripture"/>
        <w:jc w:val="left"/>
      </w:pPr>
      <w:r>
        <w:rPr>
          <w:rFonts w:ascii="Times New Roman" w:hAnsi="Times New Roman" w:eastAsia="Times New Roman" w:cs="Times New Roman"/>
        </w:rPr>
        <w:t>“May isa sa pinakamatitibay na tanggulan sa lupain—ang malaki at mayamang lungsod ng Jerico—ay nasa harapan lamang nila, at hindi kalayuan sa kanilang kampo sa Gilgal. Nasa hangganan ng isang matabang kapatagan na sagana sa mayayaman at sari-saring bunga ng mga tropiko, ang mga palasyo at mga templo nito, na tahanan ng luho at bisyo, ang mapagmalaking lungsod na ito, sa likod ng matitibay nitong muog, ay humahamon sa Dios ng Israel. Ang Jerico ay isa sa mga pangunahing sentro ng pagsamba sa mga diyus-diyosan, na lalo nang nakatalaga kay Astarot, ang diyosa ng buwan. Dito nakasentro ang lahat ng pinakamasama at pinakanakabababang-asal sa relihiyon ng mga Cananeo. Ang bayan ng Israel, na sariwa pa sa kanilang isipan ang kakila-kilabot na bunga ng kanilang kasalanan sa Beth-peor, ay makakatingin sa paganong lungsod na ito nang may pagkasuklam at pagkasindak lamang.” Patriarchs and Prophets, 487.</w:t>
      </w:r>
    </w:p>
    <w:p>
      <w:pPr>
        <w:pStyle w:val="ArticleBody"/>
        <w:jc w:val="left"/>
      </w:pPr>
      <w:r>
        <w:rPr>
          <w:rFonts w:ascii="Microsoft Himalaya" w:hAnsi="Microsoft Himalaya" w:eastAsia="Microsoft Himalaya" w:cs="Microsoft Himalaya"/>
        </w:rPr>
        <w:t>བཟོ་བ་པོ་རྣམས་ཀྱིས་</w:t>
      </w:r>
      <w:r>
        <w:rPr>
          <w:rFonts w:ascii="Times New Roman" w:hAnsi="Times New Roman" w:eastAsia="Times New Roman" w:cs="Times New Roman"/>
        </w:rPr>
        <w:t xml:space="preserve">1863 </w:t>
      </w:r>
      <w:r>
        <w:rPr>
          <w:rFonts w:ascii="Microsoft Himalaya" w:hAnsi="Microsoft Himalaya" w:eastAsia="Microsoft Himalaya" w:cs="Microsoft Himalaya"/>
        </w:rPr>
        <w:t>ལོར་རི་ཁོ་བསྐྱར་བཟོ་བྱེད་སྐབས་ཕར་བཞག་པའི་</w:t>
      </w:r>
      <w:r>
        <w:rPr>
          <w:rFonts w:ascii="Times New Roman" w:hAnsi="Times New Roman" w:eastAsia="Times New Roman" w:cs="Times New Roman"/>
        </w:rPr>
        <w:t>“</w:t>
      </w:r>
      <w:r>
        <w:rPr>
          <w:rFonts w:ascii="Microsoft Himalaya" w:hAnsi="Microsoft Himalaya" w:eastAsia="Microsoft Himalaya" w:cs="Microsoft Himalaya"/>
        </w:rPr>
        <w:t>རྡོ</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མཐའ་མའི་ཉིན་མོར</w:t>
      </w:r>
      <w:r>
        <w:rPr>
          <w:rFonts w:ascii="Times New Roman" w:hAnsi="Times New Roman" w:eastAsia="Times New Roman" w:cs="Times New Roman"/>
        </w:rPr>
        <w:t xml:space="preserve"> “</w:t>
      </w:r>
      <w:r>
        <w:rPr>
          <w:rFonts w:ascii="Microsoft Himalaya" w:hAnsi="Microsoft Himalaya" w:eastAsia="Microsoft Himalaya" w:cs="Microsoft Himalaya"/>
        </w:rPr>
        <w:t>བདེན་པ</w:t>
      </w:r>
      <w:r>
        <w:rPr>
          <w:rFonts w:ascii="Times New Roman" w:hAnsi="Times New Roman" w:eastAsia="Times New Roman" w:cs="Times New Roman"/>
        </w:rPr>
        <w:t>” (</w:t>
      </w:r>
      <w:r>
        <w:rPr>
          <w:rFonts w:ascii="Microsoft Himalaya" w:hAnsi="Microsoft Himalaya" w:eastAsia="Microsoft Himalaya" w:cs="Microsoft Himalaya"/>
        </w:rPr>
        <w:t>ནོར་བུ</w:t>
      </w:r>
      <w:r>
        <w:rPr>
          <w:rFonts w:ascii="Times New Roman" w:hAnsi="Times New Roman" w:eastAsia="Times New Roman" w:cs="Times New Roman"/>
        </w:rPr>
        <w:t xml:space="preserve">) </w:t>
      </w:r>
      <w:r>
        <w:rPr>
          <w:rFonts w:ascii="Microsoft Himalaya" w:hAnsi="Microsoft Himalaya" w:eastAsia="Microsoft Himalaya" w:cs="Microsoft Himalaya"/>
        </w:rPr>
        <w:t>ལ་གྱུར་བའི་</w:t>
      </w:r>
      <w:r>
        <w:rPr>
          <w:rFonts w:ascii="Times New Roman" w:hAnsi="Times New Roman" w:eastAsia="Times New Roman" w:cs="Times New Roman"/>
        </w:rPr>
        <w:t>“</w:t>
      </w:r>
      <w:r>
        <w:rPr>
          <w:rFonts w:ascii="Microsoft Himalaya" w:hAnsi="Microsoft Himalaya" w:eastAsia="Microsoft Himalaya" w:cs="Microsoft Himalaya"/>
        </w:rPr>
        <w:t>ལན་བདུན</w:t>
      </w:r>
      <w:r>
        <w:rPr>
          <w:rFonts w:ascii="Times New Roman" w:hAnsi="Times New Roman" w:eastAsia="Times New Roman" w:cs="Times New Roman"/>
        </w:rPr>
        <w:t xml:space="preserve">” </w:t>
      </w:r>
      <w:r>
        <w:rPr>
          <w:rFonts w:ascii="Microsoft Himalaya" w:hAnsi="Microsoft Himalaya" w:eastAsia="Microsoft Himalaya" w:cs="Microsoft Himalaya"/>
        </w:rPr>
        <w:t>དེ་ཡིན་ལ།</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 xml:space="preserve"> “</w:t>
      </w:r>
      <w:r>
        <w:rPr>
          <w:rFonts w:ascii="Microsoft Himalaya" w:hAnsi="Microsoft Himalaya" w:eastAsia="Microsoft Himalaya" w:cs="Microsoft Himalaya"/>
        </w:rPr>
        <w:t>ཟུར་མདོའི་མགོ</w:t>
      </w:r>
      <w:r>
        <w:rPr>
          <w:rFonts w:ascii="Times New Roman" w:hAnsi="Times New Roman" w:eastAsia="Times New Roman" w:cs="Times New Roman"/>
        </w:rPr>
        <w:t xml:space="preserve">” </w:t>
      </w:r>
      <w:r>
        <w:rPr>
          <w:rFonts w:ascii="Microsoft Himalaya" w:hAnsi="Microsoft Himalaya" w:eastAsia="Microsoft Himalaya" w:cs="Microsoft Himalaya"/>
        </w:rPr>
        <w:t>ལ་འགྱུར་བ་ཡིན།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གང་ལགས་ཞེ་ན།</w:t>
      </w:r>
      <w:r>
        <w:rPr>
          <w:rFonts w:ascii="Times New Roman" w:hAnsi="Times New Roman" w:eastAsia="Times New Roman" w:cs="Times New Roman"/>
        </w:rPr>
        <w:t xml:space="preserve"> </w:t>
      </w:r>
      <w:r>
        <w:rPr>
          <w:rFonts w:ascii="Microsoft Himalaya" w:hAnsi="Microsoft Himalaya" w:eastAsia="Microsoft Himalaya" w:cs="Microsoft Himalaya"/>
        </w:rPr>
        <w:t>དེ་ནི་མི་ལེ་རའི་ཚོགས་འགུལ་ནང་གི་ཨེཌ་ཝེན་ཊིསམ་གྱི་འགོ་བཙུགས་པ་དང་།</w:t>
      </w:r>
      <w:r>
        <w:rPr>
          <w:rFonts w:ascii="Times New Roman" w:hAnsi="Times New Roman" w:eastAsia="Times New Roman" w:cs="Times New Roman"/>
        </w:rPr>
        <w:t xml:space="preserve"> </w:t>
      </w:r>
      <w:r>
        <w:rPr>
          <w:rFonts w:ascii="Microsoft Himalaya" w:hAnsi="Microsoft Himalaya" w:eastAsia="Microsoft Himalaya" w:cs="Microsoft Himalaya"/>
        </w:rPr>
        <w:t>མི་གྲངས་འབུམ་བཞི་བཅུ་ཞེ་བཞིའི་ཚོགས་འགུལ་ནང་གི་ཨེཌ་ཝེན་ཊིསམ་གྱི་མཇུག་མཐར་མཐུད་པའི་བདེན་པ་དེ་ཡིན་པས་སོ།</w:t>
      </w:r>
      <w:r>
        <w:rPr>
          <w:rFonts w:ascii="Times New Roman" w:hAnsi="Times New Roman" w:eastAsia="Times New Roman" w:cs="Times New Roman"/>
        </w:rPr>
        <w:t xml:space="preserve"> </w:t>
      </w:r>
      <w:r>
        <w:rPr>
          <w:rFonts w:ascii="Microsoft Himalaya" w:hAnsi="Microsoft Himalaya" w:eastAsia="Microsoft Himalaya" w:cs="Microsoft Himalaya"/>
        </w:rPr>
        <w:t>ནོར་བུ་དེ།</w:t>
      </w:r>
      <w:r>
        <w:rPr>
          <w:rFonts w:ascii="Times New Roman" w:hAnsi="Times New Roman" w:eastAsia="Times New Roman" w:cs="Times New Roman"/>
        </w:rPr>
        <w:t xml:space="preserve"> </w:t>
      </w:r>
      <w:r>
        <w:rPr>
          <w:rFonts w:ascii="Microsoft Himalaya" w:hAnsi="Microsoft Himalaya" w:eastAsia="Microsoft Himalaya" w:cs="Microsoft Himalaya"/>
        </w:rPr>
        <w:t>སྟེ་</w:t>
      </w:r>
      <w:r>
        <w:rPr>
          <w:rFonts w:ascii="Times New Roman" w:hAnsi="Times New Roman" w:eastAsia="Times New Roman" w:cs="Times New Roman"/>
        </w:rPr>
        <w:t>“</w:t>
      </w:r>
      <w:r>
        <w:rPr>
          <w:rFonts w:ascii="Microsoft Himalaya" w:hAnsi="Microsoft Himalaya" w:eastAsia="Microsoft Himalaya" w:cs="Microsoft Himalaya"/>
        </w:rPr>
        <w:t>ལན་བདུན</w:t>
      </w:r>
      <w:r>
        <w:rPr>
          <w:rFonts w:ascii="Times New Roman" w:hAnsi="Times New Roman" w:eastAsia="Times New Roman" w:cs="Times New Roman"/>
        </w:rPr>
        <w:t xml:space="preserve">” </w:t>
      </w:r>
      <w:r>
        <w:rPr>
          <w:rFonts w:ascii="Microsoft Himalaya" w:hAnsi="Microsoft Himalaya" w:eastAsia="Microsoft Himalaya" w:cs="Microsoft Himalaya"/>
        </w:rPr>
        <w:t>ཞེས་པ་དེ་ཉིད་ཀྱང་</w:t>
      </w:r>
      <w:r>
        <w:rPr>
          <w:rFonts w:ascii="Times New Roman" w:hAnsi="Times New Roman" w:eastAsia="Times New Roman" w:cs="Times New Roman"/>
        </w:rPr>
        <w:t xml:space="preserve"> “</w:t>
      </w:r>
      <w:r>
        <w:rPr>
          <w:rFonts w:ascii="Microsoft Himalaya" w:hAnsi="Microsoft Himalaya" w:eastAsia="Microsoft Himalaya" w:cs="Microsoft Himalaya"/>
        </w:rPr>
        <w:t>གཙོ་བོས་མཛད་པའི་ཉིན་མོ</w:t>
      </w:r>
      <w:r>
        <w:rPr>
          <w:rFonts w:ascii="Times New Roman" w:hAnsi="Times New Roman" w:eastAsia="Times New Roman" w:cs="Times New Roman"/>
        </w:rPr>
        <w:t xml:space="preserve">” </w:t>
      </w:r>
      <w:r>
        <w:rPr>
          <w:rFonts w:ascii="Microsoft Himalaya" w:hAnsi="Microsoft Himalaya" w:eastAsia="Microsoft Himalaya" w:cs="Microsoft Himalaya"/>
        </w:rPr>
        <w:t>ཡིན་ལ།</w:t>
      </w:r>
      <w:r>
        <w:rPr>
          <w:rFonts w:ascii="Times New Roman" w:hAnsi="Times New Roman" w:eastAsia="Times New Roman" w:cs="Times New Roman"/>
        </w:rPr>
        <w:t xml:space="preserve"> </w:t>
      </w:r>
      <w:r>
        <w:rPr>
          <w:rFonts w:ascii="Microsoft Himalaya" w:hAnsi="Microsoft Himalaya" w:eastAsia="Microsoft Himalaya" w:cs="Microsoft Himalaya"/>
        </w:rPr>
        <w:t>དེ་ནི་ཁིརསི་ཏོས་རང་ཉིད་ཡིན།</w:t>
      </w:r>
      <w:r>
        <w:rPr>
          <w:rFonts w:ascii="Times New Roman" w:hAnsi="Times New Roman" w:eastAsia="Times New Roman" w:cs="Times New Roman"/>
        </w:rPr>
        <w:t xml:space="preserve"> </w:t>
      </w:r>
      <w:r>
        <w:rPr>
          <w:rFonts w:ascii="Microsoft Himalaya" w:hAnsi="Microsoft Himalaya" w:eastAsia="Microsoft Himalaya" w:cs="Microsoft Himalaya"/>
        </w:rPr>
        <w:t>ཁོང་ནི་བཀའ་ཡིན་པས་དང་།</w:t>
      </w:r>
      <w:r>
        <w:rPr>
          <w:rFonts w:ascii="Times New Roman" w:hAnsi="Times New Roman" w:eastAsia="Times New Roman" w:cs="Times New Roman"/>
        </w:rPr>
        <w:t xml:space="preserve"> </w:t>
      </w:r>
      <w:r>
        <w:rPr>
          <w:rFonts w:ascii="Microsoft Himalaya" w:hAnsi="Microsoft Himalaya" w:eastAsia="Microsoft Himalaya" w:cs="Microsoft Himalaya"/>
        </w:rPr>
        <w:t>ཁོང་ནི་</w:t>
      </w:r>
      <w:r>
        <w:rPr>
          <w:rFonts w:ascii="Times New Roman" w:hAnsi="Times New Roman" w:eastAsia="Times New Roman" w:cs="Times New Roman"/>
        </w:rPr>
        <w:t>“</w:t>
      </w:r>
      <w:r>
        <w:rPr>
          <w:rFonts w:ascii="Microsoft Himalaya" w:hAnsi="Microsoft Himalaya" w:eastAsia="Microsoft Himalaya" w:cs="Microsoft Himalaya"/>
        </w:rPr>
        <w:t>བདེན་པ</w:t>
      </w:r>
      <w:r>
        <w:rPr>
          <w:rFonts w:ascii="Times New Roman" w:hAnsi="Times New Roman" w:eastAsia="Times New Roman" w:cs="Times New Roman"/>
        </w:rPr>
        <w:t xml:space="preserve">” </w:t>
      </w:r>
      <w:r>
        <w:rPr>
          <w:rFonts w:ascii="Microsoft Himalaya" w:hAnsi="Microsoft Himalaya" w:eastAsia="Microsoft Himalaya" w:cs="Microsoft Himalaya"/>
        </w:rPr>
        <w:t>ཡང་ཡིན་ནོ།</w:t>
      </w:r>
      <w:r>
        <w:rPr>
          <w:rFonts w:ascii="Times New Roman" w:hAnsi="Times New Roman" w:eastAsia="Times New Roman" w:cs="Times New Roman"/>
        </w:rPr>
        <w:t xml:space="preserve"> </w:t>
      </w:r>
      <w:r>
        <w:rPr>
          <w:rFonts w:ascii="Microsoft Himalaya" w:hAnsi="Microsoft Himalaya" w:eastAsia="Microsoft Himalaya" w:cs="Microsoft Himalaya"/>
        </w:rPr>
        <w:t>ཨིས་ལམ་གྱི་སྐོར་ནི་སྔོན་གྱི་འདེམས་མི་དང་གསར་པའི་འདེམས་མི་གཉིས་ཀའི་དག་སྦྱོང་འབྱུང་བར་བྱེད་པའི་བརྗོད་གཞི་ཡིན་ལ།</w:t>
      </w:r>
      <w:r>
        <w:rPr>
          <w:rFonts w:ascii="Times New Roman" w:hAnsi="Times New Roman" w:eastAsia="Times New Roman" w:cs="Times New Roman"/>
        </w:rPr>
        <w:t xml:space="preserve"> </w:t>
      </w:r>
      <w:r>
        <w:rPr>
          <w:rFonts w:ascii="Microsoft Himalaya" w:hAnsi="Microsoft Himalaya" w:eastAsia="Microsoft Himalaya" w:cs="Microsoft Himalaya"/>
        </w:rPr>
        <w:t>དག་སྦྱོང་གཉིས་ལྡན་དེ་ནི་</w:t>
      </w:r>
      <w:r>
        <w:rPr>
          <w:rFonts w:ascii="Times New Roman" w:hAnsi="Times New Roman" w:eastAsia="Times New Roman" w:cs="Times New Roman"/>
        </w:rPr>
        <w:t xml:space="preserve">2001 </w:t>
      </w:r>
      <w:r>
        <w:rPr>
          <w:rFonts w:ascii="Microsoft Himalaya" w:hAnsi="Microsoft Himalaya" w:eastAsia="Microsoft Himalaya" w:cs="Microsoft Himalaya"/>
        </w:rPr>
        <w:t>ལོའི་ཟླ་</w:t>
      </w:r>
      <w:r>
        <w:rPr>
          <w:rFonts w:ascii="Times New Roman" w:hAnsi="Times New Roman" w:eastAsia="Times New Roman" w:cs="Times New Roman"/>
        </w:rPr>
        <w:t xml:space="preserve">9 </w:t>
      </w:r>
      <w:r>
        <w:rPr>
          <w:rFonts w:ascii="Microsoft Himalaya" w:hAnsi="Microsoft Himalaya" w:eastAsia="Microsoft Himalaya" w:cs="Microsoft Himalaya"/>
        </w:rPr>
        <w:t>ཚེས་</w:t>
      </w:r>
      <w:r>
        <w:rPr>
          <w:rFonts w:ascii="Times New Roman" w:hAnsi="Times New Roman" w:eastAsia="Times New Roman" w:cs="Times New Roman"/>
        </w:rPr>
        <w:t xml:space="preserve">11 </w:t>
      </w:r>
      <w:r>
        <w:rPr>
          <w:rFonts w:ascii="Microsoft Himalaya" w:hAnsi="Microsoft Himalaya" w:eastAsia="Microsoft Himalaya" w:cs="Microsoft Himalaya"/>
        </w:rPr>
        <w:t>ཉིན།</w:t>
      </w:r>
      <w:r>
        <w:rPr>
          <w:rFonts w:ascii="Times New Roman" w:hAnsi="Times New Roman" w:eastAsia="Times New Roman" w:cs="Times New Roman"/>
        </w:rPr>
        <w:t xml:space="preserve"> “</w:t>
      </w:r>
      <w:r>
        <w:rPr>
          <w:rFonts w:ascii="Microsoft Himalaya" w:hAnsi="Microsoft Himalaya" w:eastAsia="Microsoft Himalaya" w:cs="Microsoft Himalaya"/>
        </w:rPr>
        <w:t>ཤར་ཕྱོགས་ཀྱི་རླུང་</w:t>
      </w:r>
      <w:r>
        <w:rPr>
          <w:rFonts w:ascii="Times New Roman" w:hAnsi="Times New Roman" w:eastAsia="Times New Roman" w:cs="Times New Roman"/>
        </w:rPr>
        <w:t xml:space="preserve">” </w:t>
      </w:r>
      <w:r>
        <w:rPr>
          <w:rFonts w:ascii="Microsoft Himalaya" w:hAnsi="Microsoft Himalaya" w:eastAsia="Microsoft Himalaya" w:cs="Microsoft Himalaya"/>
        </w:rPr>
        <w:t>གི་ཉིན་མོར་འགོ་བཙུགས་སོ།</w:t>
      </w:r>
      <w:r>
        <w:rPr>
          <w:rFonts w:ascii="Times New Roman" w:hAnsi="Times New Roman" w:eastAsia="Times New Roman" w:cs="Times New Roman"/>
        </w:rPr>
        <w:t xml:space="preserve"> </w:t>
      </w:r>
      <w:r>
        <w:rPr>
          <w:rFonts w:ascii="Microsoft Himalaya" w:hAnsi="Microsoft Himalaya" w:eastAsia="Microsoft Himalaya" w:cs="Microsoft Himalaya"/>
        </w:rPr>
        <w:t>ཉིན་དེར་སོ་ལྟ་པ་རྣམས་ཀྱིས།</w:t>
      </w:r>
      <w:r>
        <w:rPr>
          <w:rFonts w:ascii="Times New Roman" w:hAnsi="Times New Roman" w:eastAsia="Times New Roman" w:cs="Times New Roman"/>
        </w:rPr>
        <w:t xml:space="preserve"> </w:t>
      </w:r>
      <w:r>
        <w:rPr>
          <w:rFonts w:ascii="Microsoft Himalaya" w:hAnsi="Microsoft Himalaya" w:eastAsia="Microsoft Himalaya" w:cs="Microsoft Himalaya"/>
        </w:rPr>
        <w:t>ཁོང་གིས་རྒུན་ཚལ་གྱི་དཔེ་གཏམ་གསུངས་པའི་ཚེ།</w:t>
      </w:r>
      <w:r>
        <w:rPr>
          <w:rFonts w:ascii="Times New Roman" w:hAnsi="Times New Roman" w:eastAsia="Times New Roman" w:cs="Times New Roman"/>
        </w:rPr>
        <w:t xml:space="preserve"> </w:t>
      </w:r>
      <w:r>
        <w:rPr>
          <w:rFonts w:ascii="Microsoft Himalaya" w:hAnsi="Microsoft Himalaya" w:eastAsia="Microsoft Himalaya" w:cs="Microsoft Himalaya"/>
        </w:rPr>
        <w:t>ཁིརསི་ཏོས་གསུངས་པའི་གླུ་དེ་ཉིད་གླུར་ལེན་དགོས་པ་ཡིན།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མི་གྲངས་འབུམ་བཞི་བཅུ་ཞེ་བཞི་ཡིས་མོ་ཤེའི་གླུ་</w:t>
      </w:r>
      <w:r>
        <w:rPr>
          <w:rFonts w:ascii="Times New Roman" w:hAnsi="Times New Roman" w:eastAsia="Times New Roman" w:cs="Times New Roman"/>
        </w:rPr>
        <w:t>(“</w:t>
      </w:r>
      <w:r>
        <w:rPr>
          <w:rFonts w:ascii="Microsoft Himalaya" w:hAnsi="Microsoft Himalaya" w:eastAsia="Microsoft Himalaya" w:cs="Microsoft Himalaya"/>
        </w:rPr>
        <w:t>ལན་བདུན</w:t>
      </w:r>
      <w:r>
        <w:rPr>
          <w:rFonts w:ascii="Times New Roman" w:hAnsi="Times New Roman" w:eastAsia="Times New Roman" w:cs="Times New Roman"/>
        </w:rPr>
        <w:t xml:space="preserve">”) </w:t>
      </w:r>
      <w:r>
        <w:rPr>
          <w:rFonts w:ascii="Microsoft Himalaya" w:hAnsi="Microsoft Himalaya" w:eastAsia="Microsoft Himalaya" w:cs="Microsoft Himalaya"/>
        </w:rPr>
        <w:t>དང་།</w:t>
      </w:r>
      <w:r>
        <w:rPr>
          <w:rFonts w:ascii="Times New Roman" w:hAnsi="Times New Roman" w:eastAsia="Times New Roman" w:cs="Times New Roman"/>
        </w:rPr>
        <w:t xml:space="preserve"> </w:t>
      </w:r>
      <w:r>
        <w:rPr>
          <w:rFonts w:ascii="Microsoft Himalaya" w:hAnsi="Microsoft Himalaya" w:eastAsia="Microsoft Himalaya" w:cs="Microsoft Himalaya"/>
        </w:rPr>
        <w:t>ལུ་གུའི་གླུ་གཉིས་ལེན་ནོ།</w:t>
      </w:r>
    </w:p>
    <w:p>
      <w:pPr>
        <w:pStyle w:val="ArticleScripture"/>
        <w:jc w:val="left"/>
      </w:pPr>
      <w:r>
        <w:rPr>
          <w:rFonts w:ascii="Times New Roman" w:hAnsi="Times New Roman" w:eastAsia="Times New Roman" w:cs="Times New Roman"/>
        </w:rPr>
        <w:t>Puis je vis comme une mer de verre mêlée de feu ; et ceux qui avaient remporté la victoire sur la bête, sur son image, sur sa marque, et sur le nombre de son nom, se tenaient sur la mer de verre, ayant les harpes de Dieu. Et ils chantaient le cantique de Moïse, serviteur de Dieu, et le cantique de l’Agneau, en disant : Grandes et merveilleuses sont tes œuvres, Seigneur Dieu Tout-Puissant ; justes et véritables sont tes voies, ô Roi des saints. Apocalypse 15:2, 3.</w:t>
      </w:r>
    </w:p>
    <w:p>
      <w:pPr>
        <w:pStyle w:val="ArticleBody"/>
        <w:jc w:val="left"/>
      </w:pPr>
      <w:r>
        <w:rPr>
          <w:rFonts w:ascii="Times New Roman" w:hAnsi="Times New Roman" w:eastAsia="Times New Roman" w:cs="Times New Roman"/>
        </w:rPr>
        <w:t>“An Kordero” amo hi Cristo nga ginpatay, ngan hiya ginpatay ha butnga han duha ka yukot lima ka gatos ngan baynte ka adlaw, salit iginhihikot hini nga usa an paghalad han Iya kinabuhi ngan dugo (diin Iya ginpamatud-an an tugon), upod an “pakig-away tungod han Iya tugon” ni Moises, ha Levitico baynte-sais. An awit ni Moises ngan han Kordero amo an awit han chazon han matagnaon nga kasaysayan ngan an awit han mareh han Iya “pagpakita.” Amo ini an awit han usa nga intelektuwal ngan espirituwal nga pagsabot sugad han iginrirepresentar han duha nga mga bisyon ha Daniel kapitulo otso. Amo ini an awit han usa nga katawohan han tugon nga ginpapanhukman ngan ginlalampasan, samtang pinipili an usa nga bag-o nga pinili nga katawohan. An proseso han pagpili, ngan sanglit an awit, nagtitikang han Septyembre 11, 2001.</w:t>
      </w:r>
    </w:p>
    <w:p>
      <w:pPr>
        <w:pStyle w:val="ArticleScripture"/>
        <w:jc w:val="left"/>
      </w:pPr>
      <w:r>
        <w:rPr>
          <w:rFonts w:ascii="Times New Roman" w:hAnsi="Times New Roman" w:eastAsia="Times New Roman" w:cs="Times New Roman"/>
        </w:rPr>
        <w:t>Wa ta sa wa taqea pasu Jacob; Israel yasiota bucu ka tabadola, ka vakasinaita na mata ni vuravura e na vua. Sa dua li na nona mokuti koya me vaka na nona mokuta o ira era a mokuti koya? se sa vakamatei li ko koya me vaka na nodra vakamatei ko ira era sa vakamatei mai vua? E na ivakatagedegede, ni sa tubu cake, ko na veivakatulewataki vata kei koya: sa tarova na nona cagi kaukauwa e na siga ni cagi ni tokalau. O koya oqo sa na vakasavasavataki kina na caka cala i Jacob; ia oqo ga na vua taucoko ni kena kautani tani na nona i valavala ca; ni sa cakava na vatu kece ni cabocabo-ni-soro me vaka na vatu vulavula era sa qaqi me wase rua, na veikau tabu kei na matakau ena sega ni tu cake. Ia na koro vakabai ena lala, kei na tikotiko ena biu ka laivi me vaka na lekutu: e kea ena kana kina na luvenibulumakau, ka koto sobu kina, ka kania na kena tabana. Ni sa malai na kena taba ni kau, era na musuka tani: era na lako mai na yalewa, ka vakama; ni ra sa tamata sega ni kila ka: o koya gona ko koya ka bulia era na sega ni lomani ira, ka ko koya ka vakatubura era na sega ni vakaraitaka vei ira na loloma soli wale. Ia ena yaco e na siga ko ya, ni na yavita tani na Turaga mai na tobu ni uciwai me yaco sara ki na uciwai lailai ni Ijipita, ia dou na soqoni vakayadua, oi kemudou na luve i Israel. Ia ena yaco e na siga ko ya, ni na uvuci na davui levu, ka ra na lako mai ko ira era sa voleka ni rusa e na vanua ko Asiria, kei ira na vakatalai tani e na vanua ko Ijipita, ka ra na sokalou vua na Turaga e na ulunivanua tabu mai Jerusalemi. Aisea 27:6–13.</w:t>
      </w:r>
    </w:p>
    <w:p>
      <w:pPr>
        <w:pStyle w:val="ArticleBody"/>
        <w:jc w:val="left"/>
      </w:pPr>
      <w:r>
        <w:rPr>
          <w:rFonts w:ascii="Times New Roman" w:hAnsi="Times New Roman" w:eastAsia="Times New Roman" w:cs="Times New Roman"/>
        </w:rPr>
        <w:t>اس آیات کو درست طور پر سمجھا جائے تو یہ 11 ستمبر 2001 سے لے کر جلد آنے والے اتوار کے قانون تک کی نشان دہی کرتی ہیں۔ آیت چھ پوری تاریخ کی نشان دہی کرتی ہے، کیونکہ وہ اُس پودے کے آغاز کو بیان کرتی ہے جو جڑ پکڑتا ہے، پھر پھولتا اور کلیاں لاتا ہے، اور آخرکار زمین کو پھل سے بھر دیتا ہے۔ وہ پھل جو زمین کو بھر دیتا ہے، “گھنٹے” کے دوران ایسا کرتا ہے، اور یہی اتوار کے قانون کا بحران ہے۔ جب مسیح اُس وقت اپنے پھل کو اپنے کھتے میں جمع کر رہا ہوتا ہے، تو وہ بابل پر عدالت بھی لا رہا ہوتا ہے۔ وہ عدالت جو اُس زمانے میں واقع ہوتی ہے جب زمین پھل سے بھر دی جاتی ہے، آیت سات میں ظاہر کی گئی ہے، جہاں یہ دو سوال پوچھے جاتے ہیں: “Hath he smitten him, as he smote those that smote him? or is he slain according to the slaughter of them that are slain by him?”</w:t>
      </w:r>
    </w:p>
    <w:p>
      <w:pPr>
        <w:pStyle w:val="ArticleBody"/>
        <w:jc w:val="left"/>
      </w:pPr>
      <w:r>
        <w:rPr>
          <w:rFonts w:ascii="Times New Roman" w:hAnsi="Times New Roman" w:eastAsia="Times New Roman" w:cs="Times New Roman"/>
        </w:rPr>
        <w:t>Puis, au verset huit, l’aspersion de la pluie de l’arrière-saison est signalée par l’expression : « Avec mesure. » Ce qui fait germer les plantes, c’est la pluie ; et lorsque le commencement de la pluie de l’arrière-saison est marqué, il l’est comme commençant « avec mesure, quand elle pousse ». Lorsque la pluie de l’arrière-saison commence, elle est répandue « avec mesure », car elle n’est pas répandue sans mesure si la moisson est un mélange de vrai et de faux.</w:t>
      </w:r>
    </w:p>
    <w:p>
      <w:pPr>
        <w:pStyle w:val="ArticleScripture"/>
        <w:jc w:val="left"/>
      </w:pPr>
      <w:r>
        <w:rPr>
          <w:rFonts w:ascii="Times New Roman" w:hAnsi="Times New Roman" w:eastAsia="Times New Roman" w:cs="Times New Roman"/>
        </w:rPr>
        <w:t>“Ҳар бир чиндан ҳам имонга келтирилган жон, бошқаларни адашиш зулматидан Исо Масиҳнинг солиҳлигининг ажойиб нурига олиб келишни жуда қаттиқ истайди. Бутун ер юзини Унинг улуғворлиги билан ёритадиган Худо Руҳининг улуғ тўкилиниши, бизда тажриба орқали Худо билан ҳамкор меҳнаткашлар бўлиш нимани англатишини биладиган маърифатли халқ бўлмагунча, келмайди. Биз Масиҳ хизматига тўла ва бутун қалбдан бағишланишга эга бўлганимизда, Худо буни Ўз Руҳини ўлчовсиз тўкиб тан олади; лекин жамоатнинг энг катта қисми Худо билан ҳамкор меҳнат қилмаётган экан, бу содир бўлмайди. Худо Ўз Руҳини тўка олмайди, агар худбинлик ва нафсни қондириш шунчалик очиқ-ойдин намоён бўлса; агар шундай руҳ ҳукмрон бўлсаки, уни сўз билан ифода этилса, Қобилнинг ўша жавобини билдирар эди, — «Мен биродаримнинг посбониманми?» Агар бу замон учун ҳақиқат, агар ҳар томонда зичлашиб бораётган, ҳамма нарсанинг охири яқинлашиб қолганига гувоҳлик бераётган аломатлар, ҳақиқатни биламиз деб эътироф қилувчиларнинг ухлаб ётган ғайратини уйғотиш учун етарли бўлмаса, у ҳолда порлаб турган нурга мутаносиб зулмат бу жонларни босиб олади. Улар ўз бепарволиклари учун охирги ҳисоб-китобнинг буюк кунида Худога тақдим эта оладиган узрнинг ҳатто бир кўринишига ҳам эга эмаслар. Нега улар Худо каломининг муқаддас ҳақиқати нури ичида яшамаганлари, юрмаганлари ва меҳнат қилмаганлари, ва шу тариқа ўз хулқ-атворлари, ҳамдардликлари ва ғайратлари орқали гуноҳ зулматига ботган дунёга Инжил қудрати ва ҳақиқати инкор этиб бўлмаслигини намоён қилмаганлари ҳақида келтирарли ҳеч қандай сабаб бўлмайди.” Review and Herald, July 21, 1896.</w:t>
      </w:r>
    </w:p>
    <w:p>
      <w:pPr>
        <w:pStyle w:val="ArticleBody"/>
        <w:jc w:val="left"/>
      </w:pPr>
      <w:r>
        <w:rPr>
          <w:rFonts w:ascii="Times New Roman" w:hAnsi="Times New Roman" w:eastAsia="Times New Roman" w:cs="Times New Roman"/>
        </w:rPr>
        <w:t>Herrnhuter White kenna hetta ørindið sum tann løtan, tá eingilin í Opinberingini stígur niður, tí hon sigur: „hin mikla úthelling av Anda Guðs, sum lýsir alla jørðina við dýrd hansara.“ Í einum øðrum ørindi, sum vit ofta hava víst til í hesum greinum, staðfesti hon, at tá „hinir stóru bygningarnir í New York“ „verða kastaðir niður“, „skal Opinberingin kapittul 18, ørindi 1 til 3 verða fullgjørd.“</w:t>
      </w:r>
    </w:p>
    <w:p>
      <w:pPr>
        <w:pStyle w:val="ArticleBody"/>
        <w:jc w:val="left"/>
      </w:pPr>
      <w:r>
        <w:rPr>
          <w:rFonts w:ascii="Times New Roman" w:hAnsi="Times New Roman" w:eastAsia="Times New Roman" w:cs="Times New Roman"/>
        </w:rPr>
        <w:t>Nous poursuivrons ces réflexions dans le prochain article.</w:t>
      </w:r>
    </w:p>
    <w:p>
      <w:pPr>
        <w:pStyle w:val="ArticleScripture"/>
        <w:jc w:val="left"/>
      </w:pPr>
      <w:r>
        <w:rPr>
          <w:rFonts w:ascii="Times New Roman" w:hAnsi="Times New Roman" w:eastAsia="Times New Roman" w:cs="Times New Roman"/>
        </w:rPr>
        <w:t>“Mi yina fo nnwom mma me dɔfo a ɔfa ne bobeturo ho. Me dɔfo wɔ bobeturo bi wɔ koko a ɛsow aba yiye so; na ɔde ban twaa ho, na oyiyii abo fii mu, na ɔde bobe paara dua guaa mu, na osii aban wɔ ne mfinimfini, na ɔyɛɛ nsakyi-amoa nso wɔ mu; na ɔhwɛe sɛ ɛbɛsow bobe, nanso ɛsowee wuram bobe. Afei, O Yerusalemfo ne Yuda mmarima, mesrɛ mo, mummu me ne me bobeturo no ntam atɛn. Dɛn bio na anka wobetumi ayɛ ama me bobeturo a mennyɛɛ wɔ mu? Adɛn nti na, bere a mehwɛe sɛ ɛbɛsow bobe no, ɛsowee wuram bobe? Na afei, momma mentell mo nea mɛyɛ me bobeturo no: Meyi n’aban no afi hɔ, na wobedi no; na mɛbubu n’afasu no agu, na wɔatiatia so: Na mɛma ada mpan; wɔrenntwa no, na wɔrenntu fam no; na nsɔe ne nkyɛkyɛ bɛfifi; bio, mɛhyɛ omununkum no sɛ ɛnntɔ osu ngu so. Na AWURADE asafo no bobeturo ne Israel fi, na Yuda mmarima ne ne dua a n’ani gye ho; na ɔhwɛe atɛntenenee, na hwɛ, nhyɛso; trenee, na hwɛ, sufrɛ.” Yesaia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Livro de Daniel - Número Sessenta e Cinco</dc:title>
  <dc:subject>The Prophetic Unveiling: Understanding the July 18, 2020 Disappointment and the Unfolding Message of the Midnight Cry in the Last Days</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